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版本号：ZC-HJL2025-02220251120001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第一小学智慧黑板、课桌椅采购项目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ZC-HJL2025-022</w:t>
      </w:r>
      <w:r>
        <w:br/>
      </w:r>
      <w:r>
        <w:br/>
      </w:r>
      <w:r>
        <w:br/>
      </w:r>
    </w:p>
    <w:p>
      <w:pPr>
        <w:pStyle w:val="null3"/>
        <w:jc w:val="center"/>
        <w:outlineLvl w:val="2"/>
      </w:pPr>
      <w:r>
        <w:rPr>
          <w:rFonts w:ascii="仿宋_GB2312" w:hAnsi="仿宋_GB2312" w:cs="仿宋_GB2312" w:eastAsia="仿宋_GB2312"/>
          <w:sz w:val="28"/>
          <w:b/>
        </w:rPr>
        <w:t>铜川市新区第一小学</w:t>
      </w:r>
    </w:p>
    <w:p>
      <w:pPr>
        <w:pStyle w:val="null3"/>
        <w:jc w:val="center"/>
        <w:outlineLvl w:val="2"/>
      </w:pPr>
      <w:r>
        <w:rPr>
          <w:rFonts w:ascii="仿宋_GB2312" w:hAnsi="仿宋_GB2312" w:cs="仿宋_GB2312" w:eastAsia="仿宋_GB2312"/>
          <w:sz w:val="28"/>
          <w:b/>
        </w:rPr>
        <w:t>华建联项目管理有限公司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华建联项目管理有限公司</w:t>
      </w:r>
      <w:r>
        <w:rPr>
          <w:rFonts w:ascii="仿宋_GB2312" w:hAnsi="仿宋_GB2312" w:cs="仿宋_GB2312" w:eastAsia="仿宋_GB2312"/>
        </w:rPr>
        <w:t>（以下简称“代理机构”）受</w:t>
      </w:r>
      <w:r>
        <w:rPr>
          <w:rFonts w:ascii="仿宋_GB2312" w:hAnsi="仿宋_GB2312" w:cs="仿宋_GB2312" w:eastAsia="仿宋_GB2312"/>
        </w:rPr>
        <w:t>铜川市新区第一小学</w:t>
      </w:r>
      <w:r>
        <w:rPr>
          <w:rFonts w:ascii="仿宋_GB2312" w:hAnsi="仿宋_GB2312" w:cs="仿宋_GB2312" w:eastAsia="仿宋_GB2312"/>
        </w:rPr>
        <w:t>委托，拟对</w:t>
      </w:r>
      <w:r>
        <w:rPr>
          <w:rFonts w:ascii="仿宋_GB2312" w:hAnsi="仿宋_GB2312" w:cs="仿宋_GB2312" w:eastAsia="仿宋_GB2312"/>
        </w:rPr>
        <w:t>第一小学智慧黑板、课桌椅采购项目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ZC-HJL2025-022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第一小学智慧黑板、课桌椅采购项目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智慧黑板、课桌椅采购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采购包1（第一小学智慧黑板、课桌椅采购项目）：属于专门面向中小企业采购。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1、具有独立承担民事责任的能力的相关证明：具有独立承担民事责任能力的法人、其他组织或自然人，并出具合法有效的营业执照或事业单位 法人证书等国家规定的相关证明，自然人参与的提供其身份证明</w:t>
      </w:r>
    </w:p>
    <w:p>
      <w:pPr>
        <w:pStyle w:val="null3"/>
      </w:pPr>
      <w:r>
        <w:rPr>
          <w:rFonts w:ascii="仿宋_GB2312" w:hAnsi="仿宋_GB2312" w:cs="仿宋_GB2312" w:eastAsia="仿宋_GB2312"/>
        </w:rPr>
        <w:t>2、供应商授权合法的人参加采购：法定代表人直接参加的，须提交法定代表人身份证原件。法定代表人授权代表参加的，须出具法 定代表人授权书及授权代表身份证明</w:t>
      </w:r>
    </w:p>
    <w:p>
      <w:pPr>
        <w:pStyle w:val="null3"/>
      </w:pPr>
      <w:r>
        <w:rPr>
          <w:rFonts w:ascii="仿宋_GB2312" w:hAnsi="仿宋_GB2312" w:cs="仿宋_GB2312" w:eastAsia="仿宋_GB2312"/>
        </w:rPr>
        <w:t>3、财务状况报告：提供2023或2024年度的财务审计报告(至少包括资产负债表和利润表，或其基本存款账户开户 银行出具的资信证明及基本存款账户开户许可证</w:t>
      </w:r>
    </w:p>
    <w:p>
      <w:pPr>
        <w:pStyle w:val="null3"/>
      </w:pPr>
      <w:r>
        <w:rPr>
          <w:rFonts w:ascii="仿宋_GB2312" w:hAnsi="仿宋_GB2312" w:cs="仿宋_GB2312" w:eastAsia="仿宋_GB2312"/>
        </w:rPr>
        <w:t>4、社保缴纳证明：提供响应文件递交截止日前六个月内已缴存的至少一个月的社会保障保障资金缴存单据或社保机 构开具的社会保险参保缴费证明，依法不需要缴纳社会保障资金的单位应提供相应证明文件</w:t>
      </w:r>
    </w:p>
    <w:p>
      <w:pPr>
        <w:pStyle w:val="null3"/>
      </w:pPr>
      <w:r>
        <w:rPr>
          <w:rFonts w:ascii="仿宋_GB2312" w:hAnsi="仿宋_GB2312" w:cs="仿宋_GB2312" w:eastAsia="仿宋_GB2312"/>
        </w:rPr>
        <w:t>5、税收缴纳证明：提供响应文件递交截止日前六个月内已缴存的至少一个月的纳税证明或完税证明(时间以税款所 属日期为准税种为任意税种)，依法免税的单位应提供相关证明材料</w:t>
      </w:r>
    </w:p>
    <w:p>
      <w:pPr>
        <w:pStyle w:val="null3"/>
      </w:pPr>
      <w:r>
        <w:rPr>
          <w:rFonts w:ascii="仿宋_GB2312" w:hAnsi="仿宋_GB2312" w:cs="仿宋_GB2312" w:eastAsia="仿宋_GB2312"/>
        </w:rPr>
        <w:t>6、书面声明：提供参加政府采购活动前三年内，在经营活动中没有重大违法记录的投标响应声明书</w:t>
      </w:r>
    </w:p>
    <w:p>
      <w:pPr>
        <w:pStyle w:val="null3"/>
      </w:pPr>
      <w:r>
        <w:rPr>
          <w:rFonts w:ascii="仿宋_GB2312" w:hAnsi="仿宋_GB2312" w:cs="仿宋_GB2312" w:eastAsia="仿宋_GB2312"/>
        </w:rPr>
        <w:t>7、具有履行合同所必需的设备和专业技术能力：提供具有履行合同所必需的设备和专业技术能力的承诺</w:t>
      </w:r>
    </w:p>
    <w:p>
      <w:pPr>
        <w:pStyle w:val="null3"/>
      </w:pPr>
      <w:r>
        <w:rPr>
          <w:rFonts w:ascii="仿宋_GB2312" w:hAnsi="仿宋_GB2312" w:cs="仿宋_GB2312" w:eastAsia="仿宋_GB2312"/>
        </w:rPr>
        <w:t>8、信用查询：供应商不得为“信用中国”网站 （www.creditchina.gov.cn）中列入失信被执行人和重大 税收 违法案 件当事人名单的投标人，不得为中国政府采购网（www.ccgp.gov.cn）政府采 购严重 违法失信行为记录名单中被财政 部门禁止参加政府采购活动的供应商</w:t>
      </w:r>
    </w:p>
    <w:p>
      <w:pPr>
        <w:pStyle w:val="null3"/>
      </w:pPr>
      <w:r>
        <w:rPr>
          <w:rFonts w:ascii="仿宋_GB2312" w:hAnsi="仿宋_GB2312" w:cs="仿宋_GB2312" w:eastAsia="仿宋_GB2312"/>
        </w:rPr>
        <w:t>9、承诺函：单位负责人为同一人或者存在直接控股、管理关系的不同投标人，不得参加同一合同项下 的政 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铜川市新区第一小学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铜川市新区长虹北路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13509194517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华建联项目管理有限公司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陕西省西安市碑林区西安市碑林区南二环东段561号，长安大街3号A座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巩毓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18091920996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0919-3181026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本采购项目中标价为基数，按国家计委颁发的《招标代理服务收费管理暂行办法》（计价格[2002]1980号）和国家发展改革委员会办公厅颁发的《关于招标代理服务收费有关问题的通知》（发改办价格[2003] 857号）的有关规定收取，向采购代理机构一次付清代理服务费。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铜川市新区第一小学</w:t>
      </w:r>
      <w:r>
        <w:rPr>
          <w:rFonts w:ascii="仿宋_GB2312" w:hAnsi="仿宋_GB2312" w:cs="仿宋_GB2312" w:eastAsia="仿宋_GB2312"/>
        </w:rPr>
        <w:t>和</w:t>
      </w:r>
      <w:r>
        <w:rPr>
          <w:rFonts w:ascii="仿宋_GB2312" w:hAnsi="仿宋_GB2312" w:cs="仿宋_GB2312" w:eastAsia="仿宋_GB2312"/>
        </w:rPr>
        <w:t>华建联项目管理有限公司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铜川市新区第一小学</w:t>
      </w:r>
      <w:r>
        <w:rPr>
          <w:rFonts w:ascii="仿宋_GB2312" w:hAnsi="仿宋_GB2312" w:cs="仿宋_GB2312" w:eastAsia="仿宋_GB2312"/>
        </w:rPr>
        <w:t>负责解释。除上述磋商文件内容，其他内容由</w:t>
      </w:r>
      <w:r>
        <w:rPr>
          <w:rFonts w:ascii="仿宋_GB2312" w:hAnsi="仿宋_GB2312" w:cs="仿宋_GB2312" w:eastAsia="仿宋_GB2312"/>
        </w:rPr>
        <w:t>华建联项目管理有限公司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华建联项目管理有限公司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联系人：巩毓</w:t>
      </w:r>
    </w:p>
    <w:p>
      <w:pPr>
        <w:pStyle w:val="null3"/>
      </w:pPr>
      <w:r>
        <w:rPr>
          <w:rFonts w:ascii="仿宋_GB2312" w:hAnsi="仿宋_GB2312" w:cs="仿宋_GB2312" w:eastAsia="仿宋_GB2312"/>
        </w:rPr>
        <w:t>联系电话：180919290996</w:t>
      </w:r>
    </w:p>
    <w:p>
      <w:pPr>
        <w:pStyle w:val="null3"/>
      </w:pPr>
      <w:r>
        <w:rPr>
          <w:rFonts w:ascii="仿宋_GB2312" w:hAnsi="仿宋_GB2312" w:cs="仿宋_GB2312" w:eastAsia="仿宋_GB2312"/>
        </w:rPr>
        <w:t>地址：铜川市新区铁诺北路2号（大学生创业孵化园）</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第一小学智慧黑板、课桌椅采购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720,000.00</w:t>
      </w:r>
    </w:p>
    <w:p>
      <w:pPr>
        <w:pStyle w:val="null3"/>
      </w:pPr>
      <w:r>
        <w:rPr>
          <w:rFonts w:ascii="仿宋_GB2312" w:hAnsi="仿宋_GB2312" w:cs="仿宋_GB2312" w:eastAsia="仿宋_GB2312"/>
        </w:rPr>
        <w:t>采购包最高限价（元）: 720,000.00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智慧黑板采购计划</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right"/>
            </w:pPr>
            <w:r>
              <w:rPr>
                <w:rFonts w:ascii="仿宋_GB2312" w:hAnsi="仿宋_GB2312" w:cs="仿宋_GB2312" w:eastAsia="仿宋_GB2312"/>
              </w:rPr>
              <w:t>540,000.00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课座椅</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标的名称：智慧黑板采购计划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166"/>
              <w:gridCol w:w="238"/>
              <w:gridCol w:w="201"/>
              <w:gridCol w:w="1648"/>
              <w:gridCol w:w="134"/>
              <w:gridCol w:w="156"/>
            </w:tblGrid>
            <w:tr>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智慧黑板</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电子白板</w:t>
                  </w:r>
                </w:p>
              </w:tc>
              <w:tc>
                <w:tcPr>
                  <w:tcW w:type="dxa" w:w="16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一、整体设计</w:t>
                  </w:r>
                  <w:r>
                    <w:br/>
                  </w:r>
                  <w:r>
                    <w:rPr>
                      <w:rFonts w:ascii="仿宋_GB2312" w:hAnsi="仿宋_GB2312" w:cs="仿宋_GB2312" w:eastAsia="仿宋_GB2312"/>
                      <w:sz w:val="24"/>
                    </w:rPr>
                    <w:t>1. 设备外壳全金属，三拼接平面设计，智慧黑板的尺寸：长≥4200mm；高≥1200mm；设备显示屏尺寸≥86英寸。</w:t>
                  </w:r>
                  <w:r>
                    <w:br/>
                  </w:r>
                  <w:r>
                    <w:rPr>
                      <w:rFonts w:ascii="仿宋_GB2312" w:hAnsi="仿宋_GB2312" w:cs="仿宋_GB2312" w:eastAsia="仿宋_GB2312"/>
                      <w:sz w:val="24"/>
                    </w:rPr>
                    <w:t>2.主屏支持普通粉笔直接书写，两侧副屏可支持普通粉笔、液体粉笔、成膜笔等进行板书书写。</w:t>
                  </w:r>
                  <w:r>
                    <w:br/>
                  </w:r>
                  <w:r>
                    <w:rPr>
                      <w:rFonts w:ascii="仿宋_GB2312" w:hAnsi="仿宋_GB2312" w:cs="仿宋_GB2312" w:eastAsia="仿宋_GB2312"/>
                      <w:sz w:val="24"/>
                    </w:rPr>
                    <w:t>3.整机支持手笔分离，通过提笔即写唤醒批注功能后，可进行手笔分离功能，使用笔正常书写，使用手指可以操作应用，进行点击操作。</w:t>
                  </w:r>
                  <w:r>
                    <w:br/>
                  </w:r>
                  <w:r>
                    <w:rPr>
                      <w:rFonts w:ascii="仿宋_GB2312" w:hAnsi="仿宋_GB2312" w:cs="仿宋_GB2312" w:eastAsia="仿宋_GB2312"/>
                      <w:sz w:val="24"/>
                    </w:rPr>
                    <w:t>4.整机采用防眩光玻璃，钢化玻璃表面硬度≥9H。</w:t>
                  </w:r>
                  <w:r>
                    <w:br/>
                  </w:r>
                  <w:r>
                    <w:rPr>
                      <w:rFonts w:ascii="仿宋_GB2312" w:hAnsi="仿宋_GB2312" w:cs="仿宋_GB2312" w:eastAsia="仿宋_GB2312"/>
                      <w:sz w:val="24"/>
                    </w:rPr>
                    <w:t>5.▲菜单可进行高级音效设置，可自由选择标准、听力、观影等不同效果；同时设备支持AI空调感知模式，可根据当前物理环境，通过算法提供适配的音效参数。</w:t>
                  </w:r>
                  <w:r>
                    <w:rPr>
                      <w:rFonts w:ascii="仿宋_GB2312" w:hAnsi="仿宋_GB2312" w:cs="仿宋_GB2312" w:eastAsia="仿宋_GB2312"/>
                      <w:sz w:val="24"/>
                    </w:rPr>
                    <w:t xml:space="preserve"> </w:t>
                  </w:r>
                  <w:r>
                    <w:rPr>
                      <w:rFonts w:ascii="仿宋_GB2312" w:hAnsi="仿宋_GB2312" w:cs="仿宋_GB2312" w:eastAsia="仿宋_GB2312"/>
                      <w:sz w:val="24"/>
                    </w:rPr>
                    <w:t>提供生产厂家确认的、相应的功能证明材料（包括但不限于测试报告、官网和功能截图等）。</w:t>
                  </w:r>
                  <w:r>
                    <w:rPr>
                      <w:rFonts w:ascii="仿宋_GB2312" w:hAnsi="仿宋_GB2312" w:cs="仿宋_GB2312" w:eastAsia="仿宋_GB2312"/>
                      <w:sz w:val="21"/>
                    </w:rPr>
                    <w:t xml:space="preserve"> </w:t>
                  </w:r>
                  <w:r>
                    <w:br/>
                  </w:r>
                  <w:r>
                    <w:rPr>
                      <w:rFonts w:ascii="仿宋_GB2312" w:hAnsi="仿宋_GB2312" w:cs="仿宋_GB2312" w:eastAsia="仿宋_GB2312"/>
                      <w:sz w:val="24"/>
                    </w:rPr>
                    <w:t>7.▲整机内置扬声器采用缝隙发声技术，喇叭采用槽式开口设计，不大于5.8mm。</w:t>
                  </w:r>
                  <w:r>
                    <w:rPr>
                      <w:rFonts w:ascii="仿宋_GB2312" w:hAnsi="仿宋_GB2312" w:cs="仿宋_GB2312" w:eastAsia="仿宋_GB2312"/>
                      <w:sz w:val="24"/>
                    </w:rPr>
                    <w:t>提供生产厂家确认的、相应的功能证明材料（包括但不限于测试报告、官网和功能截图等）。</w:t>
                  </w:r>
                  <w:r>
                    <w:br/>
                  </w:r>
                  <w:r>
                    <w:rPr>
                      <w:rFonts w:ascii="仿宋_GB2312" w:hAnsi="仿宋_GB2312" w:cs="仿宋_GB2312" w:eastAsia="仿宋_GB2312"/>
                      <w:sz w:val="24"/>
                    </w:rPr>
                    <w:t>8.采用先进触控技术，满足不少于30点触控，方便教学使用。</w:t>
                  </w:r>
                  <w:r>
                    <w:br/>
                  </w:r>
                  <w:r>
                    <w:rPr>
                      <w:rFonts w:ascii="仿宋_GB2312" w:hAnsi="仿宋_GB2312" w:cs="仿宋_GB2312" w:eastAsia="仿宋_GB2312"/>
                      <w:sz w:val="24"/>
                    </w:rPr>
                    <w:t>9.中控菜单支持手势操作设置，可选择息屏、桌面、降半屏等；同时支持物理按键自定义，可自定义按键数不少于3，可自定义为护眼、截屏、聚光灯、日历等多种常用功能；同时支持开启触摸锁定，可在任意界面下通过十指操作。</w:t>
                  </w:r>
                  <w:r>
                    <w:br/>
                  </w:r>
                  <w:r>
                    <w:rPr>
                      <w:rFonts w:ascii="仿宋_GB2312" w:hAnsi="仿宋_GB2312" w:cs="仿宋_GB2312" w:eastAsia="仿宋_GB2312"/>
                      <w:sz w:val="24"/>
                    </w:rPr>
                    <w:t>10.为保证传输效果，整机支持蓝牙Bluetooth 5.4标准。</w:t>
                  </w:r>
                  <w:r>
                    <w:br/>
                  </w:r>
                  <w:r>
                    <w:rPr>
                      <w:rFonts w:ascii="仿宋_GB2312" w:hAnsi="仿宋_GB2312" w:cs="仿宋_GB2312" w:eastAsia="仿宋_GB2312"/>
                      <w:sz w:val="24"/>
                    </w:rPr>
                    <w:t>11.菜单支持智能音画模式，支持通过应用判断合适的画面设置与音效设置。</w:t>
                  </w:r>
                  <w:r>
                    <w:br/>
                  </w:r>
                  <w:r>
                    <w:rPr>
                      <w:rFonts w:ascii="仿宋_GB2312" w:hAnsi="仿宋_GB2312" w:cs="仿宋_GB2312" w:eastAsia="仿宋_GB2312"/>
                      <w:sz w:val="24"/>
                    </w:rPr>
                    <w:t>二、接口及按键</w:t>
                  </w:r>
                  <w:r>
                    <w:br/>
                  </w:r>
                  <w:r>
                    <w:rPr>
                      <w:rFonts w:ascii="仿宋_GB2312" w:hAnsi="仿宋_GB2312" w:cs="仿宋_GB2312" w:eastAsia="仿宋_GB2312"/>
                      <w:sz w:val="24"/>
                    </w:rPr>
                    <w:t>1.整机具备前置按键，支持通过前置按键进行开关机等操作。</w:t>
                  </w:r>
                  <w:r>
                    <w:br/>
                  </w:r>
                  <w:r>
                    <w:rPr>
                      <w:rFonts w:ascii="仿宋_GB2312" w:hAnsi="仿宋_GB2312" w:cs="仿宋_GB2312" w:eastAsia="仿宋_GB2312"/>
                      <w:sz w:val="24"/>
                    </w:rPr>
                    <w:t>2.支持通过前置面板物理按键一键启动录屏功能，可将屏幕中显示的课件、音频内容与老师人声同时录制。</w:t>
                  </w:r>
                  <w:r>
                    <w:br/>
                  </w:r>
                  <w:r>
                    <w:rPr>
                      <w:rFonts w:ascii="仿宋_GB2312" w:hAnsi="仿宋_GB2312" w:cs="仿宋_GB2312" w:eastAsia="仿宋_GB2312"/>
                      <w:sz w:val="24"/>
                    </w:rPr>
                    <w:t>3.智能黑板具备多种纸质护眼模式，支持在任意通道下对显示画面实现纹理实时调整；纸质纹理包含牛皮纸、素描纸、宣纸、水彩纸、水纹纸等；支持透明度调节；支持色温调节。</w:t>
                  </w:r>
                  <w:r>
                    <w:br/>
                  </w:r>
                  <w:r>
                    <w:rPr>
                      <w:rFonts w:ascii="仿宋_GB2312" w:hAnsi="仿宋_GB2312" w:cs="仿宋_GB2312" w:eastAsia="仿宋_GB2312"/>
                      <w:sz w:val="24"/>
                    </w:rPr>
                    <w:t>4.整机支持提笔书写，在Windows系统下可实现无需点击任意功能入口，当检测到触控笔笔尖接触屏幕时，自动进入书写模式。</w:t>
                  </w:r>
                  <w:r>
                    <w:br/>
                  </w:r>
                  <w:r>
                    <w:rPr>
                      <w:rFonts w:ascii="仿宋_GB2312" w:hAnsi="仿宋_GB2312" w:cs="仿宋_GB2312" w:eastAsia="仿宋_GB2312"/>
                      <w:sz w:val="24"/>
                    </w:rPr>
                    <w:t>5.前置Type-C接口，支持通过不带转换转置的外部线缆，实现外接电脑HDMI信号的接入显示。</w:t>
                  </w:r>
                  <w:r>
                    <w:br/>
                  </w:r>
                  <w:r>
                    <w:rPr>
                      <w:rFonts w:ascii="仿宋_GB2312" w:hAnsi="仿宋_GB2312" w:cs="仿宋_GB2312" w:eastAsia="仿宋_GB2312"/>
                      <w:sz w:val="24"/>
                    </w:rPr>
                    <w:t>6.▲整机支持发出频率为 18kHz-22kHz 超声波信号，智能 手机通过麦克风接收后，智能手机与整机无需在同一 局域网内，可实现配对，一键投屏，用户无需手动输 入投屏码或扫码获取投屏码。</w:t>
                  </w:r>
                  <w:r>
                    <w:rPr>
                      <w:rFonts w:ascii="仿宋_GB2312" w:hAnsi="仿宋_GB2312" w:cs="仿宋_GB2312" w:eastAsia="仿宋_GB2312"/>
                      <w:sz w:val="24"/>
                    </w:rPr>
                    <w:t>提供生产厂家确认的、相应的功能证明材料（包括但不限于测试报告、官网和功能截图等）。</w:t>
                  </w:r>
                  <w:r>
                    <w:br/>
                  </w:r>
                  <w:r>
                    <w:rPr>
                      <w:rFonts w:ascii="仿宋_GB2312" w:hAnsi="仿宋_GB2312" w:cs="仿宋_GB2312" w:eastAsia="仿宋_GB2312"/>
                      <w:sz w:val="24"/>
                    </w:rPr>
                    <w:t>三、整机功能</w:t>
                  </w:r>
                  <w:r>
                    <w:br/>
                  </w:r>
                  <w:r>
                    <w:rPr>
                      <w:rFonts w:ascii="仿宋_GB2312" w:hAnsi="仿宋_GB2312" w:cs="仿宋_GB2312" w:eastAsia="仿宋_GB2312"/>
                      <w:sz w:val="24"/>
                    </w:rPr>
                    <w:t>1.整机内置非独立摄像头，摄像头数量≥1个，可拍摄≥1300万像素数的照片，具备摄像头指示灯；整机摄像头支持人脸识别、快速点人数、随机抽人，可识别镜头前的所有学生，并显示人脸标记、随机抽选；摄像头支持环境色温判断，根据环境调节合适的显示图像效果。</w:t>
                  </w:r>
                  <w:r>
                    <w:br/>
                  </w:r>
                  <w:r>
                    <w:rPr>
                      <w:rFonts w:ascii="仿宋_GB2312" w:hAnsi="仿宋_GB2312" w:cs="仿宋_GB2312" w:eastAsia="仿宋_GB2312"/>
                      <w:sz w:val="24"/>
                    </w:rPr>
                    <w:t>2.整机设备自带地震预警软件。支持在地震预警页面中获取位置，可以手动进行位置校准。支持在地震预警页面中选择提醒阈值。支持在地震预警界面中开启和关闭地震预警服务。</w:t>
                  </w:r>
                  <w:r>
                    <w:br/>
                  </w:r>
                  <w:r>
                    <w:rPr>
                      <w:rFonts w:ascii="仿宋_GB2312" w:hAnsi="仿宋_GB2312" w:cs="仿宋_GB2312" w:eastAsia="仿宋_GB2312"/>
                      <w:sz w:val="24"/>
                    </w:rPr>
                    <w:t>3.▲整机系统支持手势上滑调出人工智能画质调节模式（AI-PQ），在安卓通道下可根据屏幕内容自动调节画质参数，当屏幕出现人物、建筑、夜景等元素时，自动调整对比度、饱和度、锐利度、色调色相值、高光/阴影。</w:t>
                  </w:r>
                  <w:r>
                    <w:rPr>
                      <w:rFonts w:ascii="仿宋_GB2312" w:hAnsi="仿宋_GB2312" w:cs="仿宋_GB2312" w:eastAsia="仿宋_GB2312"/>
                      <w:sz w:val="24"/>
                    </w:rPr>
                    <w:t>提供生产厂家确认的、相应的功能证明材料（包括但不限于测试报告、官网和功能截图等）。</w:t>
                  </w:r>
                  <w:r>
                    <w:br/>
                  </w:r>
                  <w:r>
                    <w:rPr>
                      <w:rFonts w:ascii="仿宋_GB2312" w:hAnsi="仿宋_GB2312" w:cs="仿宋_GB2312" w:eastAsia="仿宋_GB2312"/>
                      <w:sz w:val="24"/>
                    </w:rPr>
                    <w:t>4.触摸屏在照度100K LUX（勒克司）环境下仍能正常工作。</w:t>
                  </w:r>
                  <w:r>
                    <w:br/>
                  </w:r>
                  <w:r>
                    <w:rPr>
                      <w:rFonts w:ascii="仿宋_GB2312" w:hAnsi="仿宋_GB2312" w:cs="仿宋_GB2312" w:eastAsia="仿宋_GB2312"/>
                      <w:sz w:val="24"/>
                    </w:rPr>
                    <w:t>5.整机嵌入式系统版本≥Android 14。。</w:t>
                  </w:r>
                  <w:r>
                    <w:br/>
                  </w:r>
                  <w:r>
                    <w:rPr>
                      <w:rFonts w:ascii="仿宋_GB2312" w:hAnsi="仿宋_GB2312" w:cs="仿宋_GB2312" w:eastAsia="仿宋_GB2312"/>
                      <w:sz w:val="24"/>
                    </w:rPr>
                    <w:t>6.整机触摸支持动态压力感应，支持无任何电子功能的 普通书写笔在整机上书写或点压时，整机能感应压力变化，书写或点压过程笔迹呈现不同粗细。</w:t>
                  </w:r>
                  <w:r>
                    <w:br/>
                  </w:r>
                  <w:r>
                    <w:rPr>
                      <w:rFonts w:ascii="仿宋_GB2312" w:hAnsi="仿宋_GB2312" w:cs="仿宋_GB2312" w:eastAsia="仿宋_GB2312"/>
                      <w:sz w:val="24"/>
                    </w:rPr>
                    <w:t>四、内置</w:t>
                  </w:r>
                  <w:r>
                    <w:rPr>
                      <w:rFonts w:ascii="仿宋_GB2312" w:hAnsi="仿宋_GB2312" w:cs="仿宋_GB2312" w:eastAsia="仿宋_GB2312"/>
                      <w:sz w:val="24"/>
                    </w:rPr>
                    <w:t>OPS：</w:t>
                  </w:r>
                  <w:r>
                    <w:br/>
                  </w:r>
                  <w:r>
                    <w:rPr>
                      <w:rFonts w:ascii="仿宋_GB2312" w:hAnsi="仿宋_GB2312" w:cs="仿宋_GB2312" w:eastAsia="仿宋_GB2312"/>
                      <w:sz w:val="24"/>
                    </w:rPr>
                    <w:t xml:space="preserve">1. ▲采用抽拉内置式模块化电脑，可实现无单独接线的插拔，按压式卡扣方式，无需工具即可快速拆卸电脑模块。 </w:t>
                  </w:r>
                  <w:r>
                    <w:rPr>
                      <w:rFonts w:ascii="仿宋_GB2312" w:hAnsi="仿宋_GB2312" w:cs="仿宋_GB2312" w:eastAsia="仿宋_GB2312"/>
                      <w:sz w:val="24"/>
                    </w:rPr>
                    <w:t>需提供相关证明材料</w:t>
                  </w:r>
                  <w:r>
                    <w:rPr>
                      <w:rFonts w:ascii="仿宋_GB2312" w:hAnsi="仿宋_GB2312" w:cs="仿宋_GB2312" w:eastAsia="仿宋_GB2312"/>
                      <w:sz w:val="24"/>
                    </w:rPr>
                    <w:t>(包括但不限于检测报告、官网截图和功能截图) 。</w:t>
                  </w:r>
                  <w:r>
                    <w:br/>
                  </w:r>
                  <w:r>
                    <w:rPr>
                      <w:rFonts w:ascii="仿宋_GB2312" w:hAnsi="仿宋_GB2312" w:cs="仿宋_GB2312" w:eastAsia="仿宋_GB2312"/>
                      <w:sz w:val="24"/>
                    </w:rPr>
                    <w:t>2.搭载 Intel 酷睿 i7 或以上配置 CPU 。内存：8GB DDR4 笔记本内存或以上配置。硬盘：256 GB SSD 固态硬盘 或以上配置。</w:t>
                  </w:r>
                  <w:r>
                    <w:br/>
                  </w:r>
                  <w:r>
                    <w:rPr>
                      <w:rFonts w:ascii="仿宋_GB2312" w:hAnsi="仿宋_GB2312" w:cs="仿宋_GB2312" w:eastAsia="仿宋_GB2312"/>
                      <w:sz w:val="24"/>
                    </w:rPr>
                    <w:t>3. 具备不少于 4 路 USB 接口，方便扩展使用。</w:t>
                  </w:r>
                  <w:r>
                    <w:br/>
                  </w:r>
                  <w:r>
                    <w:rPr>
                      <w:rFonts w:ascii="仿宋_GB2312" w:hAnsi="仿宋_GB2312" w:cs="仿宋_GB2312" w:eastAsia="仿宋_GB2312"/>
                      <w:sz w:val="24"/>
                    </w:rPr>
                    <w:t>教学备授课软件：</w:t>
                  </w:r>
                  <w:r>
                    <w:br/>
                  </w:r>
                  <w:r>
                    <w:rPr>
                      <w:rFonts w:ascii="仿宋_GB2312" w:hAnsi="仿宋_GB2312" w:cs="仿宋_GB2312" w:eastAsia="仿宋_GB2312"/>
                      <w:sz w:val="24"/>
                    </w:rPr>
                    <w:t>1. ▲软件为老师提供云空间，提供可升级至不少于 30T 空间使用。</w:t>
                  </w:r>
                  <w:r>
                    <w:rPr>
                      <w:rFonts w:ascii="仿宋_GB2312" w:hAnsi="仿宋_GB2312" w:cs="仿宋_GB2312" w:eastAsia="仿宋_GB2312"/>
                      <w:sz w:val="24"/>
                    </w:rPr>
                    <w:t>需提供相关证明材料</w:t>
                  </w:r>
                  <w:r>
                    <w:rPr>
                      <w:rFonts w:ascii="仿宋_GB2312" w:hAnsi="仿宋_GB2312" w:cs="仿宋_GB2312" w:eastAsia="仿宋_GB2312"/>
                      <w:sz w:val="24"/>
                    </w:rPr>
                    <w:t>(包 括但不限于检测报告、官网截图和功能截图) 。</w:t>
                  </w:r>
                  <w:r>
                    <w:br/>
                  </w:r>
                  <w:r>
                    <w:rPr>
                      <w:rFonts w:ascii="仿宋_GB2312" w:hAnsi="仿宋_GB2312" w:cs="仿宋_GB2312" w:eastAsia="仿宋_GB2312"/>
                      <w:sz w:val="24"/>
                    </w:rPr>
                    <w:t>2.采用备授课一体化框架设计，教师可根据教学场景自由切换类 PPT 界面的备课模式与触控交互教学模式，适用 于教室、办公室等不同教学环境，便于教师教学使用。                                                    3.互动课件内容的编辑修改无需人为保存即可自动同步至云空间，可根据教师需要调整云空间自动同步的时间间 隔，避免教学资源的损坏、遗失。</w:t>
                  </w:r>
                  <w:r>
                    <w:br/>
                  </w:r>
                  <w:r>
                    <w:rPr>
                      <w:rFonts w:ascii="仿宋_GB2312" w:hAnsi="仿宋_GB2312" w:cs="仿宋_GB2312" w:eastAsia="仿宋_GB2312"/>
                      <w:sz w:val="24"/>
                    </w:rPr>
                    <w:t>4. ▲软件支持电子化听评课功能，老师可在授课模式下在线发起听评课，其他老师可通过二维码进行评价以及获 取课件，发起老师可在我的学校中查看历史评课记录并进行文档导出，至少支持 word 及 pdf 或其他常见的文档 格式等。</w:t>
                  </w:r>
                  <w:r>
                    <w:rPr>
                      <w:rFonts w:ascii="仿宋_GB2312" w:hAnsi="仿宋_GB2312" w:cs="仿宋_GB2312" w:eastAsia="仿宋_GB2312"/>
                      <w:sz w:val="24"/>
                    </w:rPr>
                    <w:t>需提供相关证明材料</w:t>
                  </w:r>
                  <w:r>
                    <w:rPr>
                      <w:rFonts w:ascii="仿宋_GB2312" w:hAnsi="仿宋_GB2312" w:cs="仿宋_GB2312" w:eastAsia="仿宋_GB2312"/>
                      <w:sz w:val="24"/>
                    </w:rPr>
                    <w:t xml:space="preserve">(包括但不限于检测报告、官网截图和功能截图) 。   </w:t>
                  </w:r>
                  <w:r>
                    <w:rPr>
                      <w:rFonts w:ascii="仿宋_GB2312" w:hAnsi="仿宋_GB2312" w:cs="仿宋_GB2312" w:eastAsia="仿宋_GB2312"/>
                      <w:sz w:val="21"/>
                    </w:rPr>
                    <w:t xml:space="preserve">         </w:t>
                  </w:r>
                  <w:r>
                    <w:br/>
                  </w:r>
                  <w:r>
                    <w:rPr>
                      <w:rFonts w:ascii="仿宋_GB2312" w:hAnsi="仿宋_GB2312" w:cs="仿宋_GB2312" w:eastAsia="仿宋_GB2312"/>
                      <w:sz w:val="24"/>
                    </w:rPr>
                    <w:t>5.提供直线、箭头、正方形、圆角四边形、平行四边形、圆形、等腰三角形、直角三角形、菱形、梯形、五边形等基本几何图形以及对话框、五角星、大括号、旗子等特殊图形，特殊图形插入后支持顶点位置编辑；图形总数 量不少于 40 种，可直接插入课件供教师使用。</w:t>
                  </w:r>
                  <w:r>
                    <w:br/>
                  </w:r>
                  <w:r>
                    <w:rPr>
                      <w:rFonts w:ascii="仿宋_GB2312" w:hAnsi="仿宋_GB2312" w:cs="仿宋_GB2312" w:eastAsia="仿宋_GB2312"/>
                      <w:sz w:val="24"/>
                    </w:rPr>
                    <w:t>6. ▲提供互动式教学课件资源，包含 学科教育各学段各地区教材版本不少于88个；包含学科教育各学段教材版本全部教学章节，及学科教育之外的专题教育、特殊教育等不同类型的丰富课件。</w:t>
                  </w:r>
                  <w:r>
                    <w:rPr>
                      <w:rFonts w:ascii="仿宋_GB2312" w:hAnsi="仿宋_GB2312" w:cs="仿宋_GB2312" w:eastAsia="仿宋_GB2312"/>
                      <w:sz w:val="24"/>
                    </w:rPr>
                    <w:t>需提供相关证明材料</w:t>
                  </w:r>
                  <w:r>
                    <w:rPr>
                      <w:rFonts w:ascii="仿宋_GB2312" w:hAnsi="仿宋_GB2312" w:cs="仿宋_GB2312" w:eastAsia="仿宋_GB2312"/>
                      <w:sz w:val="24"/>
                    </w:rPr>
                    <w:t xml:space="preserve">(包括但不限于检测报告、官网截图和功能截图)。   </w:t>
                  </w:r>
                  <w:r>
                    <w:rPr>
                      <w:rFonts w:ascii="仿宋_GB2312" w:hAnsi="仿宋_GB2312" w:cs="仿宋_GB2312" w:eastAsia="仿宋_GB2312"/>
                      <w:sz w:val="21"/>
                    </w:rPr>
                    <w:t xml:space="preserve">                           </w:t>
                  </w:r>
                  <w:r>
                    <w:br/>
                  </w:r>
                  <w:r>
                    <w:rPr>
                      <w:rFonts w:ascii="仿宋_GB2312" w:hAnsi="仿宋_GB2312" w:cs="仿宋_GB2312" w:eastAsia="仿宋_GB2312"/>
                      <w:sz w:val="24"/>
                    </w:rPr>
                    <w:t>7.支持对音频、视频文件进行关键帧标记，可在音、视频进度条任意位置自由设置关键帧播放节点，便于快速定 位讲解关键教学内容。</w:t>
                  </w:r>
                  <w:r>
                    <w:br/>
                  </w:r>
                  <w:r>
                    <w:rPr>
                      <w:rFonts w:ascii="仿宋_GB2312" w:hAnsi="仿宋_GB2312" w:cs="仿宋_GB2312" w:eastAsia="仿宋_GB2312"/>
                      <w:sz w:val="24"/>
                    </w:rPr>
                    <w:t>8. ▲软件提供不少于 90 节党建微课视频，包括国家要求学习的革命、建设、改革、复兴等内容，支持在线点播 及下载，支持视频关键帧打点标记，播放过程中可一键跳转，同时支持对频频随时截图方便老师插入课件。</w:t>
                  </w:r>
                  <w:r>
                    <w:rPr>
                      <w:rFonts w:ascii="仿宋_GB2312" w:hAnsi="仿宋_GB2312" w:cs="仿宋_GB2312" w:eastAsia="仿宋_GB2312"/>
                      <w:sz w:val="24"/>
                    </w:rPr>
                    <w:t>需提供相关证明材料</w:t>
                  </w:r>
                  <w:r>
                    <w:rPr>
                      <w:rFonts w:ascii="仿宋_GB2312" w:hAnsi="仿宋_GB2312" w:cs="仿宋_GB2312" w:eastAsia="仿宋_GB2312"/>
                      <w:sz w:val="24"/>
                    </w:rPr>
                    <w:t>(包括但不限于检测报告、官网截图和功能截图)。</w:t>
                  </w:r>
                  <w:r>
                    <w:br/>
                  </w:r>
                  <w:r>
                    <w:rPr>
                      <w:rFonts w:ascii="仿宋_GB2312" w:hAnsi="仿宋_GB2312" w:cs="仿宋_GB2312" w:eastAsia="仿宋_GB2312"/>
                      <w:sz w:val="24"/>
                    </w:rPr>
                    <w:t>9. ▲软件内置 AI 纠错功能，可以对老师输入的英语文本的拼写、句型、语法等进行自动识别，并可一键纠错</w:t>
                  </w:r>
                  <w:r>
                    <w:rPr>
                      <w:rFonts w:ascii="仿宋_GB2312" w:hAnsi="仿宋_GB2312" w:cs="仿宋_GB2312" w:eastAsia="仿宋_GB2312"/>
                      <w:sz w:val="24"/>
                    </w:rPr>
                    <w:t>。需提供相关证明材料</w:t>
                  </w:r>
                  <w:r>
                    <w:rPr>
                      <w:rFonts w:ascii="仿宋_GB2312" w:hAnsi="仿宋_GB2312" w:cs="仿宋_GB2312" w:eastAsia="仿宋_GB2312"/>
                      <w:sz w:val="24"/>
                    </w:rPr>
                    <w:t xml:space="preserve">(包括但不限于检测报告、官网截图和功能截图)。   </w:t>
                  </w:r>
                  <w:r>
                    <w:br/>
                  </w:r>
                  <w:r>
                    <w:rPr>
                      <w:rFonts w:ascii="仿宋_GB2312" w:hAnsi="仿宋_GB2312" w:cs="仿宋_GB2312" w:eastAsia="仿宋_GB2312"/>
                      <w:sz w:val="24"/>
                    </w:rPr>
                    <w:t>10. 支持学校校本资源建设，方便共享，可支持多种类型资源上传，如 doc,pdf,ppt,xls,mp4,wac,ogg 等，同时支 持批量上传，资源支持按年纪、学科等维度批量搜索，支持资源查看预览，创建者可进行删除、更名等操作，同 时可以本地查看资源，也可选择插入校本资源库中的资源，实现高效共享。</w:t>
                  </w:r>
                </w:p>
              </w:tc>
              <w:tc>
                <w:tcPr>
                  <w:tcW w:type="dxa" w:w="1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展台</w:t>
                  </w:r>
                </w:p>
              </w:tc>
              <w:tc>
                <w:tcPr>
                  <w:tcW w:type="dxa" w:w="1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箱体采用全金属冷轧钢材质超窄箱体，壁挂式安装，整体厚度不超过4CM，底板标角圆弧处理；采用金属非折叠式底板，超强承重不变形；模块化设计，支持前拆装维护，无需拆箱体，底板带磁吸和金属机械旋钮锁；</w:t>
                  </w:r>
                  <w:r>
                    <w:br/>
                  </w:r>
                  <w:r>
                    <w:rPr>
                      <w:rFonts w:ascii="仿宋_GB2312" w:hAnsi="仿宋_GB2312" w:cs="仿宋_GB2312" w:eastAsia="仿宋_GB2312"/>
                      <w:sz w:val="24"/>
                    </w:rPr>
                    <w:t>2、为了延长视频展台摄像头使用寿命，保证教学过程中不受光源变化等因素影响，，使用≥800万像素高清自动聚焦镜头（可支臂触摸调节自动聚焦），多种分辨率可选择，最高依次为3000*4000、3264*2448等，高清像素不低于15帧，拍摄≥A4画幅；</w:t>
                  </w:r>
                  <w:r>
                    <w:br/>
                  </w:r>
                  <w:r>
                    <w:rPr>
                      <w:rFonts w:ascii="仿宋_GB2312" w:hAnsi="仿宋_GB2312" w:cs="仿宋_GB2312" w:eastAsia="仿宋_GB2312"/>
                      <w:sz w:val="24"/>
                    </w:rPr>
                    <w:t xml:space="preserve">3、采用单根USB线实现供电、高清数据传输需求；整机自带磨砂均光罩LED节能补光灯，光线不足时可进行亮度补充，亮度均匀，采用四级触摸调光设计； </w:t>
                  </w:r>
                  <w:r>
                    <w:br/>
                  </w:r>
                  <w:r>
                    <w:rPr>
                      <w:rFonts w:ascii="仿宋_GB2312" w:hAnsi="仿宋_GB2312" w:cs="仿宋_GB2312" w:eastAsia="仿宋_GB2312"/>
                      <w:sz w:val="24"/>
                    </w:rPr>
                    <w:t>4、解像度：≥1200TV线；图像特技：亮度、对比度、清晰度、饱和度、锐度、逆光对比、色彩调整、伽马、图像增益等；</w:t>
                  </w:r>
                  <w:r>
                    <w:br/>
                  </w:r>
                  <w:r>
                    <w:rPr>
                      <w:rFonts w:ascii="仿宋_GB2312" w:hAnsi="仿宋_GB2312" w:cs="仿宋_GB2312" w:eastAsia="仿宋_GB2312"/>
                      <w:sz w:val="24"/>
                    </w:rPr>
                    <w:t>5、24位图像真彩色，自动补光；多种获取图片格式JPG，TIF，PNG，BMP，PDF等；</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音箱</w:t>
                  </w:r>
                </w:p>
              </w:tc>
              <w:tc>
                <w:tcPr>
                  <w:tcW w:type="dxa" w:w="1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1.双音箱有线连接，机箱采用塑胶材质。</w:t>
                  </w:r>
                  <w:r>
                    <w:br/>
                  </w:r>
                  <w:r>
                    <w:rPr>
                      <w:rFonts w:ascii="仿宋_GB2312" w:hAnsi="仿宋_GB2312" w:cs="仿宋_GB2312" w:eastAsia="仿宋_GB2312"/>
                      <w:sz w:val="24"/>
                    </w:rPr>
                    <w:t>2.支持扩声和输入音源叠加输出。</w:t>
                  </w:r>
                  <w:r>
                    <w:br/>
                  </w:r>
                  <w:r>
                    <w:rPr>
                      <w:rFonts w:ascii="仿宋_GB2312" w:hAnsi="仿宋_GB2312" w:cs="仿宋_GB2312" w:eastAsia="仿宋_GB2312"/>
                      <w:sz w:val="24"/>
                    </w:rPr>
                    <w:t>3.专为教室声学环境设计的扩声效果。</w:t>
                  </w:r>
                  <w:r>
                    <w:br/>
                  </w:r>
                  <w:r>
                    <w:rPr>
                      <w:rFonts w:ascii="仿宋_GB2312" w:hAnsi="仿宋_GB2312" w:cs="仿宋_GB2312" w:eastAsia="仿宋_GB2312"/>
                      <w:sz w:val="24"/>
                    </w:rPr>
                    <w:t>4.电源接口≥1个、Line in≥1个、USB≥1个。</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对</w:t>
                  </w:r>
                </w:p>
              </w:tc>
            </w:tr>
          </w:tbl>
          <w:p/>
        </w:tc>
      </w:tr>
    </w:tbl>
    <w:p>
      <w:pPr>
        <w:pStyle w:val="null3"/>
      </w:pPr>
      <w:r>
        <w:rPr>
          <w:rFonts w:ascii="仿宋_GB2312" w:hAnsi="仿宋_GB2312" w:cs="仿宋_GB2312" w:eastAsia="仿宋_GB2312"/>
        </w:rPr>
        <w:t>标的名称：课座椅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166"/>
              <w:gridCol w:w="238"/>
              <w:gridCol w:w="201"/>
              <w:gridCol w:w="1648"/>
              <w:gridCol w:w="134"/>
              <w:gridCol w:w="156"/>
            </w:tblGrid>
            <w:tr>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参数</w:t>
                  </w:r>
                </w:p>
              </w:tc>
              <w:tc>
                <w:tcPr>
                  <w:tcW w:type="dxa" w:w="1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课桌椅</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1．桌面规格≥630*430*25mm，桌面采用PE塑料吹塑。桌面周边边缘为圆角设计，桌面上方设有笔槽，设有杯槽，桌面靠近人体部位有弧形设计。</w:t>
                  </w:r>
                  <w:r>
                    <w:br/>
                  </w:r>
                  <w:r>
                    <w:rPr>
                      <w:rFonts w:ascii="仿宋_GB2312" w:hAnsi="仿宋_GB2312" w:cs="仿宋_GB2312" w:eastAsia="仿宋_GB2312"/>
                      <w:sz w:val="24"/>
                    </w:rPr>
                    <w:t>2．桌斗规格≥480*310*130mm。钢制书斗，材质为厚度≥0.8mm冷轧钢板一次成型，钢制书斗前沿有约φ8mm加强筋，桌斗底压制2条约380mm深度约为3mm的槽型加强筋，侧面有物件挂钩。</w:t>
                  </w:r>
                  <w:r>
                    <w:br/>
                  </w:r>
                  <w:r>
                    <w:rPr>
                      <w:rFonts w:ascii="仿宋_GB2312" w:hAnsi="仿宋_GB2312" w:cs="仿宋_GB2312" w:eastAsia="仿宋_GB2312"/>
                      <w:sz w:val="24"/>
                    </w:rPr>
                    <w:t>3．桌面支架采用≥3mm冷轧钢板冲压成型，两侧挂钩采用冷拔丝冲压成型并焊接在支架上。</w:t>
                  </w:r>
                  <w:r>
                    <w:br/>
                  </w:r>
                  <w:r>
                    <w:rPr>
                      <w:rFonts w:ascii="仿宋_GB2312" w:hAnsi="仿宋_GB2312" w:cs="仿宋_GB2312" w:eastAsia="仿宋_GB2312"/>
                      <w:sz w:val="24"/>
                    </w:rPr>
                    <w:t>4．桌架立柱管采用≥60×30mm椭圆形钢管，厚度≥1.2mm，桌脚采用≥30*50mm椭圆形钢管，壁厚≥1.2mm，下拉管采用≥25*50mm椭圆形钢管，壁厚≥1.2mm。</w:t>
                  </w:r>
                  <w:r>
                    <w:br/>
                  </w:r>
                  <w:r>
                    <w:rPr>
                      <w:rFonts w:ascii="仿宋_GB2312" w:hAnsi="仿宋_GB2312" w:cs="仿宋_GB2312" w:eastAsia="仿宋_GB2312"/>
                      <w:sz w:val="24"/>
                    </w:rPr>
                    <w:t>5．椅面规格≥400mm×375mm，材质为厚≥40mmPE塑料，颜色为浅灰；靠背规格为长度≥375mm、高度≥210mm，厚度≥45mm，靠背钢管≥20×40×1.2mm椭圆形钢管，椅脚采用≥30*50mm椭圆形钢管，壁厚≥1.2mm。椅立管采用≥30*60mm椭圆形钢管，壁厚≥1.2mm。</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600</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1个月</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合同签订后（以上付款节点均以财政资金到位为前提）</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项目供货到指定地点（以上付款节点均以财政资金到位为前提）</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安装调试完成后（以上付款节点均以财政资金到位为前提）</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验收合格后（以上付款节点均以财政资金到位为前提）</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不满一年的按照一年质保，超过一年的随产品质保</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成交供应商未按合同要求执行、质量不能满足要求，采购人可根据成交供应商的违约情况，调整成交供应商的供货范围或取消其服务资格，并终止合同,并对供方违约行为进行追究，同时按《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1.中标人须提交纸质版投标文件（胶装）：正本壹份、副本壹份、电子版壹份（U盘、标明供应商名称），电子版文件包含Word版本和PDF版本。 2.纸质版文件递交时间：中标结果公告公示期结束后。 3.纸质版文件递交：陕西省铜川市新区铁诺北路2号（大学生创业孵化园）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具有独立承担民事责任的能力的相关证明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 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供应商授权合法的人参加采购</w:t>
            </w:r>
          </w:p>
        </w:tc>
        <w:tc>
          <w:tcPr>
            <w:tcW w:type="dxa" w:w="3322"/>
          </w:tcPr>
          <w:p>
            <w:pPr>
              <w:pStyle w:val="null3"/>
            </w:pPr>
            <w:r>
              <w:rPr>
                <w:rFonts w:ascii="仿宋_GB2312" w:hAnsi="仿宋_GB2312" w:cs="仿宋_GB2312" w:eastAsia="仿宋_GB2312"/>
              </w:rPr>
              <w:t>法定代表人直接参加的，须提交法定代表人身份证原件。法定代表人授权代表参加的，须出具法 定代表人授权书及授权代表身份证明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提供2023或2024年度的财务审计报告(至少包括资产负债表和利润表，或其基本存款账户开户 银行出具的资信证明及基本存款账户开户许可证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提供响应文件递交截止日前六个月内已缴存的至少一个月的社会保障保障资金缴存单据或社保机 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提供响应文件递交截止日前六个月内已缴存的至少一个月的纳税证明或完税证明(时间以税款所 属日期为准税种为任意税种)，依法免税的单位应提供相关证明材料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提供参加政府采购活动前三年内，在经营活动中没有重大违法记录的投标响应声明书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 （www.creditchina.gov.cn）中列入失信被执行人和重大 税收 违法案 件当事人名单的投标人，不得为中国政府采购网（www.ccgp.gov.cn）政府采 购严重 违法失信行为记录名单中被财政 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 的政 府采购活动；</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商务应答表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磋商响应函签字盖章</w:t>
            </w:r>
          </w:p>
        </w:tc>
        <w:tc>
          <w:tcPr>
            <w:tcW w:type="dxa" w:w="3322"/>
          </w:tcPr>
          <w:p>
            <w:pPr>
              <w:pStyle w:val="null3"/>
            </w:pPr>
            <w:r>
              <w:rPr>
                <w:rFonts w:ascii="仿宋_GB2312" w:hAnsi="仿宋_GB2312" w:cs="仿宋_GB2312" w:eastAsia="仿宋_GB2312"/>
              </w:rPr>
              <w:t>响应文件必须由法定代表人或其授权代理人签字并加盖公章</w:t>
            </w:r>
          </w:p>
        </w:tc>
        <w:tc>
          <w:tcPr>
            <w:tcW w:type="dxa" w:w="1661"/>
          </w:tcPr>
          <w:p>
            <w:pPr>
              <w:pStyle w:val="null3"/>
            </w:pPr>
            <w:r>
              <w:rPr>
                <w:rFonts w:ascii="仿宋_GB2312" w:hAnsi="仿宋_GB2312" w:cs="仿宋_GB2312" w:eastAsia="仿宋_GB2312"/>
              </w:rPr>
              <w:t>响应文件封面 商务应答表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 “响应文件格式”的要求</w:t>
            </w:r>
          </w:p>
        </w:tc>
        <w:tc>
          <w:tcPr>
            <w:tcW w:type="dxa" w:w="1661"/>
          </w:tcPr>
          <w:p>
            <w:pPr>
              <w:pStyle w:val="null3"/>
            </w:pPr>
            <w:r>
              <w:rPr>
                <w:rFonts w:ascii="仿宋_GB2312" w:hAnsi="仿宋_GB2312" w:cs="仿宋_GB2312" w:eastAsia="仿宋_GB2312"/>
              </w:rPr>
              <w:t>响应文件封面 中小企业声明函 商务应答表 供应商应提交的相关资格证明材料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一份响应文件只有一个响应报价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截止开标之日起90日历日</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响应报价有效性</w:t>
            </w:r>
          </w:p>
        </w:tc>
        <w:tc>
          <w:tcPr>
            <w:tcW w:type="dxa" w:w="3322"/>
          </w:tcPr>
          <w:p>
            <w:pPr>
              <w:pStyle w:val="null3"/>
            </w:pPr>
            <w:r>
              <w:rPr>
                <w:rFonts w:ascii="仿宋_GB2312" w:hAnsi="仿宋_GB2312" w:cs="仿宋_GB2312" w:eastAsia="仿宋_GB2312"/>
              </w:rPr>
              <w:t>响应总报价未超出招标人设定的上限控制价为有效报价。 注：除此之外的报价视为无效报价，按废标处理，且不参与评标基准价计算。</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投标报价有选择性报价或者投标报价重新计算后超过本项目采购预算或者最高限价的;B、供应商未经过正常渠道领取采购文件或供应商名称与领取采购文件时登记的供应商名称不符的;C、供应商针对同一项目递交两份或多份内容不同的投标文件，未书面声明哪一份是有效的或出现选择性报价的;D、提供虚假资质、虚假资料、虚假证明(包括第三方提供的虚假证明);出现虚假应答、承诺、声明的，除按无效投标文件处理外，还将按照政府采购的有关规定进行处罚;E、供应商在商务响应方面附加了采购单位难以接受的条件或条款的;F、在政府采购或其它重大项目履约过程中有不良记录或未能按期履约的;G、供应商使用虚假印章或印章无法证实为真实有效;H、报价子目出现漏项或报价与要求不符的;1、提供虚假技术性能指标。J、实质性内容不满足、未完全未响应招标要求或擅自改动采 购清单的;K、投标文件的关键内容字迹模糊 、无法辨认的;L、不符合法律、法规规定的其它实质性要求的。</w:t>
            </w:r>
          </w:p>
        </w:tc>
        <w:tc>
          <w:tcPr>
            <w:tcW w:type="dxa" w:w="1661"/>
          </w:tcPr>
          <w:p>
            <w:pPr>
              <w:pStyle w:val="null3"/>
            </w:pPr>
            <w:r>
              <w:rPr>
                <w:rFonts w:ascii="仿宋_GB2312" w:hAnsi="仿宋_GB2312" w:cs="仿宋_GB2312" w:eastAsia="仿宋_GB2312"/>
              </w:rPr>
              <w:t>响应文件封面 商务应答表 供应商应提交的相关资格证明材料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 货 服 务 方 案</w:t>
            </w:r>
          </w:p>
        </w:tc>
        <w:tc>
          <w:tcPr>
            <w:tcW w:type="dxa" w:w="2492"/>
          </w:tcPr>
          <w:p>
            <w:pPr>
              <w:pStyle w:val="null3"/>
            </w:pPr>
            <w:r>
              <w:rPr>
                <w:rFonts w:ascii="仿宋_GB2312" w:hAnsi="仿宋_GB2312" w:cs="仿宋_GB2312" w:eastAsia="仿宋_GB2312"/>
              </w:rPr>
              <w:t>一、评审内容 根据项目特点，详细描述项目货物的供货、施工部署方案。内容包括：①货 物配送计 划②实施进度安排③安装安排④确认收货流程。 二、评审标准 1、完整性：方案 必须全面，对评审 内容中的各项要求有详细描述； 2、可实施性：切合本项目实际情况， 提出步骤清晰、合理的方案 ； 3、针对性：方案能够紧扣项目实际情况，内容科学合理。 三、赋分标准（满分20分） ①货物配送计划：根据评审标准赋分0-5分，满分5分； ②实 施进度安排：根据评审标准赋分0-5分，满分 5分； ③安装安排：根据评审标准赋分0-5 分满分5分； ④确认收货流程：根据评审标准赋分0-5分 ，满分5分。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 量 保 证 方 案</w:t>
            </w:r>
          </w:p>
        </w:tc>
        <w:tc>
          <w:tcPr>
            <w:tcW w:type="dxa" w:w="2492"/>
          </w:tcPr>
          <w:p>
            <w:pPr>
              <w:pStyle w:val="null3"/>
            </w:pPr>
            <w:r>
              <w:rPr>
                <w:rFonts w:ascii="仿宋_GB2312" w:hAnsi="仿宋_GB2312" w:cs="仿宋_GB2312" w:eastAsia="仿宋_GB2312"/>
              </w:rPr>
              <w:t>一、评审内容 根据项目实际需要，提供质量保证方案。方案内容包含①产品制造工艺及原材 料保障 ②产品安装工艺质量保证。 二、评审标准 1、完整性：方案必须全面，对评审内 容中的各项要求有 详细描述； 2、可实施性：切合本项目实际情况，提出步骤清晰、合理 的方案； 3、针对性：方案 能够紧扣项目实际情况，内容科学合理。 三、赋分标准（满 分12分） ①产品制造工艺及原材料保障 ：根据评审标准赋分0-6分，满分6分； ②产品安 装工艺质量保证：根据评审标准赋分0-6分，满分 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 后 服 务 方 案</w:t>
            </w:r>
          </w:p>
        </w:tc>
        <w:tc>
          <w:tcPr>
            <w:tcW w:type="dxa" w:w="2492"/>
          </w:tcPr>
          <w:p>
            <w:pPr>
              <w:pStyle w:val="null3"/>
            </w:pPr>
            <w:r>
              <w:rPr>
                <w:rFonts w:ascii="仿宋_GB2312" w:hAnsi="仿宋_GB2312" w:cs="仿宋_GB2312" w:eastAsia="仿宋_GB2312"/>
              </w:rPr>
              <w:t>一、评审内容 根据项目实际需求，提供针对本项目的售后服务方案，方 案。内容 包含①售后服务承诺②售后服务内容③响应时间、响应方式及响应速度④售后服 务期限。 二、评审 标准 1、完整性：方案必须全面，对评审内容中的各项要求有详细描 述； 2、可实施性：切合本项 目实际情况，提出步骤清晰、合理的方案； 3、针对性：方 案能够紧扣项目实际情况，内容科学合 理。 三、赋分标准（满分12分） ①售后服务承诺 ：根据评审标准赋分0-3分，满分3分； ②售后服 务内容:根据评审标准赋分0-3分，满分3 分； ③响应时间、响应方式及响应速度：根据评审标准赋 分0-3分，满分3分。 ④售后服 务期限：根据评审标准赋分0-3分，，满分3分。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合 理 建 议</w:t>
            </w:r>
          </w:p>
        </w:tc>
        <w:tc>
          <w:tcPr>
            <w:tcW w:type="dxa" w:w="2492"/>
          </w:tcPr>
          <w:p>
            <w:pPr>
              <w:pStyle w:val="null3"/>
            </w:pPr>
            <w:r>
              <w:rPr>
                <w:rFonts w:ascii="仿宋_GB2312" w:hAnsi="仿宋_GB2312" w:cs="仿宋_GB2312" w:eastAsia="仿宋_GB2312"/>
              </w:rPr>
              <w:t>针对本项目实施过程中的重点和难点，提供有针对性的合理化建议。根据评审标准赋分0- 5分，不 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 品 合 法 来 源 证 明</w:t>
            </w:r>
          </w:p>
        </w:tc>
        <w:tc>
          <w:tcPr>
            <w:tcW w:type="dxa" w:w="2492"/>
          </w:tcPr>
          <w:p>
            <w:pPr>
              <w:pStyle w:val="null3"/>
            </w:pPr>
            <w:r>
              <w:rPr>
                <w:rFonts w:ascii="仿宋_GB2312" w:hAnsi="仿宋_GB2312" w:cs="仿宋_GB2312" w:eastAsia="仿宋_GB2312"/>
              </w:rPr>
              <w:t>智慧黑板带“▲”号条款为允许负偏离的参数需求，若未响应或者不满足，将在综合评审中予以扣分处理。提供产品合法来源证明材料（包括但不限于销售协议、代理协议、原厂授权检测报告 等） 。每提供一个产品得0.5分，计满5分为止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 目 业 绩</w:t>
            </w:r>
          </w:p>
        </w:tc>
        <w:tc>
          <w:tcPr>
            <w:tcW w:type="dxa" w:w="2492"/>
          </w:tcPr>
          <w:p>
            <w:pPr>
              <w:pStyle w:val="null3"/>
            </w:pPr>
            <w:r>
              <w:rPr>
                <w:rFonts w:ascii="仿宋_GB2312" w:hAnsi="仿宋_GB2312" w:cs="仿宋_GB2312" w:eastAsia="仿宋_GB2312"/>
              </w:rPr>
              <w:t>提供 2022年1月至今已完成类似业绩，每提供1项业绩得2分，最多得6分。(评审依据 : 附合同或中标通知书的复印件或扫描件并加盖供应商公章，时间以合同签订时间或中 标通 知书中体现的时间为准。)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突 发 应 急 情 况 预 案</w:t>
            </w:r>
          </w:p>
        </w:tc>
        <w:tc>
          <w:tcPr>
            <w:tcW w:type="dxa" w:w="2492"/>
          </w:tcPr>
          <w:p>
            <w:pPr>
              <w:pStyle w:val="null3"/>
            </w:pPr>
            <w:r>
              <w:rPr>
                <w:rFonts w:ascii="仿宋_GB2312" w:hAnsi="仿宋_GB2312" w:cs="仿宋_GB2312" w:eastAsia="仿宋_GB2312"/>
              </w:rPr>
              <w:t>1.提供针对本项目突发事件的应急响应能力(包括但不限于人员冲突，运输途中突发交通 事故、自然灾害等)，计0-5分，不提供不计分； 2.提供针对本项目突发事件的应急预案 和措施，计0-5分，不提供不计分。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 求且最终报价最低的供应商的价格为磋商基准价，其价格分为满分30分。(3)磋商报价得 分=(磋商基准价/最终磋商报价)x30。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详见附件：参考合同（货物）.docx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