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版本号：ZC-HJL2025-02120251119001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新区社会事业局建设千万工程助残就业服务驿站项目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ZC-HJL2025-021</w:t>
      </w:r>
      <w:r>
        <w:br/>
      </w:r>
      <w:r>
        <w:br/>
      </w:r>
      <w:r>
        <w:br/>
      </w:r>
    </w:p>
    <w:p>
      <w:pPr>
        <w:pStyle w:val="null3"/>
        <w:jc w:val="center"/>
        <w:outlineLvl w:val="2"/>
      </w:pPr>
      <w:r>
        <w:rPr>
          <w:rFonts w:ascii="仿宋_GB2312" w:hAnsi="仿宋_GB2312" w:cs="仿宋_GB2312" w:eastAsia="仿宋_GB2312"/>
          <w:sz w:val="28"/>
          <w:b/>
        </w:rPr>
        <w:t>铜川市新区社会事业局</w:t>
      </w:r>
    </w:p>
    <w:p>
      <w:pPr>
        <w:pStyle w:val="null3"/>
        <w:jc w:val="center"/>
        <w:outlineLvl w:val="2"/>
      </w:pPr>
      <w:r>
        <w:rPr>
          <w:rFonts w:ascii="仿宋_GB2312" w:hAnsi="仿宋_GB2312" w:cs="仿宋_GB2312" w:eastAsia="仿宋_GB2312"/>
          <w:sz w:val="28"/>
          <w:b/>
        </w:rPr>
        <w:t>华建联项目管理有限公司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华建联项目管理有限公司</w:t>
      </w:r>
      <w:r>
        <w:rPr>
          <w:rFonts w:ascii="仿宋_GB2312" w:hAnsi="仿宋_GB2312" w:cs="仿宋_GB2312" w:eastAsia="仿宋_GB2312"/>
        </w:rPr>
        <w:t>（以下简称“代理机构”）受</w:t>
      </w:r>
      <w:r>
        <w:rPr>
          <w:rFonts w:ascii="仿宋_GB2312" w:hAnsi="仿宋_GB2312" w:cs="仿宋_GB2312" w:eastAsia="仿宋_GB2312"/>
        </w:rPr>
        <w:t>铜川市新区社会事业局</w:t>
      </w:r>
      <w:r>
        <w:rPr>
          <w:rFonts w:ascii="仿宋_GB2312" w:hAnsi="仿宋_GB2312" w:cs="仿宋_GB2312" w:eastAsia="仿宋_GB2312"/>
        </w:rPr>
        <w:t>委托，拟对</w:t>
      </w:r>
      <w:r>
        <w:rPr>
          <w:rFonts w:ascii="仿宋_GB2312" w:hAnsi="仿宋_GB2312" w:cs="仿宋_GB2312" w:eastAsia="仿宋_GB2312"/>
        </w:rPr>
        <w:t>新区社会事业局建设千万工程助残就业服务驿站项目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ZC-HJL2025-021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新区社会事业局建设千万工程助残就业服务驿站项目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实现新区“千万工程”助残服务驿站全覆盖，构建“15分钟助残服务圈”，购置辅助器具、购买办公用品等服务设施。提升基层残疾人基本公共服务均等化水平，促进残疾人全面发展和共同富裕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采购包1（新区社会事业局建设千万工程助残就业服务驿站项目）：属于专门面向中小企业采购。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1、具有独立承担民事责任的能力的相关证明：具有独立承担民事责任能力的法人、其他组织或自然人，并出具合法有效的营业执照或事业单位 法人证书等国家规定的相关证明，自然人参与的提供其身份证明</w:t>
      </w:r>
    </w:p>
    <w:p>
      <w:pPr>
        <w:pStyle w:val="null3"/>
      </w:pPr>
      <w:r>
        <w:rPr>
          <w:rFonts w:ascii="仿宋_GB2312" w:hAnsi="仿宋_GB2312" w:cs="仿宋_GB2312" w:eastAsia="仿宋_GB2312"/>
        </w:rPr>
        <w:t>2、供应商授权合法的人参加采购：法定代表人直接参加的，须提交法定代表人身份证原件。法定代表人授权代表参加的，须出具法 定代表人授权书及授权代表身份证明</w:t>
      </w:r>
    </w:p>
    <w:p>
      <w:pPr>
        <w:pStyle w:val="null3"/>
      </w:pPr>
      <w:r>
        <w:rPr>
          <w:rFonts w:ascii="仿宋_GB2312" w:hAnsi="仿宋_GB2312" w:cs="仿宋_GB2312" w:eastAsia="仿宋_GB2312"/>
        </w:rPr>
        <w:t>3、财务状况报告：提供2023或2024年度的财务审计报告(至少包括资产负债表和利润表，或其基本存款账户开户 银行出具的资信证明及基本存款账户开户许可证</w:t>
      </w:r>
    </w:p>
    <w:p>
      <w:pPr>
        <w:pStyle w:val="null3"/>
      </w:pPr>
      <w:r>
        <w:rPr>
          <w:rFonts w:ascii="仿宋_GB2312" w:hAnsi="仿宋_GB2312" w:cs="仿宋_GB2312" w:eastAsia="仿宋_GB2312"/>
        </w:rPr>
        <w:t>4、社保缴纳证明：提供响应文件递交截止日前六个月内已缴存的至少一个月的社会保障保障资金缴存单据或社保机 构开具的社会保险参保缴费证明，依法不需要缴纳社会保障资金的单位应提供相应证明文件</w:t>
      </w:r>
    </w:p>
    <w:p>
      <w:pPr>
        <w:pStyle w:val="null3"/>
      </w:pPr>
      <w:r>
        <w:rPr>
          <w:rFonts w:ascii="仿宋_GB2312" w:hAnsi="仿宋_GB2312" w:cs="仿宋_GB2312" w:eastAsia="仿宋_GB2312"/>
        </w:rPr>
        <w:t>5、税收缴纳证明：提供响应文件递交截止日前六个月内已缴存的至少一个月的纳税证明或完税证明(时间以税款所 属日期为准税种为任意税种)，依法免税的单位应提供相关证明材料</w:t>
      </w:r>
    </w:p>
    <w:p>
      <w:pPr>
        <w:pStyle w:val="null3"/>
      </w:pPr>
      <w:r>
        <w:rPr>
          <w:rFonts w:ascii="仿宋_GB2312" w:hAnsi="仿宋_GB2312" w:cs="仿宋_GB2312" w:eastAsia="仿宋_GB2312"/>
        </w:rPr>
        <w:t>6、书面声明：提供参加政府采购活动前三年内，在经营活动中没有重大违法记录的投标响应声明书</w:t>
      </w:r>
    </w:p>
    <w:p>
      <w:pPr>
        <w:pStyle w:val="null3"/>
      </w:pPr>
      <w:r>
        <w:rPr>
          <w:rFonts w:ascii="仿宋_GB2312" w:hAnsi="仿宋_GB2312" w:cs="仿宋_GB2312" w:eastAsia="仿宋_GB2312"/>
        </w:rPr>
        <w:t>7、具有履行合同所必需的设备和专业技术能力：提供具有履行合同所必需的设备和专业技术能力的承诺</w:t>
      </w:r>
    </w:p>
    <w:p>
      <w:pPr>
        <w:pStyle w:val="null3"/>
      </w:pPr>
      <w:r>
        <w:rPr>
          <w:rFonts w:ascii="仿宋_GB2312" w:hAnsi="仿宋_GB2312" w:cs="仿宋_GB2312" w:eastAsia="仿宋_GB2312"/>
        </w:rPr>
        <w:t>8、信用查询：供应商不得为“信用中国”网站 （www.creditchina.gov.cn）中列入失信被执行人和重大 税收 违法案 件当事人名单的投标人，不得为中国政府采购网（www.ccgp.gov.cn）政府采 购严重 违法失信行为记录名单中被财政 部门禁止参加政府采购活动的投标人</w:t>
      </w:r>
    </w:p>
    <w:p>
      <w:pPr>
        <w:pStyle w:val="null3"/>
      </w:pPr>
      <w:r>
        <w:rPr>
          <w:rFonts w:ascii="仿宋_GB2312" w:hAnsi="仿宋_GB2312" w:cs="仿宋_GB2312" w:eastAsia="仿宋_GB2312"/>
        </w:rPr>
        <w:t>9、承诺函：单位负责人为同一人或者存在直接控股、管理关系的不同投标人，不得参加同一合同项下 的政 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铜川市新区社会事业局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新区管委会新楼4楼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关红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15709191059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华建联项目管理有限公司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陕西省西安市碑林区西安市碑林区南二环东段561号，长安大街3号A座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巩毓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18091920996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高炜</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0919-3181026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本采购项目中标价为基数，按国家计委颁发的《招标代理服务收费管理暂行办法》（计价格[2002]1980号）和国家发展改革委员会办公厅颁发的《关于招标代理服务收费有关问题的通知》（发改办价格[2003] 857号）的有关规定收取，向采购代理机构一次付清代理服务费。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铜川市新区社会事业局</w:t>
      </w:r>
      <w:r>
        <w:rPr>
          <w:rFonts w:ascii="仿宋_GB2312" w:hAnsi="仿宋_GB2312" w:cs="仿宋_GB2312" w:eastAsia="仿宋_GB2312"/>
        </w:rPr>
        <w:t>和</w:t>
      </w:r>
      <w:r>
        <w:rPr>
          <w:rFonts w:ascii="仿宋_GB2312" w:hAnsi="仿宋_GB2312" w:cs="仿宋_GB2312" w:eastAsia="仿宋_GB2312"/>
        </w:rPr>
        <w:t>华建联项目管理有限公司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铜川市新区社会事业局</w:t>
      </w:r>
      <w:r>
        <w:rPr>
          <w:rFonts w:ascii="仿宋_GB2312" w:hAnsi="仿宋_GB2312" w:cs="仿宋_GB2312" w:eastAsia="仿宋_GB2312"/>
        </w:rPr>
        <w:t>负责解释。除上述磋商文件内容，其他内容由</w:t>
      </w:r>
      <w:r>
        <w:rPr>
          <w:rFonts w:ascii="仿宋_GB2312" w:hAnsi="仿宋_GB2312" w:cs="仿宋_GB2312" w:eastAsia="仿宋_GB2312"/>
        </w:rPr>
        <w:t>华建联项目管理有限公司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铜川市新区社会事业局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华建联项目管理有限公司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华建联项目管理有限公司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联系人：巩毓</w:t>
      </w:r>
    </w:p>
    <w:p>
      <w:pPr>
        <w:pStyle w:val="null3"/>
      </w:pPr>
      <w:r>
        <w:rPr>
          <w:rFonts w:ascii="仿宋_GB2312" w:hAnsi="仿宋_GB2312" w:cs="仿宋_GB2312" w:eastAsia="仿宋_GB2312"/>
        </w:rPr>
        <w:t>联系电话：18091920996</w:t>
      </w:r>
    </w:p>
    <w:p>
      <w:pPr>
        <w:pStyle w:val="null3"/>
      </w:pPr>
      <w:r>
        <w:rPr>
          <w:rFonts w:ascii="仿宋_GB2312" w:hAnsi="仿宋_GB2312" w:cs="仿宋_GB2312" w:eastAsia="仿宋_GB2312"/>
        </w:rPr>
        <w:t>地址：陕西省铜川市铁诺北路2号（大学生创业孵化园）</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实现新区“千万工程”助残服务驿站全覆盖，构建“15分钟助残服务圈”，购置辅助器具、购买办公用品等服务设施。提升基层残疾人基本公共服务均等化水平，促进残疾人全面发展和共同富裕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新区社会事业局建设千万工程助残就业服务驿站项目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标的名称：新区社会事业局建设千万工程助残就业服务驿站项目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27"/>
              <w:gridCol w:w="361"/>
              <w:gridCol w:w="1547"/>
              <w:gridCol w:w="197"/>
              <w:gridCol w:w="214"/>
            </w:tblGrid>
            <w:tr>
              <w:tc>
                <w:tcPr>
                  <w:tcW w:type="dxa" w:w="2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序号</w:t>
                  </w:r>
                </w:p>
              </w:tc>
              <w:tc>
                <w:tcPr>
                  <w:tcW w:type="dxa" w:w="3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产品名称</w:t>
                  </w:r>
                </w:p>
              </w:tc>
              <w:tc>
                <w:tcPr>
                  <w:tcW w:type="dxa" w:w="154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参数</w:t>
                  </w:r>
                </w:p>
              </w:tc>
              <w:tc>
                <w:tcPr>
                  <w:tcW w:type="dxa" w:w="19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单位</w:t>
                  </w:r>
                </w:p>
              </w:tc>
              <w:tc>
                <w:tcPr>
                  <w:tcW w:type="dxa" w:w="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数量</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宣传</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250±50*100±50，材质：1.0厘米厚PVC+UV喷砂；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项</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2</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制度</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90±50*60±50；材质：厚KT板；</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3</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使用规范</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尺寸：</w:t>
                  </w:r>
                  <w:r>
                    <w:rPr>
                      <w:rFonts w:ascii="仿宋_GB2312" w:hAnsi="仿宋_GB2312" w:cs="仿宋_GB2312" w:eastAsia="仿宋_GB2312"/>
                      <w:sz w:val="22"/>
                      <w:color w:val="000000"/>
                    </w:rPr>
                    <w:t>90±50*60±50；材质：厚KT板；</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轮椅</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1、材质:  车架采用优质高强度A3钢焊接而成，表面采用喷涂处理，</w:t>
                  </w:r>
                  <w:r>
                    <w:br/>
                  </w:r>
                  <w:r>
                    <w:rPr>
                      <w:rFonts w:ascii="仿宋_GB2312" w:hAnsi="仿宋_GB2312" w:cs="仿宋_GB2312" w:eastAsia="仿宋_GB2312"/>
                      <w:sz w:val="22"/>
                      <w:color w:val="000000"/>
                    </w:rPr>
                    <w:t>2、靠背角度完全按入体腰部生理弯曲度来设计，为人体提供最佳支撑;后把手带有连刹车功能,，又具有肘节式刹车功能，</w:t>
                  </w:r>
                  <w:r>
                    <w:br/>
                  </w:r>
                  <w:r>
                    <w:rPr>
                      <w:rFonts w:ascii="仿宋_GB2312" w:hAnsi="仿宋_GB2312" w:cs="仿宋_GB2312" w:eastAsia="仿宋_GB2312"/>
                      <w:sz w:val="22"/>
                      <w:color w:val="000000"/>
                    </w:rPr>
                    <w:t>3、脚踏板采用偏心装置锁紧，方便进行高度调节，轮胎为免充气轮胎，塑料脚踏板。</w:t>
                  </w:r>
                  <w:r>
                    <w:br/>
                  </w:r>
                  <w:r>
                    <w:rPr>
                      <w:rFonts w:ascii="仿宋_GB2312" w:hAnsi="仿宋_GB2312" w:cs="仿宋_GB2312" w:eastAsia="仿宋_GB2312"/>
                      <w:sz w:val="22"/>
                      <w:color w:val="000000"/>
                    </w:rPr>
                    <w:t>4、可折叠式车型方便携带出行，牛津布软坐垫，透气</w:t>
                  </w:r>
                  <w:r>
                    <w:br/>
                  </w:r>
                  <w:r>
                    <w:rPr>
                      <w:rFonts w:ascii="仿宋_GB2312" w:hAnsi="仿宋_GB2312" w:cs="仿宋_GB2312" w:eastAsia="仿宋_GB2312"/>
                      <w:sz w:val="22"/>
                      <w:color w:val="000000"/>
                    </w:rPr>
                    <w:t>5、最大负荷承载≥100KG</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138</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5</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腋拐</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rFonts w:ascii="仿宋_GB2312" w:hAnsi="仿宋_GB2312" w:cs="仿宋_GB2312" w:eastAsia="仿宋_GB2312"/>
                      <w:sz w:val="22"/>
                      <w:color w:val="000000"/>
                    </w:rPr>
                    <w:t>主架：采用国家标准铝合金为主要材料。</w:t>
                  </w:r>
                </w:p>
                <w:p>
                  <w:pPr>
                    <w:pStyle w:val="null3"/>
                    <w:numPr>
                      <w:ilvl w:val="0"/>
                      <w:numId w:val="1"/>
                    </w:numPr>
                    <w:jc w:val="left"/>
                  </w:pPr>
                  <w:r>
                    <w:rPr>
                      <w:rFonts w:ascii="仿宋_GB2312" w:hAnsi="仿宋_GB2312" w:cs="仿宋_GB2312" w:eastAsia="仿宋_GB2312"/>
                      <w:sz w:val="22"/>
                      <w:color w:val="000000"/>
                    </w:rPr>
                    <w:t>材质：表面阳极氧化处理的铝合金管；软托为</w:t>
                  </w:r>
                  <w:r>
                    <w:rPr>
                      <w:rFonts w:ascii="仿宋_GB2312" w:hAnsi="仿宋_GB2312" w:cs="仿宋_GB2312" w:eastAsia="仿宋_GB2312"/>
                      <w:sz w:val="22"/>
                      <w:color w:val="000000"/>
                    </w:rPr>
                    <w:t>PPR发泡材质,硬托、手把采用工程聚丙材料一次注塑成型，抗菌抗老化。</w:t>
                  </w:r>
                  <w:r>
                    <w:br/>
                  </w:r>
                  <w:r>
                    <w:rPr>
                      <w:rFonts w:ascii="仿宋_GB2312" w:hAnsi="仿宋_GB2312" w:cs="仿宋_GB2312" w:eastAsia="仿宋_GB2312"/>
                      <w:sz w:val="22"/>
                      <w:color w:val="000000"/>
                    </w:rPr>
                    <w:t>3、脚垫：材质为有弹性、耐磨、表面摩擦系数较高的防滑橡胶材料；</w:t>
                  </w:r>
                  <w:r>
                    <w:br/>
                  </w:r>
                  <w:r>
                    <w:rPr>
                      <w:rFonts w:ascii="仿宋_GB2312" w:hAnsi="仿宋_GB2312" w:cs="仿宋_GB2312" w:eastAsia="仿宋_GB2312"/>
                      <w:sz w:val="22"/>
                      <w:color w:val="000000"/>
                    </w:rPr>
                    <w:t>4、性能：高度可调节，至少可9档调节高度，适合1.5m～1.8m人群使用。</w:t>
                  </w:r>
                  <w:r>
                    <w:br/>
                  </w:r>
                  <w:r>
                    <w:rPr>
                      <w:rFonts w:ascii="仿宋_GB2312" w:hAnsi="仿宋_GB2312" w:cs="仿宋_GB2312" w:eastAsia="仿宋_GB2312"/>
                      <w:sz w:val="22"/>
                      <w:color w:val="000000"/>
                    </w:rPr>
                    <w:t>5、调节方式：弹珠式调节</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副</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6</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助行器</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1、框架材质：铝合金，可折叠结构。</w:t>
                  </w:r>
                  <w:r>
                    <w:br/>
                  </w:r>
                  <w:r>
                    <w:rPr>
                      <w:rFonts w:ascii="仿宋_GB2312" w:hAnsi="仿宋_GB2312" w:cs="仿宋_GB2312" w:eastAsia="仿宋_GB2312"/>
                      <w:sz w:val="22"/>
                      <w:color w:val="000000"/>
                    </w:rPr>
                    <w:t>2、脚管：高度可调,脚垫材质为耐磨、有弹性、表面摩擦系数较高的防滑橡胶材料。</w:t>
                  </w:r>
                  <w:r>
                    <w:br/>
                  </w:r>
                  <w:r>
                    <w:rPr>
                      <w:rFonts w:ascii="仿宋_GB2312" w:hAnsi="仿宋_GB2312" w:cs="仿宋_GB2312" w:eastAsia="仿宋_GB2312"/>
                      <w:sz w:val="22"/>
                      <w:color w:val="000000"/>
                    </w:rPr>
                    <w:t>3、把手高度：高度可调，防滑；至少5档调节。</w:t>
                  </w:r>
                  <w:r>
                    <w:br/>
                  </w:r>
                  <w:r>
                    <w:rPr>
                      <w:rFonts w:ascii="仿宋_GB2312" w:hAnsi="仿宋_GB2312" w:cs="仿宋_GB2312" w:eastAsia="仿宋_GB2312"/>
                      <w:sz w:val="22"/>
                      <w:color w:val="000000"/>
                    </w:rPr>
                    <w:t>4、外形：可折叠，可定向。</w:t>
                  </w:r>
                  <w:r>
                    <w:br/>
                  </w:r>
                  <w:r>
                    <w:rPr>
                      <w:rFonts w:ascii="仿宋_GB2312" w:hAnsi="仿宋_GB2312" w:cs="仿宋_GB2312" w:eastAsia="仿宋_GB2312"/>
                      <w:sz w:val="22"/>
                      <w:color w:val="000000"/>
                    </w:rPr>
                    <w:t>5、最大承载量≥110kg；</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7</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四角手杖</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1、铝合金氧化亮银上支、钢管电镀带四脚下支，可调节高度。                         </w:t>
                  </w:r>
                  <w:r>
                    <w:br/>
                  </w:r>
                  <w:r>
                    <w:rPr>
                      <w:rFonts w:ascii="仿宋_GB2312" w:hAnsi="仿宋_GB2312" w:cs="仿宋_GB2312" w:eastAsia="仿宋_GB2312"/>
                      <w:sz w:val="22"/>
                      <w:color w:val="000000"/>
                    </w:rPr>
                    <w:t>2、下支四脚须套有耐磨防滑胶脚，直径不小于13mm。</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92</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8</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哑铃一套（含哑铃台）</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1、至少含18个哑铃，从1、2、4、5、6、7、8磅各一副。</w:t>
                  </w:r>
                  <w:r>
                    <w:br/>
                  </w:r>
                  <w:r>
                    <w:rPr>
                      <w:rFonts w:ascii="仿宋_GB2312" w:hAnsi="仿宋_GB2312" w:cs="仿宋_GB2312" w:eastAsia="仿宋_GB2312"/>
                      <w:sz w:val="22"/>
                      <w:color w:val="000000"/>
                    </w:rPr>
                    <w:t>2、哑铃材质：型钢，表面喷塑</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9</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健身按摩椅</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1、按摩强度可自行调节、多点推拿按摩；</w:t>
                  </w:r>
                </w:p>
                <w:p>
                  <w:pPr>
                    <w:pStyle w:val="null3"/>
                    <w:jc w:val="left"/>
                  </w:pPr>
                  <w:r>
                    <w:rPr>
                      <w:rFonts w:ascii="仿宋_GB2312" w:hAnsi="仿宋_GB2312" w:cs="仿宋_GB2312" w:eastAsia="仿宋_GB2312"/>
                      <w:sz w:val="22"/>
                      <w:color w:val="000000"/>
                    </w:rPr>
                    <w:t>2、导轨类型：直导轨</w:t>
                  </w:r>
                  <w:r>
                    <w:br/>
                  </w:r>
                  <w:r>
                    <w:rPr>
                      <w:rFonts w:ascii="仿宋_GB2312" w:hAnsi="仿宋_GB2312" w:cs="仿宋_GB2312" w:eastAsia="仿宋_GB2312"/>
                      <w:sz w:val="22"/>
                      <w:color w:val="000000"/>
                    </w:rPr>
                    <w:t>3、适用部位：头部,颈部,背部,腰部,脚部</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个</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r>
            <w:tr>
              <w:tc>
                <w:tcPr>
                  <w:tcW w:type="dxa" w:w="2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10</w:t>
                  </w:r>
                </w:p>
              </w:tc>
              <w:tc>
                <w:tcPr>
                  <w:tcW w:type="dxa" w:w="3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下肢功率车</w:t>
                  </w:r>
                  <w:r>
                    <w:rPr>
                      <w:rFonts w:ascii="仿宋_GB2312" w:hAnsi="仿宋_GB2312" w:cs="仿宋_GB2312" w:eastAsia="仿宋_GB2312"/>
                      <w:sz w:val="20"/>
                      <w:color w:val="000000"/>
                    </w:rPr>
                    <w:t>(骑式)</w:t>
                  </w:r>
                </w:p>
              </w:tc>
              <w:tc>
                <w:tcPr>
                  <w:tcW w:type="dxa" w:w="154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 xml:space="preserve">1、双向内磁磁控轮，皮带传动，至少可8档阻力调节，电子表不仅可以显示心率、锻炼时间、运动速度、距离、消耗热量等功能。           </w:t>
                  </w:r>
                </w:p>
              </w:tc>
              <w:tc>
                <w:tcPr>
                  <w:tcW w:type="dxa" w:w="19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台</w:t>
                  </w:r>
                </w:p>
              </w:tc>
              <w:tc>
                <w:tcPr>
                  <w:tcW w:type="dxa" w:w="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46</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根据采购服务要求进行合理安排</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根据采购服务要求进行合理安排</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符合国家现行技术规范合格标准。组成验收组按照合同约定和有关要求进行验收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满足合同及采购人要求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1.中标人须提交纸质版投标文件（胶装）：正本壹份、副本壹份、电子版壹份（U盘、标明供应商名称），电子版文件包含Word版本和PDF版本。 2.纸质版文件递交时间：中标结果公告公示期结束后。 3.纸质版文件递交：陕西省铜川市新区铁诺北路2号（大学生创业孵化园）</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具有独立承担民事责任的能力的相关证明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 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供应商授权合法的人参加采购</w:t>
            </w:r>
          </w:p>
        </w:tc>
        <w:tc>
          <w:tcPr>
            <w:tcW w:type="dxa" w:w="3322"/>
          </w:tcPr>
          <w:p>
            <w:pPr>
              <w:pStyle w:val="null3"/>
            </w:pPr>
            <w:r>
              <w:rPr>
                <w:rFonts w:ascii="仿宋_GB2312" w:hAnsi="仿宋_GB2312" w:cs="仿宋_GB2312" w:eastAsia="仿宋_GB2312"/>
              </w:rPr>
              <w:t>法定代表人直接参加的，须提交法定代表人身份证原件。法定代表人授权代表参加的，须出具法 定代表人授权书及授权代表身份证明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提供2023或2024年度的财务审计报告(至少包括资产负债表和利润表，或其基本存款账户开户 银行出具的资信证明及基本存款账户开户许可证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提供响应文件递交截止日前六个月内已缴存的至少一个月的社会保障保障资金缴存单据或社保机 构开具的社会保险参保缴费证明，依法不需要缴纳社会保障资金的单位应提供相应证明文件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提供响应文件递交截止日前六个月内已缴存的至少一个月的纳税证明或完税证明(时间以税款所 属日期为准税种为任意税种)，依法免税的单位应提供相关证明材料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提供参加政府采购活动前三年内，在经营活动中没有重大违法记录的投标响应声明书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 （www.creditchina.gov.cn）中列入失信被执行人和重大 税收 违法案 件当事人名单的投标人，不得为中国政府采购网（www.ccgp.gov.cn）政府采 购严重 违法失信行为记录名单中被财政 部门禁止参加政府采购活动的投标人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 的政 府采购活动；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磋商响应函签字盖章</w:t>
            </w:r>
          </w:p>
        </w:tc>
        <w:tc>
          <w:tcPr>
            <w:tcW w:type="dxa" w:w="3322"/>
          </w:tcPr>
          <w:p>
            <w:pPr>
              <w:pStyle w:val="null3"/>
            </w:pPr>
            <w:r>
              <w:rPr>
                <w:rFonts w:ascii="仿宋_GB2312" w:hAnsi="仿宋_GB2312" w:cs="仿宋_GB2312" w:eastAsia="仿宋_GB2312"/>
              </w:rPr>
              <w:t>响应文件必须由法定代表人或其授权代理人签字并加盖公章</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 “响应文件格式”的要求</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一份响应文件只有一个响应报价</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截止开标之日起90日历日</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响应报价有效性</w:t>
            </w:r>
          </w:p>
        </w:tc>
        <w:tc>
          <w:tcPr>
            <w:tcW w:type="dxa" w:w="3322"/>
          </w:tcPr>
          <w:p>
            <w:pPr>
              <w:pStyle w:val="null3"/>
            </w:pPr>
            <w:r>
              <w:rPr>
                <w:rFonts w:ascii="仿宋_GB2312" w:hAnsi="仿宋_GB2312" w:cs="仿宋_GB2312" w:eastAsia="仿宋_GB2312"/>
              </w:rPr>
              <w:t>响应总报价未超出招标人设定的上限控制价为有效报价。 注：除此之外的报价视为无效报价，按废标处理，且不参与评标基准价计算。</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A、供应商的投标报价有选择性报价或者投标报价重新计算后超过本项目采购预算或者最高限价的;B、供应商未经过正常渠道领取采购文件或供应商名称与领取采购文件时登记的供应商名称不符的;C、供应商针对同一项目递交两份或多份内容不同的投标文件，未书面声明哪一份是有效的或出现选择性报价的;D、提供虚假资质、虚假资料、虚假证明(包括第三方提供的虚假证明);出现虚假应答、承诺、声明的，除按无效投标文件处理外，还将按照政府采购的有关规定进行处罚;E、供应商在商务响应方面附加了采购单位难以接受的条件或条款的;F、在政府采购或其它重大项目履约过程中有不良记录或未能按期履约的;G、供应商使用虚假印章或印章无法证实为真实有效;H、报价子目出现漏项或报价与要求不符的;1、提供虚假技术性能指标。J、实质性内容不满足、未完全未响应招标要求或擅自改动采 购清单的;K、投标文件的关键内容字迹模糊 、无法辨认的;L、不符合法律、法规规定的其它实质性要求的。</w:t>
            </w:r>
          </w:p>
        </w:tc>
        <w:tc>
          <w:tcPr>
            <w:tcW w:type="dxa" w:w="1661"/>
          </w:tcPr>
          <w:p>
            <w:pPr>
              <w:pStyle w:val="null3"/>
            </w:pPr>
            <w:r>
              <w:rPr>
                <w:rFonts w:ascii="仿宋_GB2312" w:hAnsi="仿宋_GB2312" w:cs="仿宋_GB2312" w:eastAsia="仿宋_GB2312"/>
              </w:rPr>
              <w:t>响应文件封面 服务内容及服务邀请应答表 商务应答表 服务方案 供应商应提交的相关资格证明材料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供货服务方案</w:t>
            </w:r>
          </w:p>
        </w:tc>
        <w:tc>
          <w:tcPr>
            <w:tcW w:type="dxa" w:w="2492"/>
          </w:tcPr>
          <w:p>
            <w:pPr>
              <w:pStyle w:val="null3"/>
            </w:pPr>
            <w:r>
              <w:rPr>
                <w:rFonts w:ascii="仿宋_GB2312" w:hAnsi="仿宋_GB2312" w:cs="仿宋_GB2312" w:eastAsia="仿宋_GB2312"/>
              </w:rPr>
              <w:t>一、评审内容 根据项目特点，详细描述项目货物的供货、施工部署方案。内容包括：①货物配送计 划②实施进度安排③安装安排④确认收货流程。 二、评审标准 1、完整性：方案必须全面，对评审 内容中的各项要求有详细描述； 2、可实施性：切合本项目实际情况，提出步骤清晰、合理的方案 ； 3、针对性：方案能够紧扣项目实际情况，内容科学合理。 三、赋分标准（满分20分） ①货物 配送计划：根据评审标准赋分0-5分，满分5分； ②实施进度安排：根据评审标准赋分0-5分，满分 5分； ③安装安排：根据评审标准赋分0-5分满分5分； ④确认收货流程：根据评审标准赋分0-5分 ，满分5分。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 量 保 证 方 案</w:t>
            </w:r>
          </w:p>
        </w:tc>
        <w:tc>
          <w:tcPr>
            <w:tcW w:type="dxa" w:w="2492"/>
          </w:tcPr>
          <w:p>
            <w:pPr>
              <w:pStyle w:val="null3"/>
            </w:pPr>
            <w:r>
              <w:rPr>
                <w:rFonts w:ascii="仿宋_GB2312" w:hAnsi="仿宋_GB2312" w:cs="仿宋_GB2312" w:eastAsia="仿宋_GB2312"/>
              </w:rPr>
              <w:t>、评审内容 根据项目实际需要，提供质量保证方案。方案内容包含①产品制造工艺及原材料保障 ②产品安装工艺质量保证。 二、评审标准 1、完整性：方案必须全面，对评审内容中的各项要求有 详细描述； 2、可实施性：切合本项目实际情况，提出步骤清晰、合理的方案； 3、针对性：方案 能够紧扣项目实际情况，内容科学合理。 三、赋分标准（满分12分） ①产品制造工艺及原材料保障 ：根据评审标准赋分0-6分，满分6分； ②产品安装工艺质量保证：根据评审标准赋分0-6分，满分 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 后 服 务 方 案</w:t>
            </w:r>
          </w:p>
        </w:tc>
        <w:tc>
          <w:tcPr>
            <w:tcW w:type="dxa" w:w="2492"/>
          </w:tcPr>
          <w:p>
            <w:pPr>
              <w:pStyle w:val="null3"/>
            </w:pPr>
            <w:r>
              <w:rPr>
                <w:rFonts w:ascii="仿宋_GB2312" w:hAnsi="仿宋_GB2312" w:cs="仿宋_GB2312" w:eastAsia="仿宋_GB2312"/>
              </w:rPr>
              <w:t>售后服务方案： 一、评审内容 根据项目实际需求，提供针对本项目的售后服务方案，方案。内容 包含①售后服务承诺②售后服务内容③响应时间、响应方式及响应速度④售后服务期限。 二、评审 标准 1、完整性：方案必须全面，对评审内容中的各项要求有详细描述； 2、可实施性：切合本项 目实际情况，提出步骤清晰、合理的方案； 3、针对性：方案能够紧扣项目实际情况，内容科学合 理。 三、赋分标准（满分12分） ①售后服务承诺：根据评审标准赋分0-3分，满分3分； ②售后服 务内容:根据评审标准赋分0-3分，满分3分； ③响应时间、响应方式及响应速度：根据评审标准赋 分0-3分，满分3分。 ④售后服务期限：根据评审标准赋分0-3分，，满分3分。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 理 建 议</w:t>
            </w:r>
          </w:p>
        </w:tc>
        <w:tc>
          <w:tcPr>
            <w:tcW w:type="dxa" w:w="2492"/>
          </w:tcPr>
          <w:p>
            <w:pPr>
              <w:pStyle w:val="null3"/>
            </w:pPr>
            <w:r>
              <w:rPr>
                <w:rFonts w:ascii="仿宋_GB2312" w:hAnsi="仿宋_GB2312" w:cs="仿宋_GB2312" w:eastAsia="仿宋_GB2312"/>
              </w:rPr>
              <w:t>针对本项目实施过程中的重点和难点，提供有针对性的合理化建议。根据评审标准赋分0-5分，不 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 合法 来源 证明</w:t>
            </w:r>
          </w:p>
        </w:tc>
        <w:tc>
          <w:tcPr>
            <w:tcW w:type="dxa" w:w="2492"/>
          </w:tcPr>
          <w:p>
            <w:pPr>
              <w:pStyle w:val="null3"/>
            </w:pPr>
            <w:r>
              <w:rPr>
                <w:rFonts w:ascii="仿宋_GB2312" w:hAnsi="仿宋_GB2312" w:cs="仿宋_GB2312" w:eastAsia="仿宋_GB2312"/>
              </w:rPr>
              <w:t>提供产品合法来源证明材料（包括但不限于销售协议、代理协议、原厂授权检测报告 等）。每提供一个产品得1分，计满5分为止。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 业绩</w:t>
            </w:r>
          </w:p>
        </w:tc>
        <w:tc>
          <w:tcPr>
            <w:tcW w:type="dxa" w:w="2492"/>
          </w:tcPr>
          <w:p>
            <w:pPr>
              <w:pStyle w:val="null3"/>
            </w:pPr>
            <w:r>
              <w:rPr>
                <w:rFonts w:ascii="仿宋_GB2312" w:hAnsi="仿宋_GB2312" w:cs="仿宋_GB2312" w:eastAsia="仿宋_GB2312"/>
              </w:rPr>
              <w:t>提供 2022年1月至今已完成类似业绩，每提供1项业绩得2分，最多得6分。(评审依据 :附合同或中标通知书的复印件或扫描件并加盖供应商公章，时间以合同签订时间或中 标通知书中体现的时间为准。)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突发 应急 情况 预案</w:t>
            </w:r>
          </w:p>
        </w:tc>
        <w:tc>
          <w:tcPr>
            <w:tcW w:type="dxa" w:w="2492"/>
          </w:tcPr>
          <w:p>
            <w:pPr>
              <w:pStyle w:val="null3"/>
            </w:pPr>
            <w:r>
              <w:rPr>
                <w:rFonts w:ascii="仿宋_GB2312" w:hAnsi="仿宋_GB2312" w:cs="仿宋_GB2312" w:eastAsia="仿宋_GB2312"/>
              </w:rPr>
              <w:t>1.提供针对本项目突发事件的应急响应能力(包括但不限于人员冲突，运输途中突发交 通事故、自然灾害等)，计0-5分，不提供不计分； 2.提供针对本项目突发事件的应急 预案和措施，计0-5分，不提供不计分。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 求且最终报价最低的供应商的价格为磋商基准价，其价格分为满分30分。(3)磋商报价得 分=(磋商基准价/最终磋商报价)x30。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详见附件：参考合同（货物）.docx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