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74AAE3">
      <w:pPr>
        <w:pStyle w:val="2"/>
        <w:spacing w:line="360" w:lineRule="auto"/>
        <w:jc w:val="center"/>
        <w:rPr>
          <w:rFonts w:hint="eastAsia" w:ascii="新宋体" w:hAnsi="新宋体" w:eastAsia="新宋体" w:cs="新宋体"/>
          <w:sz w:val="32"/>
          <w:szCs w:val="32"/>
        </w:rPr>
      </w:pPr>
      <w:r>
        <w:rPr>
          <w:rFonts w:hint="eastAsia" w:ascii="新宋体" w:hAnsi="新宋体" w:eastAsia="新宋体" w:cs="新宋体"/>
          <w:sz w:val="32"/>
          <w:szCs w:val="32"/>
        </w:rPr>
        <w:t>合同格式及主要条款</w:t>
      </w:r>
    </w:p>
    <w:p w14:paraId="601845B3">
      <w:pPr>
        <w:spacing w:before="120" w:line="360" w:lineRule="auto"/>
        <w:jc w:val="center"/>
        <w:rPr>
          <w:rFonts w:hint="eastAsia" w:ascii="新宋体" w:hAnsi="新宋体" w:eastAsia="新宋体" w:cs="新宋体"/>
          <w:color w:val="FF0000"/>
          <w:kern w:val="0"/>
          <w:sz w:val="32"/>
          <w:szCs w:val="32"/>
        </w:rPr>
      </w:pPr>
      <w:r>
        <w:rPr>
          <w:rFonts w:hint="eastAsia" w:ascii="新宋体" w:hAnsi="新宋体" w:eastAsia="新宋体" w:cs="新宋体"/>
          <w:sz w:val="32"/>
          <w:szCs w:val="32"/>
        </w:rPr>
        <w:t>（参考格式）</w:t>
      </w:r>
    </w:p>
    <w:p w14:paraId="1D82826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甲方：</w:t>
      </w:r>
      <w:r>
        <w:rPr>
          <w:rFonts w:hint="eastAsia" w:ascii="宋体" w:hAnsi="宋体" w:eastAsia="宋体" w:cs="宋体"/>
          <w:color w:val="000000"/>
          <w:kern w:val="0"/>
          <w:sz w:val="24"/>
          <w:szCs w:val="24"/>
          <w:u w:val="single"/>
          <w:lang w:val="zh-CN" w:eastAsia="zh-CN" w:bidi="ar"/>
        </w:rPr>
        <w:t xml:space="preserve">（前款所称采购人） </w:t>
      </w:r>
      <w:r>
        <w:rPr>
          <w:rFonts w:hint="eastAsia" w:ascii="宋体" w:hAnsi="宋体" w:eastAsia="宋体" w:cs="宋体"/>
          <w:color w:val="000000"/>
          <w:kern w:val="0"/>
          <w:sz w:val="24"/>
          <w:szCs w:val="24"/>
          <w:lang w:val="zh-CN" w:eastAsia="zh-CN" w:bidi="ar"/>
        </w:rPr>
        <w:t xml:space="preserve">    </w:t>
      </w:r>
      <w:r>
        <w:rPr>
          <w:rFonts w:hint="eastAsia" w:ascii="宋体" w:hAnsi="宋体" w:eastAsia="宋体" w:cs="宋体"/>
          <w:color w:val="000000"/>
          <w:kern w:val="0"/>
          <w:sz w:val="24"/>
          <w:szCs w:val="24"/>
          <w:lang w:val="en-US" w:eastAsia="zh-CN" w:bidi="ar"/>
        </w:rPr>
        <w:t xml:space="preserve">   </w:t>
      </w:r>
    </w:p>
    <w:p w14:paraId="2371C730">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zh-CN" w:eastAsia="zh-CN" w:bidi="ar"/>
        </w:rPr>
      </w:pPr>
      <w:r>
        <w:rPr>
          <w:rFonts w:hint="eastAsia" w:ascii="宋体" w:hAnsi="宋体" w:eastAsia="宋体" w:cs="宋体"/>
          <w:color w:val="000000"/>
          <w:kern w:val="0"/>
          <w:sz w:val="24"/>
          <w:szCs w:val="24"/>
          <w:lang w:val="zh-CN" w:eastAsia="zh-CN" w:bidi="ar"/>
        </w:rPr>
        <w:t>乙方：</w:t>
      </w:r>
      <w:r>
        <w:rPr>
          <w:rFonts w:hint="eastAsia" w:ascii="宋体" w:hAnsi="宋体" w:eastAsia="宋体" w:cs="宋体"/>
          <w:color w:val="000000"/>
          <w:kern w:val="0"/>
          <w:sz w:val="24"/>
          <w:szCs w:val="24"/>
          <w:u w:val="single"/>
          <w:lang w:val="zh-CN" w:eastAsia="zh-CN" w:bidi="ar"/>
        </w:rPr>
        <w:t>（前款所称</w:t>
      </w:r>
      <w:r>
        <w:rPr>
          <w:rFonts w:hint="eastAsia" w:ascii="宋体" w:hAnsi="宋体" w:eastAsia="宋体" w:cs="宋体"/>
          <w:color w:val="000000"/>
          <w:kern w:val="0"/>
          <w:sz w:val="24"/>
          <w:szCs w:val="24"/>
          <w:u w:val="single"/>
          <w:lang w:val="en-US" w:eastAsia="zh-CN" w:bidi="ar"/>
        </w:rPr>
        <w:t>成交供应商</w:t>
      </w:r>
      <w:r>
        <w:rPr>
          <w:rFonts w:hint="eastAsia" w:ascii="宋体" w:hAnsi="宋体" w:eastAsia="宋体" w:cs="宋体"/>
          <w:color w:val="000000"/>
          <w:kern w:val="0"/>
          <w:sz w:val="24"/>
          <w:szCs w:val="24"/>
          <w:u w:val="single"/>
          <w:lang w:val="zh-CN" w:eastAsia="zh-CN" w:bidi="ar"/>
        </w:rPr>
        <w:t xml:space="preserve">） </w:t>
      </w:r>
      <w:r>
        <w:rPr>
          <w:rFonts w:hint="eastAsia" w:ascii="宋体" w:hAnsi="宋体" w:eastAsia="宋体" w:cs="宋体"/>
          <w:color w:val="000000"/>
          <w:kern w:val="0"/>
          <w:sz w:val="24"/>
          <w:szCs w:val="24"/>
          <w:lang w:val="zh-CN" w:eastAsia="zh-CN" w:bidi="ar"/>
        </w:rPr>
        <w:t xml:space="preserve">  </w:t>
      </w:r>
    </w:p>
    <w:p w14:paraId="722ABDD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0" w:name="_Toc19515384"/>
      <w:r>
        <w:rPr>
          <w:rFonts w:hint="eastAsia" w:ascii="宋体" w:hAnsi="宋体" w:eastAsia="宋体" w:cs="宋体"/>
          <w:color w:val="000000"/>
          <w:kern w:val="0"/>
          <w:sz w:val="24"/>
          <w:szCs w:val="24"/>
          <w:lang w:val="en-US" w:eastAsia="zh-CN" w:bidi="ar"/>
        </w:rPr>
        <w:t>一、合同内容（标的、数量、质量等）</w:t>
      </w:r>
      <w:bookmarkEnd w:id="0"/>
      <w:r>
        <w:rPr>
          <w:rFonts w:hint="eastAsia" w:ascii="宋体" w:hAnsi="宋体" w:eastAsia="宋体" w:cs="宋体"/>
          <w:color w:val="000000"/>
          <w:kern w:val="0"/>
          <w:sz w:val="24"/>
          <w:szCs w:val="24"/>
          <w:lang w:val="en-US" w:eastAsia="zh-CN" w:bidi="ar"/>
        </w:rPr>
        <w:t>：</w:t>
      </w:r>
    </w:p>
    <w:p w14:paraId="76DD7A6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1" w:name="_Toc19515385"/>
      <w:r>
        <w:rPr>
          <w:rFonts w:hint="eastAsia" w:ascii="宋体" w:hAnsi="宋体" w:eastAsia="宋体" w:cs="宋体"/>
          <w:color w:val="000000"/>
          <w:kern w:val="0"/>
          <w:sz w:val="24"/>
          <w:szCs w:val="24"/>
          <w:lang w:val="en-US" w:eastAsia="zh-CN" w:bidi="ar"/>
        </w:rPr>
        <w:t>二、合同价款</w:t>
      </w:r>
      <w:bookmarkEnd w:id="1"/>
    </w:p>
    <w:p w14:paraId="248D55A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1、合同总价：</w:t>
      </w:r>
    </w:p>
    <w:p w14:paraId="1669443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2、合同总价包括：合同内全部费用。</w:t>
      </w:r>
    </w:p>
    <w:p w14:paraId="56019E5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3、合同为固定总价合同，不受市场价变化的影响。</w:t>
      </w:r>
    </w:p>
    <w:p w14:paraId="23ED9135">
      <w:pPr>
        <w:keepNext w:val="0"/>
        <w:keepLines w:val="0"/>
        <w:widowControl/>
        <w:suppressLineNumbers w:val="0"/>
        <w:tabs>
          <w:tab w:val="left" w:pos="6681"/>
        </w:tabs>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2" w:name="_Toc19515386"/>
      <w:r>
        <w:rPr>
          <w:rFonts w:hint="eastAsia" w:ascii="宋体" w:hAnsi="宋体" w:eastAsia="宋体" w:cs="宋体"/>
          <w:color w:val="000000"/>
          <w:kern w:val="0"/>
          <w:sz w:val="24"/>
          <w:szCs w:val="24"/>
          <w:lang w:val="en-US" w:eastAsia="zh-CN" w:bidi="ar"/>
        </w:rPr>
        <w:t>三、合同结算</w:t>
      </w:r>
      <w:bookmarkEnd w:id="2"/>
      <w:r>
        <w:rPr>
          <w:rFonts w:hint="eastAsia" w:ascii="宋体" w:hAnsi="宋体" w:cs="宋体"/>
          <w:color w:val="000000"/>
          <w:kern w:val="0"/>
          <w:sz w:val="24"/>
          <w:szCs w:val="24"/>
          <w:lang w:val="en-US" w:eastAsia="zh-CN" w:bidi="ar"/>
        </w:rPr>
        <w:tab/>
      </w:r>
    </w:p>
    <w:p w14:paraId="169A537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1、付款比例：</w:t>
      </w:r>
    </w:p>
    <w:p w14:paraId="56DE865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1-1、供货期满</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none"/>
          <w:lang w:val="en-US" w:eastAsia="zh-CN" w:bidi="ar"/>
        </w:rPr>
        <w:t>日历天</w:t>
      </w:r>
      <w:r>
        <w:rPr>
          <w:rFonts w:hint="eastAsia" w:ascii="宋体" w:hAnsi="宋体" w:eastAsia="宋体" w:cs="宋体"/>
          <w:color w:val="000000"/>
          <w:kern w:val="0"/>
          <w:sz w:val="24"/>
          <w:szCs w:val="24"/>
          <w:lang w:val="en-US" w:eastAsia="zh-CN" w:bidi="ar"/>
        </w:rPr>
        <w:t>，支付</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w:t>
      </w:r>
    </w:p>
    <w:p w14:paraId="70CAB9B2">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1-2、供货期满</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cs="宋体"/>
          <w:color w:val="000000"/>
          <w:kern w:val="0"/>
          <w:sz w:val="24"/>
          <w:szCs w:val="24"/>
          <w:u w:val="none"/>
          <w:lang w:val="en-US" w:eastAsia="zh-CN" w:bidi="ar"/>
        </w:rPr>
        <w:t>日历天</w:t>
      </w:r>
      <w:r>
        <w:rPr>
          <w:rFonts w:hint="eastAsia" w:ascii="宋体" w:hAnsi="宋体" w:eastAsia="宋体" w:cs="宋体"/>
          <w:color w:val="000000"/>
          <w:kern w:val="0"/>
          <w:sz w:val="24"/>
          <w:szCs w:val="24"/>
          <w:lang w:val="en-US" w:eastAsia="zh-CN" w:bidi="ar"/>
        </w:rPr>
        <w:t>，支付</w:t>
      </w:r>
      <w:r>
        <w:rPr>
          <w:rFonts w:hint="eastAsia" w:ascii="宋体" w:hAnsi="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lang w:val="en-US" w:eastAsia="zh-CN" w:bidi="ar"/>
        </w:rPr>
        <w:t>%；</w:t>
      </w:r>
    </w:p>
    <w:p w14:paraId="284BBFA6">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2、结算方式：银行转账。</w:t>
      </w:r>
    </w:p>
    <w:p w14:paraId="29776B5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3、结算单位：由 采购人 负责结算，乙方开具合同总价数的全额发票交采购人。</w:t>
      </w:r>
    </w:p>
    <w:p w14:paraId="2EC6267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3" w:name="_Toc19515387"/>
      <w:r>
        <w:rPr>
          <w:rFonts w:hint="eastAsia" w:ascii="宋体" w:hAnsi="宋体" w:eastAsia="宋体" w:cs="宋体"/>
          <w:color w:val="000000"/>
          <w:kern w:val="0"/>
          <w:sz w:val="24"/>
          <w:szCs w:val="24"/>
          <w:lang w:val="en-US" w:eastAsia="zh-CN" w:bidi="ar"/>
        </w:rPr>
        <w:t>四、履行期限、地点</w:t>
      </w:r>
      <w:bookmarkEnd w:id="3"/>
      <w:r>
        <w:rPr>
          <w:rFonts w:hint="eastAsia" w:ascii="宋体" w:hAnsi="宋体" w:eastAsia="宋体" w:cs="宋体"/>
          <w:color w:val="000000"/>
          <w:kern w:val="0"/>
          <w:sz w:val="24"/>
          <w:szCs w:val="24"/>
          <w:lang w:val="en-US" w:eastAsia="zh-CN" w:bidi="ar"/>
        </w:rPr>
        <w:t>：</w:t>
      </w:r>
    </w:p>
    <w:p w14:paraId="2C04CD3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1、履行期限：供货期</w:t>
      </w:r>
      <w:r>
        <w:rPr>
          <w:rFonts w:hint="eastAsia" w:ascii="宋体" w:hAnsi="宋体" w:eastAsia="宋体" w:cs="宋体"/>
          <w:color w:val="000000"/>
          <w:kern w:val="0"/>
          <w:sz w:val="24"/>
          <w:szCs w:val="24"/>
          <w:u w:val="single"/>
          <w:lang w:val="en-US" w:eastAsia="zh-CN" w:bidi="ar"/>
        </w:rPr>
        <w:t xml:space="preserve">     </w:t>
      </w:r>
      <w:r>
        <w:rPr>
          <w:rFonts w:hint="eastAsia" w:ascii="宋体" w:hAnsi="宋体" w:eastAsia="宋体" w:cs="宋体"/>
          <w:color w:val="000000"/>
          <w:kern w:val="0"/>
          <w:sz w:val="24"/>
          <w:szCs w:val="24"/>
          <w:u w:val="none"/>
          <w:lang w:val="en-US" w:eastAsia="zh-CN" w:bidi="ar"/>
        </w:rPr>
        <w:t xml:space="preserve"> 月</w:t>
      </w:r>
      <w:r>
        <w:rPr>
          <w:rFonts w:hint="eastAsia" w:ascii="宋体" w:hAnsi="宋体" w:eastAsia="宋体" w:cs="宋体"/>
          <w:color w:val="000000"/>
          <w:kern w:val="0"/>
          <w:sz w:val="24"/>
          <w:szCs w:val="24"/>
          <w:lang w:val="en-US" w:eastAsia="zh-CN" w:bidi="ar"/>
        </w:rPr>
        <w:t>，采购合同每年签订一次，具体起止时间以签订合同日期为准。</w:t>
      </w:r>
    </w:p>
    <w:p w14:paraId="3083C46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4" w:name="_Toc19515390"/>
      <w:r>
        <w:rPr>
          <w:rFonts w:hint="eastAsia" w:ascii="宋体" w:hAnsi="宋体" w:eastAsia="宋体" w:cs="宋体"/>
          <w:color w:val="000000"/>
          <w:kern w:val="0"/>
          <w:sz w:val="24"/>
          <w:szCs w:val="24"/>
          <w:lang w:val="en-US" w:eastAsia="zh-CN" w:bidi="ar"/>
        </w:rPr>
        <w:t>2、地点：采购人指定地点</w:t>
      </w:r>
    </w:p>
    <w:p w14:paraId="7B22295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五、技术服务</w:t>
      </w:r>
      <w:bookmarkEnd w:id="4"/>
    </w:p>
    <w:p w14:paraId="4279870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1、对技术服务的要求：</w:t>
      </w:r>
    </w:p>
    <w:p w14:paraId="16E0169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2、技术资料：</w:t>
      </w:r>
    </w:p>
    <w:p w14:paraId="60C3C02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3、技术培训：</w:t>
      </w:r>
    </w:p>
    <w:p w14:paraId="0B3723F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3-1、培训内容：</w:t>
      </w:r>
    </w:p>
    <w:p w14:paraId="5A7E603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3-2、培训地点：</w:t>
      </w:r>
    </w:p>
    <w:p w14:paraId="2787DA7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3-3、培训时间：</w:t>
      </w:r>
    </w:p>
    <w:p w14:paraId="3E6A2FF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3-4、培训人数：</w:t>
      </w:r>
    </w:p>
    <w:p w14:paraId="3CFA627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3-5、培训费用：受训人员的食宿费、资料费、培训场地费、耗材（包括水电费等）费等已包含在合同总价中，甲方不再另行支付。</w:t>
      </w:r>
    </w:p>
    <w:p w14:paraId="2A601C8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5" w:name="_Toc19515391"/>
      <w:r>
        <w:rPr>
          <w:rFonts w:hint="eastAsia" w:ascii="宋体" w:hAnsi="宋体" w:eastAsia="宋体" w:cs="宋体"/>
          <w:color w:val="000000"/>
          <w:kern w:val="0"/>
          <w:sz w:val="24"/>
          <w:szCs w:val="24"/>
          <w:lang w:val="en-US" w:eastAsia="zh-CN" w:bidi="ar"/>
        </w:rPr>
        <w:t>六、验收</w:t>
      </w:r>
      <w:bookmarkEnd w:id="5"/>
    </w:p>
    <w:p w14:paraId="7BFD99E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1、验收：乙方完成服务内容后，向甲方提出验收申请，甲方接到乙方验收申请后组织验收（必要时可聘请相应专家或委托相应部门验收），验收合格后，出具使用验收合格证明。</w:t>
      </w:r>
    </w:p>
    <w:p w14:paraId="7284374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2、最终验收：最终验收结果作为付款依据，乙方填写验收单，并向甲方提交实施过程中的所有资料，以便甲方日后管理和维护。</w:t>
      </w:r>
    </w:p>
    <w:p w14:paraId="31678B2B">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3、质保期满后：由乙方出具质保期运行质量报告，若存在质量问题，应按相应规定协商处理。</w:t>
      </w:r>
    </w:p>
    <w:p w14:paraId="09AA95A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4、验收依据：</w:t>
      </w:r>
    </w:p>
    <w:p w14:paraId="65DFB1D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4-1、合同文本、合同附件、竞争性磋商文件、成交供应商的响应文件。</w:t>
      </w:r>
    </w:p>
    <w:p w14:paraId="3225A3B2">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4-2、国内相应的标准、规范。</w:t>
      </w:r>
    </w:p>
    <w:p w14:paraId="6B1445D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6" w:name="_Toc19515392"/>
      <w:r>
        <w:rPr>
          <w:rFonts w:hint="eastAsia" w:ascii="宋体" w:hAnsi="宋体" w:eastAsia="宋体" w:cs="宋体"/>
          <w:color w:val="000000"/>
          <w:kern w:val="0"/>
          <w:sz w:val="24"/>
          <w:szCs w:val="24"/>
          <w:lang w:val="en-US" w:eastAsia="zh-CN" w:bidi="ar"/>
        </w:rPr>
        <w:t>七、违约责任</w:t>
      </w:r>
      <w:bookmarkEnd w:id="6"/>
    </w:p>
    <w:p w14:paraId="15D9F17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1、按《中华人民共和国民法典》中的相关条款执行。</w:t>
      </w:r>
    </w:p>
    <w:p w14:paraId="0197A3D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2、乙方履约延误</w:t>
      </w:r>
    </w:p>
    <w:p w14:paraId="6858E488">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2-1、如乙方事先未征得甲方同意并得到甲方的谅解而单方面延迟执行合同，将按违约终止合同。</w:t>
      </w:r>
    </w:p>
    <w:p w14:paraId="71D10FA2">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4FE931AC">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3、违约终止合同：未按合同要求提供服务或不能满足技术要求，甲方会同监督机构有权终止合同，对乙方违约行为进行追究，同时按政府采购法的有关规定进行相应的处罚。</w:t>
      </w:r>
    </w:p>
    <w:p w14:paraId="5249481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7" w:name="_Toc19515393"/>
      <w:r>
        <w:rPr>
          <w:rFonts w:hint="eastAsia" w:ascii="宋体" w:hAnsi="宋体" w:eastAsia="宋体" w:cs="宋体"/>
          <w:color w:val="000000"/>
          <w:kern w:val="0"/>
          <w:sz w:val="24"/>
          <w:szCs w:val="24"/>
          <w:lang w:val="en-US" w:eastAsia="zh-CN" w:bidi="ar"/>
        </w:rPr>
        <w:t>八、合同组成</w:t>
      </w:r>
      <w:bookmarkEnd w:id="7"/>
    </w:p>
    <w:p w14:paraId="377D414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1、成交通知书</w:t>
      </w:r>
    </w:p>
    <w:p w14:paraId="06D54029">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2、合同文件</w:t>
      </w:r>
    </w:p>
    <w:p w14:paraId="2C15E95A">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3、国家相关规范及标准</w:t>
      </w:r>
    </w:p>
    <w:p w14:paraId="44274CFE">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4、竞争性磋商文件</w:t>
      </w:r>
    </w:p>
    <w:p w14:paraId="3F84D6F1">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5、成交供应商的响应文件</w:t>
      </w:r>
    </w:p>
    <w:p w14:paraId="654C4C03">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8" w:name="_Toc19515394"/>
      <w:r>
        <w:rPr>
          <w:rFonts w:hint="eastAsia" w:ascii="宋体" w:hAnsi="宋体" w:eastAsia="宋体" w:cs="宋体"/>
          <w:color w:val="000000"/>
          <w:kern w:val="0"/>
          <w:sz w:val="24"/>
          <w:szCs w:val="24"/>
          <w:lang w:val="en-US" w:eastAsia="zh-CN" w:bidi="ar"/>
        </w:rPr>
        <w:t>九、解决争议的方法</w:t>
      </w:r>
      <w:bookmarkEnd w:id="8"/>
    </w:p>
    <w:p w14:paraId="631A03E4">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凡因本合同引起的或与本合同有关的争议，双方应友好协商解决。协商不成时，双方均同意采用以下第（  ）种争议解决方式：</w:t>
      </w:r>
    </w:p>
    <w:p w14:paraId="068A77C5">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1、甲、乙双方均同意向（甲方所在地人民法院）提起诉讼。</w:t>
      </w:r>
    </w:p>
    <w:p w14:paraId="2F4556D0">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2、甲、乙双方均同意向（</w:t>
      </w:r>
      <w:r>
        <w:rPr>
          <w:rFonts w:hint="eastAsia" w:ascii="宋体" w:hAnsi="宋体" w:eastAsia="宋体" w:cs="宋体"/>
          <w:color w:val="000000"/>
          <w:kern w:val="0"/>
          <w:sz w:val="24"/>
          <w:szCs w:val="24"/>
          <w:lang w:val="en-US" w:eastAsia="zh-CN" w:bidi="ar"/>
        </w:rPr>
        <w:fldChar w:fldCharType="begin"/>
      </w:r>
      <w:r>
        <w:rPr>
          <w:rFonts w:hint="eastAsia" w:ascii="宋体" w:hAnsi="宋体" w:eastAsia="宋体" w:cs="宋体"/>
          <w:color w:val="000000"/>
          <w:kern w:val="0"/>
          <w:sz w:val="24"/>
          <w:szCs w:val="24"/>
          <w:lang w:val="en-US" w:eastAsia="zh-CN" w:bidi="ar"/>
        </w:rPr>
        <w:instrText xml:space="preserve"> HYPERLINK "http://www.baidu.com/s?wd=%E4%BB%B2%E8%A3%81%E5%A7%94%E5%91%98%E4%BC%9A&amp;tn=SE_PcZhidaonwhc_ngpagmjz&amp;rsv_dl=gh_pc_zhidao" \t "_blank" </w:instrText>
      </w:r>
      <w:r>
        <w:rPr>
          <w:rFonts w:hint="eastAsia" w:ascii="宋体" w:hAnsi="宋体" w:eastAsia="宋体" w:cs="宋体"/>
          <w:color w:val="000000"/>
          <w:kern w:val="0"/>
          <w:sz w:val="24"/>
          <w:szCs w:val="24"/>
          <w:lang w:val="en-US" w:eastAsia="zh-CN" w:bidi="ar"/>
        </w:rPr>
        <w:fldChar w:fldCharType="separate"/>
      </w:r>
      <w:r>
        <w:rPr>
          <w:rFonts w:hint="eastAsia" w:ascii="宋体" w:hAnsi="宋体" w:eastAsia="宋体" w:cs="宋体"/>
          <w:color w:val="000000"/>
          <w:kern w:val="0"/>
          <w:sz w:val="24"/>
          <w:szCs w:val="24"/>
          <w:lang w:val="en-US" w:eastAsia="zh-CN" w:bidi="ar"/>
        </w:rPr>
        <w:t>仲裁委员会</w:t>
      </w:r>
      <w:r>
        <w:rPr>
          <w:rFonts w:hint="eastAsia" w:ascii="宋体" w:hAnsi="宋体" w:eastAsia="宋体" w:cs="宋体"/>
          <w:color w:val="000000"/>
          <w:kern w:val="0"/>
          <w:sz w:val="24"/>
          <w:szCs w:val="24"/>
          <w:lang w:val="en-US" w:eastAsia="zh-CN" w:bidi="ar"/>
        </w:rPr>
        <w:fldChar w:fldCharType="end"/>
      </w:r>
      <w:r>
        <w:rPr>
          <w:rFonts w:hint="eastAsia" w:ascii="宋体" w:hAnsi="宋体" w:eastAsia="宋体" w:cs="宋体"/>
          <w:color w:val="000000"/>
          <w:kern w:val="0"/>
          <w:sz w:val="24"/>
          <w:szCs w:val="24"/>
          <w:lang w:val="en-US" w:eastAsia="zh-CN" w:bidi="ar"/>
        </w:rPr>
        <w:t>）提起仲裁。</w:t>
      </w:r>
    </w:p>
    <w:p w14:paraId="724245B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bookmarkStart w:id="9" w:name="_Toc19515395"/>
      <w:r>
        <w:rPr>
          <w:rFonts w:hint="eastAsia" w:ascii="宋体" w:hAnsi="宋体" w:eastAsia="宋体" w:cs="宋体"/>
          <w:color w:val="000000"/>
          <w:kern w:val="0"/>
          <w:sz w:val="24"/>
          <w:szCs w:val="24"/>
          <w:lang w:val="en-US" w:eastAsia="zh-CN" w:bidi="ar"/>
        </w:rPr>
        <w:t>十、合同生效及其它</w:t>
      </w:r>
      <w:bookmarkEnd w:id="9"/>
    </w:p>
    <w:p w14:paraId="46DE60A7">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1、合同未尽事宜、由甲、乙双方协商，作为合同补充，与原合同具有同等法律效力。</w:t>
      </w:r>
    </w:p>
    <w:p w14:paraId="221DD45A">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2、 本合同正本一式  份，甲方、乙方双方分别执  份，       备案  份。</w:t>
      </w:r>
    </w:p>
    <w:p w14:paraId="3020970D">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3、合同经甲乙双方盖章、签字后生效，合同签订地点为   。</w:t>
      </w:r>
    </w:p>
    <w:p w14:paraId="5530D7CF">
      <w:pPr>
        <w:keepNext w:val="0"/>
        <w:keepLines w:val="0"/>
        <w:widowControl/>
        <w:suppressLineNumbers w:val="0"/>
        <w:spacing w:line="360" w:lineRule="auto"/>
        <w:ind w:left="479" w:leftChars="228" w:firstLine="240" w:firstLineChars="100"/>
        <w:jc w:val="left"/>
        <w:rPr>
          <w:rFonts w:hint="eastAsia" w:ascii="宋体" w:hAnsi="宋体" w:eastAsia="宋体" w:cs="宋体"/>
          <w:color w:val="000000"/>
          <w:kern w:val="0"/>
          <w:sz w:val="24"/>
          <w:szCs w:val="24"/>
          <w:lang w:val="en-US" w:eastAsia="zh-CN" w:bidi="ar"/>
        </w:rPr>
      </w:pPr>
      <w:r>
        <w:rPr>
          <w:rFonts w:hint="eastAsia" w:ascii="宋体" w:hAnsi="宋体" w:eastAsia="宋体" w:cs="宋体"/>
          <w:color w:val="000000"/>
          <w:kern w:val="0"/>
          <w:sz w:val="24"/>
          <w:szCs w:val="24"/>
          <w:lang w:val="en-US" w:eastAsia="zh-CN" w:bidi="ar"/>
        </w:rPr>
        <w:t>4、生效时间：   年  月  日</w:t>
      </w:r>
    </w:p>
    <w:p w14:paraId="21B1A7CD">
      <w:pPr>
        <w:pStyle w:val="4"/>
        <w:rPr>
          <w:rFonts w:hint="eastAsia" w:ascii="宋体" w:hAnsi="宋体" w:eastAsia="宋体" w:cs="宋体"/>
          <w:color w:val="000000"/>
          <w:kern w:val="0"/>
          <w:sz w:val="24"/>
          <w:szCs w:val="24"/>
          <w:lang w:val="en-US" w:eastAsia="zh-CN" w:bidi="ar"/>
        </w:rPr>
      </w:pPr>
    </w:p>
    <w:p w14:paraId="10E5D7A9">
      <w:pPr>
        <w:pStyle w:val="3"/>
        <w:rPr>
          <w:rFonts w:hint="eastAsia" w:ascii="宋体" w:hAnsi="宋体" w:eastAsia="宋体" w:cs="宋体"/>
          <w:color w:val="000000"/>
          <w:kern w:val="0"/>
          <w:sz w:val="24"/>
          <w:szCs w:val="24"/>
          <w:lang w:val="en-US" w:eastAsia="zh-CN" w:bidi="ar"/>
        </w:rPr>
      </w:pPr>
    </w:p>
    <w:p w14:paraId="67AD0073"/>
    <w:p w14:paraId="7ADE84FB">
      <w:bookmarkStart w:id="10" w:name="_GoBack"/>
      <w:bookmarkEnd w:id="1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新宋体">
    <w:panose1 w:val="02010609030101010101"/>
    <w:charset w:val="86"/>
    <w:family w:val="auto"/>
    <w:pitch w:val="default"/>
    <w:sig w:usb0="000002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9E7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color w:val="333333"/>
      <w:kern w:val="44"/>
      <w:sz w:val="42"/>
      <w:szCs w:val="42"/>
      <w:lang w:val="en-US" w:eastAsia="zh-CN" w:bidi="ar"/>
    </w:rPr>
  </w:style>
  <w:style w:type="paragraph" w:styleId="3">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w:basedOn w:val="1"/>
    <w:qFormat/>
    <w:uiPriority w:val="99"/>
    <w:pPr>
      <w:spacing w:after="120"/>
    </w:pPr>
    <w:rPr>
      <w:rFonts w:eastAsia="Times New Roman"/>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2025-11-19T04:10:13Z</dcterms:created>
  <dc:creator>16278</dc:creator>
  <cp:lastModifiedBy>巩毓</cp:lastModifiedBy>
  <dcterms:modified xsi:type="dcterms:W3CDTF">2025-11-19T04:10:20Z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eyJoZGlkIjoiZjAzMDQwNmQ4MDc2YTAxMWY4YWUxMzY0ZTAwZTFiNDciLCJ1c2VySWQiOiIzODgzNTA1NzkifQ==</vt:lpwstr>
  </property>
  <property fmtid="{D5CDD505-2E9C-101B-9397-08002B2CF9AE}" pid="4" name="ICV">
    <vt:lpwstr>E0EB1D01E41E4A2F815B172799659BF5_12</vt:lpwstr>
  </property>
</Properties>
</file>