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版本号：HRTC-2025-JC103020251105001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关于搭建国际经贸和招商引资平台（北京飞地）项目计划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HRTC-2025-JC1030</w:t>
      </w:r>
      <w:r>
        <w:br/>
      </w:r>
      <w:r>
        <w:br/>
      </w:r>
      <w:r>
        <w:br/>
      </w:r>
    </w:p>
    <w:p>
      <w:pPr>
        <w:pStyle w:val="null3"/>
        <w:jc w:val="center"/>
        <w:outlineLvl w:val="2"/>
      </w:pPr>
      <w:r>
        <w:rPr>
          <w:rFonts w:ascii="仿宋_GB2312" w:hAnsi="仿宋_GB2312" w:cs="仿宋_GB2312" w:eastAsia="仿宋_GB2312"/>
          <w:sz w:val="28"/>
          <w:b/>
        </w:rPr>
        <w:t>铜川市新区商务局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铜川市新区商务局</w:t>
      </w:r>
      <w:r>
        <w:rPr>
          <w:rFonts w:ascii="仿宋_GB2312" w:hAnsi="仿宋_GB2312" w:cs="仿宋_GB2312" w:eastAsia="仿宋_GB2312"/>
        </w:rPr>
        <w:t>委托，拟对</w:t>
      </w:r>
      <w:r>
        <w:rPr>
          <w:rFonts w:ascii="仿宋_GB2312" w:hAnsi="仿宋_GB2312" w:cs="仿宋_GB2312" w:eastAsia="仿宋_GB2312"/>
        </w:rPr>
        <w:t>关于搭建国际经贸和招商引资平台（北京飞地）项目计划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HRTC-2025-JC1030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关于搭建国际经贸和招商引资平台（北京飞地）项目计划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搭建铜川新区外贸综合服务与特色产品展示展销中心，完成场地租赁，平台搭建等。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采购包1（关于搭建国际经贸和招商引资平台（北京飞地）项目计划）：属于专门面向中小企业采购。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1、供应商是法人或其他组织的应提供营业执照等证明文件：供应商是法人或其他组织的应提供营业执照等证明文件：具有独立承担民事责任的能力，提供法人或者其他组织的营业执照等证明文件， 自然人参与的提供其有效身份证明</w:t>
      </w:r>
    </w:p>
    <w:p>
      <w:pPr>
        <w:pStyle w:val="null3"/>
      </w:pPr>
      <w:r>
        <w:rPr>
          <w:rFonts w:ascii="仿宋_GB2312" w:hAnsi="仿宋_GB2312" w:cs="仿宋_GB2312" w:eastAsia="仿宋_GB2312"/>
        </w:rPr>
        <w:t>2、履约能力：具有履行合同所必需的设备和专业技术能力（提供承诺函）</w:t>
      </w:r>
    </w:p>
    <w:p>
      <w:pPr>
        <w:pStyle w:val="null3"/>
      </w:pPr>
      <w:r>
        <w:rPr>
          <w:rFonts w:ascii="仿宋_GB2312" w:hAnsi="仿宋_GB2312" w:cs="仿宋_GB2312" w:eastAsia="仿宋_GB2312"/>
        </w:rPr>
        <w:t>3、财务状况报告：供应商需提供2024年度财务审计报告或提供文件递交截止日前三个月内任意一个月从基本户银行开具的资信证明（注：提供资信证明的供应商须同时提供该公司开户证明）</w:t>
      </w:r>
    </w:p>
    <w:p>
      <w:pPr>
        <w:pStyle w:val="null3"/>
      </w:pPr>
      <w:r>
        <w:rPr>
          <w:rFonts w:ascii="仿宋_GB2312" w:hAnsi="仿宋_GB2312" w:cs="仿宋_GB2312" w:eastAsia="仿宋_GB2312"/>
        </w:rPr>
        <w:t>4、法定代表人身份证明或法定代表人授权委托书：法定代表人直接参加投标的，须出具法人身份证；授权代表参加投标的，须出具授权书及授权代表身份证</w:t>
      </w:r>
    </w:p>
    <w:p>
      <w:pPr>
        <w:pStyle w:val="null3"/>
      </w:pPr>
      <w:r>
        <w:rPr>
          <w:rFonts w:ascii="仿宋_GB2312" w:hAnsi="仿宋_GB2312" w:cs="仿宋_GB2312" w:eastAsia="仿宋_GB2312"/>
        </w:rPr>
        <w:t>5、税收缴纳证明：供应商须提供投标截止时间前六个月内任意一个月的缴税证明（注：依法免税或零申报的供应商应提供相关文件证明；若为新成立企业须提供相应月度的缴税证明）（复印件加盖供应商公章）</w:t>
      </w:r>
    </w:p>
    <w:p>
      <w:pPr>
        <w:pStyle w:val="null3"/>
      </w:pPr>
      <w:r>
        <w:rPr>
          <w:rFonts w:ascii="仿宋_GB2312" w:hAnsi="仿宋_GB2312" w:cs="仿宋_GB2312" w:eastAsia="仿宋_GB2312"/>
        </w:rPr>
        <w:t>6、社保缴纳证明：供应商须提供投标截止时间前六个月内任意一个月的社会保险缴纳证明(注:依法不需要缴纳社会保障资金的供应商应提供相关文件证明;若为新成立企业可提供相应月度的社会保险缴纳证明)(复印件加盖供应商公章)</w:t>
      </w:r>
    </w:p>
    <w:p>
      <w:pPr>
        <w:pStyle w:val="null3"/>
      </w:pPr>
      <w:r>
        <w:rPr>
          <w:rFonts w:ascii="仿宋_GB2312" w:hAnsi="仿宋_GB2312" w:cs="仿宋_GB2312" w:eastAsia="仿宋_GB2312"/>
        </w:rPr>
        <w:t>7、信用查询：供应商不得为“信用中国” 中列入失信被执行人和重大税 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0919-3287152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陕西省西安市雁塔区西安曲江新区雁翔路58号哈佛公馆裙楼三层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席旭华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13649196906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国家发展改革委关于降低部分建设项目收费标准规范收费行为等有关问题的通知》(发改价格〔2011〕534号)等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铜川市新区商务局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1、完成具备拎包办公条件的办公用房租赁2、平台开始正常对外运营，为本地企业提供开展外经贸业务一站式服务窗口。</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联系人：席旭华</w:t>
      </w:r>
    </w:p>
    <w:p>
      <w:pPr>
        <w:pStyle w:val="null3"/>
      </w:pPr>
      <w:r>
        <w:rPr>
          <w:rFonts w:ascii="仿宋_GB2312" w:hAnsi="仿宋_GB2312" w:cs="仿宋_GB2312" w:eastAsia="仿宋_GB2312"/>
        </w:rPr>
        <w:t>联系电话：13649196906</w:t>
      </w:r>
    </w:p>
    <w:p>
      <w:pPr>
        <w:pStyle w:val="null3"/>
      </w:pPr>
      <w:r>
        <w:rPr>
          <w:rFonts w:ascii="仿宋_GB2312" w:hAnsi="仿宋_GB2312" w:cs="仿宋_GB2312" w:eastAsia="仿宋_GB2312"/>
        </w:rPr>
        <w:t>地址：陕西省铜川市新区丹阳路丹阳大厦7楼南户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搭建铜川新区外贸综合服务与特色产品展示展销中心，完成场地租赁，平台搭建等工作。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搭建铜川新区外贸综合服务与特色产品展示展销中心，完成场地租赁，平台搭建等工作。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标的名称：搭建铜川新区外贸综合服务与特色产品展示展销中心，完成场地租赁，平台搭建等工作。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需搭建铜川新区外贸综合服务与特色产品展示展销中心，完成场地租赁，平台搭建等工作。满足为本地企业开展外经贸业务提供一站式服务保障，打造铜川新区在京津冀地区招商引资的综合服务窗口的目标。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搭建铜川新区外贸综合服务与特色产品展示展销中心，完成场地租赁，平台搭建等工作。满足为本地企业开展外经贸业务提供一站式服务保障，打造铜川新区在京津冀地区招商引资的综合服务窗口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搭建铜川新区外贸综合服务与特色产品展示展销中心，完成场地租赁，平台搭建等工作。满足为本地企业开展外经贸业务提供一站式服务保障，打造铜川新区在京津冀地区招商引资的综合服务窗口的目标的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平台搭建是否完成、运营管理工作是否正常开展。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合同执行中发生争议的，当事人双方应协商解决，协商无法达成一致时，可向同级行政仲裁机关申请仲裁。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供应商是法人或其他组织的应提供营业执照等证明文件：具有独立承担民事责任的能力，提供法人或者其他组织的营业执照等证明文件， 自然人参与的提供其有效身份证明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供应商需提供2024年度财务审计报告或提供文件递交截止日前三个月内任意一个月从基本户银行开具的资信证明（注：提供资信证明的供应商须同时提供该公司开户证明）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供应商须提供投标截止时间前六个月内任意一个月的缴税证明（注：依法免税或零申报的供应商应提供相关文件证明；若为新成立企业须提供相应月度的缴税证明）（复印件加盖供应商公章）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供应商须提供投标截止时间前六个月内任意一个月的社会保险缴纳证明(注:依法不需要缴纳社会保障资金的供应商应提供相关文件证明;若为新成立企业可提供相应月度的社会保险缴纳证明)(复印件加盖供应商公章)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投标文件上要求法定代表人或被授权人的签字、盖章的应签字盖章齐全</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供应商应提交的相关资格证明材料 标的清单 报价表 响应函 监狱企业的证明文件 服务内容及服务要求应答表.pdf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供应商应提交的相关资格证明材料 标的清单 报价表 响应函 监狱企业的证明文件 服务内容及服务要求应答表.pdf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项目整体理解与外贸综合服务平台搭建方案</w:t>
            </w:r>
          </w:p>
        </w:tc>
        <w:tc>
          <w:tcPr>
            <w:tcW w:type="dxa" w:w="2492"/>
          </w:tcPr>
          <w:p>
            <w:pPr>
              <w:pStyle w:val="null3"/>
            </w:pPr>
            <w:r>
              <w:rPr>
                <w:rFonts w:ascii="仿宋_GB2312" w:hAnsi="仿宋_GB2312" w:cs="仿宋_GB2312" w:eastAsia="仿宋_GB2312"/>
              </w:rPr>
              <w:t>对项目背景、目标（“一站式服务保障”、“京津冀招商引资综合服务窗口”）理解深刻、分析准确；平台搭建功能设计完善，平台服务流程清晰、高效，有具体的方案，能显著降低企业外贸成本、提升效率得(16-25分)； 对项目目标理解基本准确；平台功能设计基本覆盖“一站式服务”要求，但部分功能描述较为笼统，服务流程和资源支撑不够具体的得 (8-15分)； 对项目目标理解模糊；平台功能设计缺失严重，无法满足基本的外贸服务需求，或方案过于概念化，无实际操作性得(1-7分)。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特色产品展示展销中心设计方案</w:t>
            </w:r>
          </w:p>
        </w:tc>
        <w:tc>
          <w:tcPr>
            <w:tcW w:type="dxa" w:w="2492"/>
          </w:tcPr>
          <w:p>
            <w:pPr>
              <w:pStyle w:val="null3"/>
            </w:pPr>
            <w:r>
              <w:rPr>
                <w:rFonts w:ascii="仿宋_GB2312" w:hAnsi="仿宋_GB2312" w:cs="仿宋_GB2312" w:eastAsia="仿宋_GB2312"/>
              </w:rPr>
              <w:t>展示方案设计理念先进，能充分体现铜川产业特色和产品优势。空间布局合理，动线清晰，综合运用实物陈列、数字沙盘、VR/AR互动、多媒体演示等多种现代化展陈手段。详细说明了如何实现“线上+线下”联动展销，如何利用北京区位优势策划年度主题展览、产品发布会等营销活动，吸引力强得 (16-20分)； 展示方案设计基本合理，能体现铜川特色，但展陈手段较为传统，营销活动策划不够具体或创新性不足得良 (8-15分)； 展示方案设计简陋，缺乏特色体现，展陈手段单一，无有效的营销推广思路得(1-7分)。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场地选址与规划方案</w:t>
            </w:r>
          </w:p>
        </w:tc>
        <w:tc>
          <w:tcPr>
            <w:tcW w:type="dxa" w:w="2492"/>
          </w:tcPr>
          <w:p>
            <w:pPr>
              <w:pStyle w:val="null3"/>
            </w:pPr>
            <w:r>
              <w:rPr>
                <w:rFonts w:ascii="仿宋_GB2312" w:hAnsi="仿宋_GB2312" w:cs="仿宋_GB2312" w:eastAsia="仿宋_GB2312"/>
              </w:rPr>
              <w:t>提供的备选场地或规划方案地理位置优越（如位于京津冀核心商务区、交通便利、形象佳），面积、层高、基础设施等完全满足项目长期发展需求。内部功能分区（如服务接待区、产品展示区、会议洽谈区、办公区）规划科学、高效得(15-20分)； 场地选址和规划方案基本满足项目需求，但在地理位置、空间利用或功能分区方面存在一些不足得(8-14分)； 场地选址不当或规划方案不合理，无法支撑项目目标的实现得(1-7分)。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项目管理与实施计划</w:t>
            </w:r>
          </w:p>
        </w:tc>
        <w:tc>
          <w:tcPr>
            <w:tcW w:type="dxa" w:w="2492"/>
          </w:tcPr>
          <w:p>
            <w:pPr>
              <w:pStyle w:val="null3"/>
            </w:pPr>
            <w:r>
              <w:rPr>
                <w:rFonts w:ascii="仿宋_GB2312" w:hAnsi="仿宋_GB2312" w:cs="仿宋_GB2312" w:eastAsia="仿宋_GB2312"/>
              </w:rPr>
              <w:t>项目实施进度计划（10分）：提供详细的项目实施进度表，包括场地装修、平台搭建、企业招募、开幕运营等关键节点，计划科学、合理、可控。优秀得6-10分，良好得3-5分，一般得1-2分。 质量保障与风险控制（10分）：有明确的质量管理体系和风险预案（如场地风险、运营风险、招商不及预期等），应对措施具体有效。方案完善得6-10分，有基本框架得3-5分，无相关描述得1-2分。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提供明确的服务质量指标及达标准则，包括响应时间、处理时限等（5分）。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以满足招标文件要求的最低投标报价为评标基准价，其价格分为满分；其他投标人的价格分统一按下列公式计算：投标报价得分=(评标基准价／投标报价)×10。 注：本项目的投标报价应为完成本项目所有工作的一年期运营服务总报价（应明确包含场地租金、装修、平台搭建、人员薪酬、日常运营等所有费用）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