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版本号：HXZBTC2025-00420250701001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2025年铜川市新区咸丰路街道农村垃圾清运项目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HXZBTC2025-004</w:t>
      </w:r>
      <w:r>
        <w:br/>
      </w:r>
      <w:r>
        <w:br/>
      </w:r>
      <w:r>
        <w:br/>
      </w:r>
    </w:p>
    <w:p>
      <w:pPr>
        <w:pStyle w:val="null3"/>
        <w:jc w:val="center"/>
        <w:outlineLvl w:val="2"/>
      </w:pPr>
      <w:r>
        <w:rPr>
          <w:rFonts w:ascii="仿宋_GB2312" w:hAnsi="仿宋_GB2312" w:cs="仿宋_GB2312" w:eastAsia="仿宋_GB2312"/>
          <w:sz w:val="28"/>
          <w:b/>
        </w:rPr>
        <w:t>铜川市新区咸丰路街道办事处</w:t>
      </w:r>
    </w:p>
    <w:p>
      <w:pPr>
        <w:pStyle w:val="null3"/>
        <w:jc w:val="center"/>
        <w:outlineLvl w:val="2"/>
      </w:pPr>
      <w:r>
        <w:rPr>
          <w:rFonts w:ascii="仿宋_GB2312" w:hAnsi="仿宋_GB2312" w:cs="仿宋_GB2312" w:eastAsia="仿宋_GB2312"/>
          <w:sz w:val="28"/>
          <w:b/>
        </w:rPr>
        <w:t>陕西汇兴项目管理有限公司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陕西汇兴项目管理有限公司</w:t>
      </w:r>
      <w:r>
        <w:rPr>
          <w:rFonts w:ascii="仿宋_GB2312" w:hAnsi="仿宋_GB2312" w:cs="仿宋_GB2312" w:eastAsia="仿宋_GB2312"/>
        </w:rPr>
        <w:t>（以下简称“代理机构”）受</w:t>
      </w:r>
      <w:r>
        <w:rPr>
          <w:rFonts w:ascii="仿宋_GB2312" w:hAnsi="仿宋_GB2312" w:cs="仿宋_GB2312" w:eastAsia="仿宋_GB2312"/>
        </w:rPr>
        <w:t>铜川市新区咸丰路街道办事处</w:t>
      </w:r>
      <w:r>
        <w:rPr>
          <w:rFonts w:ascii="仿宋_GB2312" w:hAnsi="仿宋_GB2312" w:cs="仿宋_GB2312" w:eastAsia="仿宋_GB2312"/>
        </w:rPr>
        <w:t>委托，拟对</w:t>
      </w:r>
      <w:r>
        <w:rPr>
          <w:rFonts w:ascii="仿宋_GB2312" w:hAnsi="仿宋_GB2312" w:cs="仿宋_GB2312" w:eastAsia="仿宋_GB2312"/>
        </w:rPr>
        <w:t>2025年铜川市新区咸丰路街道农村垃圾清运项目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HXZBTC2025-004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2025年铜川市新区咸丰路街道农村垃圾清运项目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2025年铜川市新区咸丰路街道农村垃圾清运服务。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采购包1（2025年铜川市新区咸丰路街道农村垃圾清运项目）：属于专门面向中小企业采购。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1、特定资格条件：（1）、具有独立承担民事责任能力的法人、其他组织或自然人，并出具合法有效的营业执照或事业单位法人证书等国家规定的相关证明，自然人参与的提供其身份证明； （2）、财务状况报告：提供具有财务审计资质单位出具的2024年度财务报告或磋商前六个月内其基本账户银行出具的资信证明或政府采购信用担保机构出具的磋商担保函； （3）、税收交纳证明：提供截止至磋商时间前六个月内任意二个月的缴费凭据；（依法免税的供应商应提供相关文件证明）； （4）、社会保障资金交纳证明：提供截止至磋商时间前六个月内任意二个月的社保缴费凭据或社保机构开具的社会保险参保缴费情况证明；（依法不需要交纳社会保障资金的供应商应提供相关证明）； （5）、提供具有履行本合同所必需的设备和专业技术能力的说明及承诺； （6）、提供参加政府采购活动前三年内在经营活动中没有重大违法记录的书面声明； （7）、法定代表人授权书/ 法定代表人身份证明：法定代表人参与磋商时需提供法定代表人身份证明；被授权人参与磋商时需提供法定代 表人授权委托书； （8）、供应商不得为“信用中国(www.creditchina.gov.cn)”中列入失信被执行人名单的供应商，不得为“中国政府采购网(www.ccgp.gov.cn)”政府采购严重违法失信行为记录名单中被财政部门禁止参加政府采购活动的供应商； （9）、本项目不允许联合体磋商。（提供非联合体磋商承诺）。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铜川市新区咸丰路街道办事处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陕西省铜川市新区咸丰西路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铜川市新区咸丰路街道办事处经办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18691925730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采购包1：721,649.25元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 采 行办 法》的通知（计价格〔 行 2002 〕1980 号）、《国家发展和 号 改革委员会办公厅关于招标 代 理服务收费有关问题的通知》（发 改 改办价格〔 改 2003 〕857 号）规定下浮3%收取代 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铜川市新区咸丰路街道办事处</w:t>
      </w:r>
      <w:r>
        <w:rPr>
          <w:rFonts w:ascii="仿宋_GB2312" w:hAnsi="仿宋_GB2312" w:cs="仿宋_GB2312" w:eastAsia="仿宋_GB2312"/>
        </w:rPr>
        <w:t>和</w:t>
      </w:r>
      <w:r>
        <w:rPr>
          <w:rFonts w:ascii="仿宋_GB2312" w:hAnsi="仿宋_GB2312" w:cs="仿宋_GB2312" w:eastAsia="仿宋_GB2312"/>
        </w:rPr>
        <w:t>陕西汇兴项目管理有限公司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铜川市新区咸丰路街道办事处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铜川市新区咸丰路街道办事处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满足采购人及服务合同要求。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联系人：张伟</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地址：铜川市新区金谟西路11号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2025年铜川市新区咸丰路街道农村垃圾清运。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721,649.25</w:t>
      </w:r>
    </w:p>
    <w:p>
      <w:pPr>
        <w:pStyle w:val="null3"/>
      </w:pPr>
      <w:r>
        <w:rPr>
          <w:rFonts w:ascii="仿宋_GB2312" w:hAnsi="仿宋_GB2312" w:cs="仿宋_GB2312" w:eastAsia="仿宋_GB2312"/>
        </w:rPr>
        <w:t>采购包最高限价（元）: 721,649.25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2025年铜川市新区咸丰路街道农村垃圾清运项目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721,649.25</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标的名称：2025年铜川市新区咸丰路街道农村垃圾清运项目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center"/>
              <w:outlineLvl w:val="0"/>
            </w:pPr>
            <w:r>
              <w:rPr>
                <w:rFonts w:ascii="仿宋_GB2312" w:hAnsi="仿宋_GB2312" w:cs="仿宋_GB2312" w:eastAsia="仿宋_GB2312"/>
                <w:sz w:val="36"/>
                <w:b/>
              </w:rPr>
              <w:t>采购</w:t>
            </w:r>
            <w:r>
              <w:rPr>
                <w:rFonts w:ascii="仿宋_GB2312" w:hAnsi="仿宋_GB2312" w:cs="仿宋_GB2312" w:eastAsia="仿宋_GB2312"/>
                <w:sz w:val="36"/>
                <w:b/>
              </w:rPr>
              <w:t>内容及要求</w:t>
            </w:r>
          </w:p>
          <w:p>
            <w:pPr>
              <w:pStyle w:val="null3"/>
              <w:jc w:val="both"/>
            </w:pPr>
            <w:r>
              <w:rPr>
                <w:rFonts w:ascii="仿宋_GB2312" w:hAnsi="仿宋_GB2312" w:cs="仿宋_GB2312" w:eastAsia="仿宋_GB2312"/>
                <w:sz w:val="24"/>
                <w:b/>
                <w:color w:val="000000"/>
              </w:rPr>
              <w:t>一、基本情况：</w:t>
            </w:r>
          </w:p>
          <w:p>
            <w:pPr>
              <w:pStyle w:val="null3"/>
              <w:ind w:firstLine="480"/>
              <w:jc w:val="both"/>
            </w:pPr>
            <w:r>
              <w:rPr>
                <w:rFonts w:ascii="仿宋_GB2312" w:hAnsi="仿宋_GB2312" w:cs="仿宋_GB2312" w:eastAsia="仿宋_GB2312"/>
                <w:sz w:val="24"/>
              </w:rPr>
              <w:t>1、范围：</w:t>
            </w:r>
            <w:r>
              <w:rPr>
                <w:rFonts w:ascii="仿宋_GB2312" w:hAnsi="仿宋_GB2312" w:cs="仿宋_GB2312" w:eastAsia="仿宋_GB2312"/>
                <w:sz w:val="24"/>
              </w:rPr>
              <w:t>白家村、景丰村（肖家组、中西组、）中老村、玉皇阁村、</w:t>
            </w:r>
            <w:r>
              <w:rPr>
                <w:rFonts w:ascii="仿宋_GB2312" w:hAnsi="仿宋_GB2312" w:cs="仿宋_GB2312" w:eastAsia="仿宋_GB2312"/>
                <w:sz w:val="24"/>
              </w:rPr>
              <w:t>申河村</w:t>
            </w:r>
            <w:r>
              <w:rPr>
                <w:rFonts w:ascii="仿宋_GB2312" w:hAnsi="仿宋_GB2312" w:cs="仿宋_GB2312" w:eastAsia="仿宋_GB2312"/>
                <w:sz w:val="24"/>
              </w:rPr>
              <w:t>(申河组、阿堡寨组)、平都村(平老组、平新组、）上高埝村、野狐坡村、崔家坡村（董坡组、崔上组、崔下组）、方巷口村、石仁村、任家庄村等</w:t>
            </w:r>
            <w:r>
              <w:rPr>
                <w:rFonts w:ascii="仿宋_GB2312" w:hAnsi="仿宋_GB2312" w:cs="仿宋_GB2312" w:eastAsia="仿宋_GB2312"/>
                <w:sz w:val="24"/>
              </w:rPr>
              <w:t>12</w:t>
            </w:r>
            <w:r>
              <w:rPr>
                <w:rFonts w:ascii="仿宋_GB2312" w:hAnsi="仿宋_GB2312" w:cs="仿宋_GB2312" w:eastAsia="仿宋_GB2312"/>
                <w:sz w:val="24"/>
              </w:rPr>
              <w:t>个村的垃圾清理、清运工作及街道办临时指定的辖区其他范围内的垃圾清理、清运工作。</w:t>
            </w:r>
          </w:p>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2、清理期：</w:t>
            </w:r>
            <w:r>
              <w:rPr>
                <w:rFonts w:ascii="仿宋_GB2312" w:hAnsi="仿宋_GB2312" w:cs="仿宋_GB2312" w:eastAsia="仿宋_GB2312"/>
                <w:sz w:val="24"/>
                <w:color w:val="000000"/>
              </w:rPr>
              <w:t>日产日清</w:t>
            </w:r>
          </w:p>
          <w:p>
            <w:pPr>
              <w:pStyle w:val="null3"/>
              <w:ind w:firstLine="480"/>
              <w:jc w:val="both"/>
            </w:pPr>
            <w:r>
              <w:rPr>
                <w:rFonts w:ascii="仿宋_GB2312" w:hAnsi="仿宋_GB2312" w:cs="仿宋_GB2312" w:eastAsia="仿宋_GB2312"/>
                <w:sz w:val="24"/>
                <w:color w:val="000000"/>
              </w:rPr>
              <w:t>3、服务期：一年</w:t>
            </w:r>
          </w:p>
          <w:p>
            <w:pPr>
              <w:pStyle w:val="null3"/>
              <w:spacing w:after="120"/>
              <w:ind w:firstLine="480"/>
              <w:jc w:val="both"/>
            </w:pPr>
            <w:r>
              <w:rPr>
                <w:rFonts w:ascii="仿宋_GB2312" w:hAnsi="仿宋_GB2312" w:cs="仿宋_GB2312" w:eastAsia="仿宋_GB2312"/>
                <w:sz w:val="24"/>
                <w:color w:val="000000"/>
              </w:rPr>
              <w:t>4、采购预算：721,649.25元</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color w:val="000000"/>
              </w:rPr>
              <w:t>二、工作任务及标准</w:t>
            </w:r>
            <w:r>
              <w:rPr>
                <w:rFonts w:ascii="仿宋_GB2312" w:hAnsi="仿宋_GB2312" w:cs="仿宋_GB2312" w:eastAsia="仿宋_GB2312"/>
                <w:sz w:val="24"/>
                <w:b/>
                <w:color w:val="000000"/>
              </w:rPr>
              <w:t>：</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垃圾清运公司负责对</w:t>
            </w:r>
            <w:r>
              <w:rPr>
                <w:rFonts w:ascii="仿宋_GB2312" w:hAnsi="仿宋_GB2312" w:cs="仿宋_GB2312" w:eastAsia="仿宋_GB2312"/>
                <w:sz w:val="24"/>
                <w:color w:val="000000"/>
              </w:rPr>
              <w:t>各</w:t>
            </w:r>
            <w:r>
              <w:rPr>
                <w:rFonts w:ascii="仿宋_GB2312" w:hAnsi="仿宋_GB2312" w:cs="仿宋_GB2312" w:eastAsia="仿宋_GB2312"/>
                <w:sz w:val="24"/>
                <w:color w:val="000000"/>
              </w:rPr>
              <w:t>村组主干路和通村路旁各类垃圾台、垃圾桶、垃圾点及咸丰街道办事处新建生活垃圾屋、建筑垃圾台的清运</w:t>
            </w:r>
            <w:r>
              <w:rPr>
                <w:rFonts w:ascii="仿宋_GB2312" w:hAnsi="仿宋_GB2312" w:cs="仿宋_GB2312" w:eastAsia="仿宋_GB2312"/>
                <w:sz w:val="24"/>
                <w:color w:val="000000"/>
              </w:rPr>
              <w:t>，</w:t>
            </w:r>
            <w:r>
              <w:rPr>
                <w:rFonts w:ascii="仿宋_GB2312" w:hAnsi="仿宋_GB2312" w:cs="仿宋_GB2312" w:eastAsia="仿宋_GB2312"/>
                <w:sz w:val="24"/>
                <w:color w:val="000000"/>
              </w:rPr>
              <w:t>做到日产日清，</w:t>
            </w:r>
            <w:r>
              <w:rPr>
                <w:rFonts w:ascii="仿宋_GB2312" w:hAnsi="仿宋_GB2312" w:cs="仿宋_GB2312" w:eastAsia="仿宋_GB2312"/>
                <w:sz w:val="24"/>
                <w:color w:val="000000"/>
              </w:rPr>
              <w:t>并将</w:t>
            </w:r>
            <w:r>
              <w:rPr>
                <w:rFonts w:ascii="仿宋_GB2312" w:hAnsi="仿宋_GB2312" w:cs="仿宋_GB2312" w:eastAsia="仿宋_GB2312"/>
                <w:sz w:val="24"/>
                <w:color w:val="000000"/>
              </w:rPr>
              <w:t>装载时散落垃圾清理干净</w:t>
            </w:r>
            <w:r>
              <w:rPr>
                <w:rFonts w:ascii="仿宋_GB2312" w:hAnsi="仿宋_GB2312" w:cs="仿宋_GB2312" w:eastAsia="仿宋_GB2312"/>
                <w:sz w:val="24"/>
                <w:color w:val="000000"/>
              </w:rPr>
              <w:t>，垃圾桶摆放整齐</w:t>
            </w:r>
            <w:r>
              <w:rPr>
                <w:rFonts w:ascii="仿宋_GB2312" w:hAnsi="仿宋_GB2312" w:cs="仿宋_GB2312" w:eastAsia="仿宋_GB2312"/>
                <w:sz w:val="24"/>
                <w:color w:val="000000"/>
              </w:rPr>
              <w:t>。</w:t>
            </w:r>
            <w:r>
              <w:rPr>
                <w:rFonts w:ascii="仿宋_GB2312" w:hAnsi="仿宋_GB2312" w:cs="仿宋_GB2312" w:eastAsia="仿宋_GB2312"/>
                <w:sz w:val="24"/>
                <w:color w:val="000000"/>
              </w:rPr>
              <w:t>同时做好</w:t>
            </w:r>
            <w:r>
              <w:rPr>
                <w:rFonts w:ascii="仿宋_GB2312" w:hAnsi="仿宋_GB2312" w:cs="仿宋_GB2312" w:eastAsia="仿宋_GB2312"/>
                <w:sz w:val="24"/>
                <w:color w:val="000000"/>
              </w:rPr>
              <w:t>上级和咸丰街道办事处安排的其他工作</w:t>
            </w:r>
            <w:r>
              <w:rPr>
                <w:rFonts w:ascii="仿宋_GB2312" w:hAnsi="仿宋_GB2312" w:cs="仿宋_GB2312" w:eastAsia="仿宋_GB2312"/>
                <w:sz w:val="24"/>
                <w:color w:val="000000"/>
              </w:rPr>
              <w:t>、</w:t>
            </w:r>
            <w:r>
              <w:rPr>
                <w:rFonts w:ascii="仿宋_GB2312" w:hAnsi="仿宋_GB2312" w:cs="仿宋_GB2312" w:eastAsia="仿宋_GB2312"/>
                <w:sz w:val="24"/>
                <w:color w:val="000000"/>
              </w:rPr>
              <w:t>重大活动</w:t>
            </w:r>
            <w:r>
              <w:rPr>
                <w:rFonts w:ascii="仿宋_GB2312" w:hAnsi="仿宋_GB2312" w:cs="仿宋_GB2312" w:eastAsia="仿宋_GB2312"/>
                <w:sz w:val="24"/>
                <w:color w:val="000000"/>
              </w:rPr>
              <w:t>的</w:t>
            </w:r>
            <w:r>
              <w:rPr>
                <w:rFonts w:ascii="仿宋_GB2312" w:hAnsi="仿宋_GB2312" w:cs="仿宋_GB2312" w:eastAsia="仿宋_GB2312"/>
                <w:sz w:val="24"/>
                <w:color w:val="000000"/>
              </w:rPr>
              <w:t>环境卫生保障</w:t>
            </w:r>
            <w:r>
              <w:rPr>
                <w:rFonts w:ascii="仿宋_GB2312" w:hAnsi="仿宋_GB2312" w:cs="仿宋_GB2312" w:eastAsia="仿宋_GB2312"/>
                <w:sz w:val="24"/>
                <w:color w:val="000000"/>
              </w:rPr>
              <w:t>。</w:t>
            </w:r>
            <w:r>
              <w:rPr>
                <w:rFonts w:ascii="仿宋_GB2312" w:hAnsi="仿宋_GB2312" w:cs="仿宋_GB2312" w:eastAsia="仿宋_GB2312"/>
                <w:sz w:val="24"/>
                <w:color w:val="000000"/>
              </w:rPr>
              <w:t>运输时将生活、建筑垃圾分开，严格按照相关规定进行处理。拉运途中密闭运输，不抛洒、不扬尘、不中途乱倒。</w:t>
            </w:r>
          </w:p>
          <w:p>
            <w:pPr>
              <w:pStyle w:val="null3"/>
              <w:ind w:firstLine="480"/>
              <w:jc w:val="both"/>
            </w:pPr>
            <w:r>
              <w:rPr>
                <w:rFonts w:ascii="仿宋_GB2312" w:hAnsi="仿宋_GB2312" w:cs="仿宋_GB2312" w:eastAsia="仿宋_GB2312"/>
                <w:sz w:val="24"/>
                <w:color w:val="000000"/>
              </w:rPr>
              <w:t>2、垃圾清运工作中，工作人员与车辆应有明显的保洁标志、标识，机械车辆要保持车辆容貌整洁，并每日对车辆进行消杀。运输过程中遵守交通交管部门的有关规定。</w:t>
            </w:r>
          </w:p>
          <w:p>
            <w:pPr>
              <w:pStyle w:val="null3"/>
              <w:ind w:firstLine="480"/>
              <w:jc w:val="both"/>
            </w:pPr>
            <w:r>
              <w:rPr>
                <w:rFonts w:ascii="仿宋_GB2312" w:hAnsi="仿宋_GB2312" w:cs="仿宋_GB2312" w:eastAsia="仿宋_GB2312"/>
                <w:sz w:val="24"/>
                <w:color w:val="000000"/>
              </w:rPr>
              <w:t>3、清运垃圾过程中，要爱护垃圾屋、垃圾台、垃圾桶等公共环卫设施。</w:t>
            </w:r>
          </w:p>
          <w:p>
            <w:pPr>
              <w:pStyle w:val="null3"/>
              <w:ind w:firstLine="480"/>
              <w:jc w:val="both"/>
            </w:pPr>
            <w:r>
              <w:rPr>
                <w:rFonts w:ascii="仿宋_GB2312" w:hAnsi="仿宋_GB2312" w:cs="仿宋_GB2312" w:eastAsia="仿宋_GB2312"/>
                <w:sz w:val="24"/>
                <w:color w:val="000000"/>
              </w:rPr>
              <w:t>4、垃圾清运过程当中，工作人员应规范操作机械，因不安全作业造成的事故损失等，由垃圾清运公司自行承担。</w:t>
            </w:r>
          </w:p>
          <w:p>
            <w:pPr>
              <w:pStyle w:val="null3"/>
              <w:spacing w:after="120"/>
              <w:ind w:firstLine="480"/>
              <w:jc w:val="left"/>
            </w:pPr>
            <w:r>
              <w:rPr>
                <w:rFonts w:ascii="仿宋_GB2312" w:hAnsi="仿宋_GB2312" w:cs="仿宋_GB2312" w:eastAsia="仿宋_GB2312"/>
                <w:sz w:val="24"/>
                <w:color w:val="000000"/>
              </w:rPr>
              <w:t>5、垃圾清运公司应及时自查，突出工作重点，灵活工作方式，确保工作任务落到实处。定期对工作人员岗位培训，提高工作人员业务技能和工作责任心。</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满足采购人及服务合同需求。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满足采购人及服务合同需求。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满足采购人及服务合同要求。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按月支付（具体以实际签订合同为准）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成交供应商未按合同要求履行，不符合招标技术要求，成交供应商必须无条件更换 人员或产品，提高技术，完善质量，否则，采购人有权终止合同，并对成交供应商的违约行为进行追究并依法向成交供应商进 行经济索赔。</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1、服务期限：自合同签订之日起一年；2、服务地点：采购人指定地点。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（2）、财务状况报告：提供具有财务审计资质单位出具的2024年度财务报告或磋商前六个月内其基本账户银行出具的资信证明或政府采购信用担保机构出具的磋商担保函； （3）、税收交纳证明：提供截止至磋商时间前六个月内任意二个月的缴费凭据；（依法免税的供应商应提供相关文件证明）； （4）、社会保障资金交纳证明：提供截止至磋商时间前六个月内任意二个月的社保缴费凭据或社保机构开具的社会保险参保缴费情况证明；（依法不需要交纳社会保障资金的供应商应提供相关证明）； （5）、提供具有履行本合同所必需的设备和专业技术能力的说明及承诺； （6）、提供参加政府采购活动前三年内在经营活动中没有重大违法记录的书面声明； （7）、法定代表人授权书/ 法定代表人身份证明：法定代表人参与磋商时需提供法定代表人身份证明；被授权人参与磋商时需提供法定代 表人授权委托书； （8）、供应商不得为“信用中国(www.creditchina.gov.cn)”中列入失信被执行人名单的供应商，不得为“中国政府采购网(www.ccgp.gov.cn)”政府采购严重违法失信行为记录名单中被财政部门禁止参加政府采购活动的供应商； （9）、本项目不允许联合体磋商。（提供非联合体磋商承诺）。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磋商响应文件上要求法定代表人或被授权人签 字或盖章的，签字或盖章应齐全。</w:t>
            </w:r>
          </w:p>
        </w:tc>
        <w:tc>
          <w:tcPr>
            <w:tcW w:type="dxa" w:w="1661"/>
          </w:tcPr>
          <w:p>
            <w:pPr>
              <w:pStyle w:val="null3"/>
            </w:pPr>
            <w:r>
              <w:rPr>
                <w:rFonts w:ascii="仿宋_GB2312" w:hAnsi="仿宋_GB2312" w:cs="仿宋_GB2312" w:eastAsia="仿宋_GB2312"/>
              </w:rPr>
              <w:t>业绩一览表.docx 服务内容及服务邀请应答表 法定代表人身份证明.docx 中小企业声明函 商务应答表 供应商应提交的相关资格证明材料 报价表 响应文件封面 残疾人福利性单位声明函 服务方案 标的清单 其他资料.docx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业绩一览表.docx 服务内容及服务邀请应答表 法定代表人身份证明.docx 中小企业声明函 商务应答表 供应商应提交的相关资格证明材料 报价表 响应文件封面 残疾人福利性单位声明函 服务方案 标的清单 其他资料.docx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垃圾清运实施方案</w:t>
            </w:r>
          </w:p>
        </w:tc>
        <w:tc>
          <w:tcPr>
            <w:tcW w:type="dxa" w:w="2492"/>
          </w:tcPr>
          <w:p>
            <w:pPr>
              <w:pStyle w:val="null3"/>
            </w:pPr>
            <w:r>
              <w:rPr>
                <w:rFonts w:ascii="仿宋_GB2312" w:hAnsi="仿宋_GB2312" w:cs="仿宋_GB2312" w:eastAsia="仿宋_GB2312"/>
              </w:rPr>
              <w:t>垃圾清运实施方案合理、严谨、有 针对性，磋商小组根据供应商提供 方案的完整性、实用性进行横向比 较赋分，优计[15-20]分，良[10-1 5）分，一般计[0-10）分；如以上 根据响应情况赋分，未响应不得分 。</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拟投入该项目的专用 清运工具及主要硬件 设备</w:t>
            </w:r>
          </w:p>
        </w:tc>
        <w:tc>
          <w:tcPr>
            <w:tcW w:type="dxa" w:w="2492"/>
          </w:tcPr>
          <w:p>
            <w:pPr>
              <w:pStyle w:val="null3"/>
            </w:pPr>
            <w:r>
              <w:rPr>
                <w:rFonts w:ascii="仿宋_GB2312" w:hAnsi="仿宋_GB2312" w:cs="仿宋_GB2312" w:eastAsia="仿宋_GB2312"/>
              </w:rPr>
              <w:t>根据拟投入该项目的专用清运工具 及主要硬件设备，磋商小组根据供 应商提供清运工具及硬件设备完整 性进行比较赋分，优计[10-15]分 ，良[5-10）分，一般计[0-5）分 ；如以上根据响应情况赋分，未响 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安全保障措施、应急 预案、安全控制体系</w:t>
            </w:r>
          </w:p>
        </w:tc>
        <w:tc>
          <w:tcPr>
            <w:tcW w:type="dxa" w:w="2492"/>
          </w:tcPr>
          <w:p>
            <w:pPr>
              <w:pStyle w:val="null3"/>
            </w:pPr>
            <w:r>
              <w:rPr>
                <w:rFonts w:ascii="仿宋_GB2312" w:hAnsi="仿宋_GB2312" w:cs="仿宋_GB2312" w:eastAsia="仿宋_GB2312"/>
              </w:rPr>
              <w:t>有专门的安全保障措施、应急预案 、安全控制体系，根据响应程度优 计[10-15]分，良[5-10）分，一般 [0-5）分；如以上根据响应情况赋 分，未响应不得分。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人员安排、职责分配 以及人员管理方案</w:t>
            </w:r>
          </w:p>
        </w:tc>
        <w:tc>
          <w:tcPr>
            <w:tcW w:type="dxa" w:w="2492"/>
          </w:tcPr>
          <w:p>
            <w:pPr>
              <w:pStyle w:val="null3"/>
            </w:pPr>
            <w:r>
              <w:rPr>
                <w:rFonts w:ascii="仿宋_GB2312" w:hAnsi="仿宋_GB2312" w:cs="仿宋_GB2312" w:eastAsia="仿宋_GB2312"/>
              </w:rPr>
              <w:t>提供详细的人员安排、职责分配以 及人员管理方案，磋商小组根据供 应商提供方案的完整性、实用性进 行横向比较赋分，优计[10-15]分 ，良[5-10）分，一般计[0-5分） ；如以上根据响应情况赋分，未响 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提供详细、具体、可实施的服务承 诺，服务人员必须各尽其职，工作 响应及时，能高效、优质的完成响 应工作，，保证符合各项工作质量 ，根据响应程度优计[10-15]分， 良计[5-10）分，一般计[0-5）分 ；如以上根据响应情况赋分，未响 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提供近三年同类项目业绩（以合同 或中标通知书为准,复印件加盖公章 ）每份计2分，计满10分为止。（ 无相关业绩记0分）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满足竞争性磋商文件要求且评审报 价最低的报价为评标基准价，其价 格分为满分。其他供应商的价格分 统一按照下列公式计算： 磋商报价 得分=（评标基准价/最终磋商报价 ）×价格权值。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