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17A2D7">
      <w:pPr>
        <w:spacing w:line="360" w:lineRule="auto"/>
        <w:jc w:val="center"/>
        <w:rPr>
          <w:rFonts w:hint="eastAsia" w:ascii="楷体" w:hAnsi="楷体" w:eastAsia="楷体" w:cs="楷体"/>
          <w:b/>
          <w:bCs/>
          <w:color w:val="auto"/>
          <w:sz w:val="48"/>
          <w:szCs w:val="48"/>
        </w:rPr>
      </w:pPr>
      <w:r>
        <w:rPr>
          <w:rFonts w:hint="eastAsia" w:ascii="楷体" w:hAnsi="楷体" w:eastAsia="楷体" w:cs="楷体"/>
          <w:b/>
          <w:bCs/>
          <w:color w:val="auto"/>
          <w:sz w:val="48"/>
          <w:szCs w:val="48"/>
          <w:lang w:eastAsia="zh-CN"/>
        </w:rPr>
        <w:t>参考文本</w:t>
      </w:r>
    </w:p>
    <w:p w14:paraId="70E3CB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auto"/>
        <w:rPr>
          <w:rFonts w:hint="eastAsia" w:eastAsia="宋体"/>
          <w:b/>
          <w:bCs/>
          <w:color w:val="000000"/>
          <w:sz w:val="52"/>
          <w:szCs w:val="72"/>
          <w:lang w:val="en-US" w:eastAsia="zh-CN"/>
        </w:rPr>
      </w:pPr>
    </w:p>
    <w:p w14:paraId="6056B0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auto"/>
        <w:rPr>
          <w:rFonts w:hint="eastAsia" w:eastAsia="宋体"/>
          <w:b/>
          <w:bCs/>
          <w:color w:val="000000"/>
          <w:sz w:val="52"/>
          <w:szCs w:val="72"/>
          <w:lang w:val="en-US" w:eastAsia="zh-CN"/>
        </w:rPr>
      </w:pPr>
      <w:r>
        <w:rPr>
          <w:rFonts w:hint="eastAsia" w:eastAsia="宋体"/>
          <w:b/>
          <w:bCs/>
          <w:color w:val="000000"/>
          <w:sz w:val="52"/>
          <w:szCs w:val="72"/>
          <w:lang w:val="en-US" w:eastAsia="zh-CN"/>
        </w:rPr>
        <w:t>2025年铜川市新区咸丰路街道农村垃圾清运项目</w:t>
      </w:r>
    </w:p>
    <w:p w14:paraId="1169E0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auto"/>
        <w:rPr>
          <w:rFonts w:hint="eastAsia" w:eastAsia="宋体"/>
          <w:b/>
          <w:bCs/>
          <w:color w:val="000000"/>
          <w:sz w:val="52"/>
          <w:szCs w:val="72"/>
          <w:lang w:val="en-US" w:eastAsia="zh-CN"/>
        </w:rPr>
      </w:pPr>
    </w:p>
    <w:p w14:paraId="515CB7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auto"/>
        <w:rPr>
          <w:rFonts w:hint="eastAsia" w:eastAsia="宋体"/>
          <w:b/>
          <w:bCs/>
          <w:color w:val="000000"/>
          <w:sz w:val="52"/>
          <w:szCs w:val="72"/>
          <w:lang w:val="en-US" w:eastAsia="zh-CN"/>
        </w:rPr>
      </w:pPr>
    </w:p>
    <w:p w14:paraId="1C777C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auto"/>
        <w:rPr>
          <w:rFonts w:hint="eastAsia" w:eastAsia="宋体"/>
          <w:b/>
          <w:bCs/>
          <w:color w:val="000000"/>
          <w:sz w:val="52"/>
          <w:szCs w:val="72"/>
          <w:lang w:val="en-US" w:eastAsia="zh-CN"/>
        </w:rPr>
      </w:pPr>
    </w:p>
    <w:p w14:paraId="4E96D6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auto"/>
        <w:rPr>
          <w:rFonts w:hint="eastAsia" w:eastAsia="宋体"/>
          <w:b/>
          <w:bCs/>
          <w:color w:val="000000"/>
          <w:sz w:val="52"/>
          <w:szCs w:val="72"/>
          <w:lang w:val="en-US" w:eastAsia="zh-CN"/>
        </w:rPr>
      </w:pPr>
    </w:p>
    <w:p w14:paraId="6C5328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auto"/>
        <w:rPr>
          <w:rFonts w:hint="eastAsia" w:eastAsia="宋体"/>
          <w:b/>
          <w:bCs/>
          <w:color w:val="000000"/>
          <w:sz w:val="52"/>
          <w:szCs w:val="72"/>
          <w:lang w:val="en-US" w:eastAsia="zh-CN"/>
        </w:rPr>
      </w:pPr>
    </w:p>
    <w:p w14:paraId="1B1FFAFA">
      <w:pPr>
        <w:ind w:left="0" w:leftChars="0" w:firstLine="720" w:firstLineChars="200"/>
        <w:rPr>
          <w:rFonts w:hint="eastAsia" w:ascii="仿宋_GB2312" w:hAnsi="仿宋_GB2312" w:eastAsia="仿宋_GB2312" w:cs="仿宋_GB2312"/>
          <w:color w:val="000000"/>
          <w:sz w:val="36"/>
          <w:szCs w:val="36"/>
        </w:rPr>
      </w:pPr>
    </w:p>
    <w:p w14:paraId="2875FADD">
      <w:pPr>
        <w:ind w:left="0" w:leftChars="0" w:firstLine="720" w:firstLineChars="200"/>
        <w:rPr>
          <w:rFonts w:hint="eastAsia" w:ascii="仿宋_GB2312" w:hAnsi="仿宋_GB2312" w:eastAsia="仿宋_GB2312" w:cs="仿宋_GB2312"/>
          <w:color w:val="000000"/>
          <w:sz w:val="36"/>
          <w:szCs w:val="36"/>
        </w:rPr>
      </w:pPr>
    </w:p>
    <w:p w14:paraId="34F1F59C">
      <w:pPr>
        <w:ind w:left="0" w:leftChars="0" w:firstLine="720" w:firstLineChars="200"/>
        <w:rPr>
          <w:rFonts w:hint="eastAsia" w:ascii="仿宋_GB2312" w:hAnsi="仿宋_GB2312" w:eastAsia="仿宋_GB2312" w:cs="仿宋_GB2312"/>
          <w:color w:val="000000"/>
          <w:sz w:val="36"/>
          <w:szCs w:val="36"/>
        </w:rPr>
      </w:pPr>
    </w:p>
    <w:p w14:paraId="62D2C52E">
      <w:pPr>
        <w:ind w:left="0" w:leftChars="0" w:firstLine="720" w:firstLineChars="200"/>
        <w:rPr>
          <w:rFonts w:hint="eastAsia" w:ascii="仿宋_GB2312" w:hAnsi="仿宋_GB2312" w:eastAsia="仿宋_GB2312" w:cs="仿宋_GB2312"/>
          <w:color w:val="000000"/>
          <w:sz w:val="36"/>
          <w:szCs w:val="36"/>
        </w:rPr>
      </w:pPr>
    </w:p>
    <w:p w14:paraId="2FD5ADB8">
      <w:pPr>
        <w:ind w:left="0" w:leftChars="0" w:firstLine="720" w:firstLineChars="200"/>
        <w:rPr>
          <w:rFonts w:hint="eastAsia" w:ascii="仿宋_GB2312" w:hAnsi="仿宋_GB2312" w:eastAsia="仿宋_GB2312" w:cs="仿宋_GB2312"/>
          <w:color w:val="000000"/>
          <w:sz w:val="36"/>
          <w:szCs w:val="36"/>
        </w:rPr>
      </w:pPr>
    </w:p>
    <w:p w14:paraId="3BBB2761">
      <w:pPr>
        <w:pStyle w:val="3"/>
        <w:rPr>
          <w:rFonts w:hint="eastAsia" w:ascii="仿宋_GB2312" w:hAnsi="仿宋_GB2312" w:eastAsia="仿宋_GB2312" w:cs="仿宋_GB2312"/>
          <w:color w:val="000000"/>
          <w:sz w:val="36"/>
          <w:szCs w:val="36"/>
        </w:rPr>
      </w:pPr>
    </w:p>
    <w:p w14:paraId="5332219C">
      <w:pPr>
        <w:pStyle w:val="3"/>
        <w:rPr>
          <w:rFonts w:hint="eastAsia" w:ascii="仿宋_GB2312" w:hAnsi="仿宋_GB2312" w:eastAsia="仿宋_GB2312" w:cs="仿宋_GB2312"/>
          <w:color w:val="000000"/>
          <w:sz w:val="36"/>
          <w:szCs w:val="36"/>
        </w:rPr>
      </w:pPr>
    </w:p>
    <w:p w14:paraId="090C8907">
      <w:pPr>
        <w:pStyle w:val="3"/>
        <w:rPr>
          <w:rFonts w:hint="eastAsia" w:ascii="仿宋_GB2312" w:hAnsi="仿宋_GB2312" w:eastAsia="仿宋_GB2312" w:cs="仿宋_GB2312"/>
          <w:color w:val="000000"/>
          <w:sz w:val="36"/>
          <w:szCs w:val="36"/>
        </w:rPr>
      </w:pPr>
    </w:p>
    <w:p w14:paraId="04A5C060">
      <w:pPr>
        <w:pStyle w:val="3"/>
        <w:rPr>
          <w:rFonts w:hint="eastAsia" w:ascii="仿宋_GB2312" w:hAnsi="仿宋_GB2312" w:eastAsia="仿宋_GB2312" w:cs="仿宋_GB2312"/>
          <w:color w:val="000000"/>
          <w:sz w:val="36"/>
          <w:szCs w:val="36"/>
        </w:rPr>
      </w:pPr>
    </w:p>
    <w:p w14:paraId="6B4178FA">
      <w:pPr>
        <w:pStyle w:val="3"/>
        <w:rPr>
          <w:rFonts w:hint="eastAsia" w:ascii="仿宋_GB2312" w:hAnsi="仿宋_GB2312" w:eastAsia="仿宋_GB2312" w:cs="仿宋_GB2312"/>
          <w:color w:val="000000"/>
          <w:sz w:val="36"/>
          <w:szCs w:val="36"/>
        </w:rPr>
      </w:pPr>
    </w:p>
    <w:p w14:paraId="424981B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甲方：</w:t>
      </w:r>
      <w:r>
        <w:rPr>
          <w:rFonts w:hint="eastAsia" w:ascii="楷体" w:hAnsi="楷体" w:eastAsia="楷体" w:cs="楷体"/>
          <w:color w:val="000000"/>
          <w:sz w:val="24"/>
          <w:szCs w:val="24"/>
          <w:u w:val="single"/>
          <w:lang w:val="en-US" w:eastAsia="zh-CN"/>
        </w:rPr>
        <w:t>铜川市新区咸丰路街道办事处</w:t>
      </w:r>
    </w:p>
    <w:p w14:paraId="78457A5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textAlignment w:val="auto"/>
        <w:rPr>
          <w:rFonts w:hint="eastAsia" w:ascii="楷体" w:hAnsi="楷体" w:eastAsia="楷体" w:cs="楷体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乙方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：</w:t>
      </w:r>
      <w:r>
        <w:rPr>
          <w:rFonts w:hint="eastAsia" w:ascii="楷体" w:hAnsi="楷体" w:eastAsia="楷体" w:cs="楷体"/>
          <w:color w:val="00000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000000"/>
          <w:sz w:val="24"/>
          <w:szCs w:val="24"/>
          <w:u w:val="none"/>
          <w:lang w:val="en-US" w:eastAsia="zh-CN"/>
        </w:rPr>
        <w:t xml:space="preserve">                  </w:t>
      </w:r>
    </w:p>
    <w:p w14:paraId="7388E34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</w:p>
    <w:p w14:paraId="680374F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依照国家有关法律、行政法规，遵循平等、自愿、公平和诚实信用的原则，双方就</w:t>
      </w:r>
      <w:r>
        <w:rPr>
          <w:rFonts w:hint="eastAsia" w:ascii="楷体" w:hAnsi="楷体" w:eastAsia="楷体" w:cs="楷体"/>
          <w:color w:val="00000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 xml:space="preserve">（项目名称） </w:t>
      </w:r>
      <w:r>
        <w:rPr>
          <w:rFonts w:hint="eastAsia" w:ascii="楷体" w:hAnsi="楷体" w:eastAsia="楷体" w:cs="楷体"/>
          <w:color w:val="00000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color w:val="000000"/>
          <w:sz w:val="24"/>
          <w:szCs w:val="24"/>
          <w:u w:val="none"/>
          <w:lang w:val="en-US"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u w:val="none"/>
        </w:rPr>
        <w:t>项目编号）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事项协商一致，同意按下述条款和条件签署本合同。</w:t>
      </w:r>
    </w:p>
    <w:p w14:paraId="74626FC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一、甲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乙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双方的工作职责</w:t>
      </w:r>
    </w:p>
    <w:p w14:paraId="0B41E78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1.甲方负责制定工作任务、工作标准、工作要求，负责对工作完成情况进行检查、考核，负责对劳务资金的监督、管理、核准、拨付等工作。</w:t>
      </w:r>
    </w:p>
    <w:p w14:paraId="472FEAC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2.乙方负责按照各村确定的垃圾收集点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及时清运，做到日产日清，并将装载时散落垃圾清理干净。运输时将生活、建筑垃圾分开，严格按照相关规定进行处理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。</w:t>
      </w:r>
    </w:p>
    <w:p w14:paraId="1199F38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二、工作范围</w:t>
      </w:r>
    </w:p>
    <w:p w14:paraId="04A69B1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乙方负责：</w:t>
      </w:r>
      <w:r>
        <w:rPr>
          <w:rFonts w:hint="eastAsia" w:ascii="楷体" w:hAnsi="楷体" w:eastAsia="楷体" w:cs="楷体"/>
          <w:color w:val="000000"/>
          <w:sz w:val="24"/>
          <w:szCs w:val="24"/>
          <w:lang w:val="zh-CN" w:eastAsia="zh-CN"/>
        </w:rPr>
        <w:t>白家村、景丰村（肖家组、中西组、）中老村、玉皇阁村、 申河村(申河组、阿堡寨组)、平都村(平老组、平新组、）上高埝村、野狐坡村、崔家坡村（董坡组、崔上组、崔下组）、方巷口村、石仁村、任家庄村等12个村的垃圾清理、清运工作及街道办临时指定的辖区其他范围内的垃圾清理、清运工作。</w:t>
      </w:r>
    </w:p>
    <w:p w14:paraId="040A989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三、工作任务及标准</w:t>
      </w:r>
    </w:p>
    <w:p w14:paraId="1312F77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1. 乙方按照甲方确定的各村垃圾集中点，及时清运、保洁，做到日产日清，每天下午12时前完成清运清理工作，并始终保持垃圾集中点及附近地面卫生清洁，不留死角。运输时将生活、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建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筑垃圾分开，拉运到指定的建筑垃圾填埋场和生活垃圾处理厂倾倒。拉运途中密闭运输，不抛洒、不扬尘、不中途乱倒。</w:t>
      </w:r>
    </w:p>
    <w:p w14:paraId="0C19EF4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2. 乙方在垃圾清运工作中，工作人员及车辆应有明显的保洁标志、标识，机械车辆要保持车辆容貌整洁，运输过程中遵守交通交管部门的有关规定。</w:t>
      </w:r>
    </w:p>
    <w:p w14:paraId="6F12076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3.乙方在清运垃圾过程中，要爱护垃圾屋，垃圾台，垃圾桶等公共环卫设施，如因清运过程中导致的垃圾屋、垃圾台、垃圾桶等公共环卫设施损坏的由垃圾清运公司负责维修。</w:t>
      </w:r>
    </w:p>
    <w:p w14:paraId="5D25BA0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4.乙方在垃圾清运过程当中，工作人员应规范操作机械，因不安全作业造成的事故损失等，街办不承担任何责任。</w:t>
      </w:r>
    </w:p>
    <w:p w14:paraId="51CBECD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5.乙方应及时对垃圾清运点进行自查，突出工作重点，灵活工作方式，确保工作任务落到实处，定期对工作人员岗位培训，提高工作人员业务技能和工作责任心。</w:t>
      </w:r>
    </w:p>
    <w:p w14:paraId="665F9CA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四、劳务费用及结算方式</w:t>
      </w:r>
    </w:p>
    <w:p w14:paraId="2359B85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1、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合同总价为：（大写）人民币</w:t>
      </w:r>
      <w:r>
        <w:rPr>
          <w:rFonts w:hint="eastAsia" w:ascii="楷体" w:hAnsi="楷体" w:eastAsia="楷体" w:cs="楷体"/>
          <w:color w:val="00000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币（小写：￥</w:t>
      </w:r>
      <w:r>
        <w:rPr>
          <w:rFonts w:hint="eastAsia" w:ascii="楷体" w:hAnsi="楷体" w:eastAsia="楷体" w:cs="楷体"/>
          <w:color w:val="00000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color w:val="000000"/>
          <w:sz w:val="24"/>
          <w:szCs w:val="24"/>
          <w:u w:val="none"/>
          <w:lang w:val="en-US" w:eastAsia="zh-CN"/>
        </w:rPr>
        <w:t>元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）</w:t>
      </w:r>
      <w:r>
        <w:rPr>
          <w:rFonts w:hint="eastAsia" w:ascii="楷体" w:hAnsi="楷体" w:eastAsia="楷体" w:cs="楷体"/>
          <w:color w:val="000000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楷体" w:hAnsi="楷体" w:eastAsia="楷体" w:cs="楷体"/>
          <w:color w:val="000000"/>
          <w:sz w:val="24"/>
          <w:szCs w:val="24"/>
          <w:u w:val="none"/>
          <w:lang w:val="en-US" w:eastAsia="zh-CN"/>
        </w:rPr>
        <w:t xml:space="preserve">                 </w:t>
      </w:r>
      <w:r>
        <w:rPr>
          <w:rFonts w:hint="eastAsia" w:ascii="楷体" w:hAnsi="楷体" w:eastAsia="楷体" w:cs="楷体"/>
          <w:color w:val="000000"/>
          <w:sz w:val="24"/>
          <w:szCs w:val="24"/>
          <w:u w:val="single"/>
          <w:lang w:val="en-US" w:eastAsia="zh-CN"/>
        </w:rPr>
        <w:t xml:space="preserve">         </w:t>
      </w:r>
    </w:p>
    <w:p w14:paraId="5363A17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2、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结算方式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：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按月结算，服务费用在达到甲方各项考核要求后次月结算一次，在次月中下旬支付上月应付款，乙方需出具正规发票给甲方。</w:t>
      </w:r>
    </w:p>
    <w:p w14:paraId="3F0C5FD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五、考核奖罚练</w:t>
      </w:r>
    </w:p>
    <w:p w14:paraId="7B89C39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铜川市新区咸丰路街道办事处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本着公平公正，严格奖罚的原则，对垃圾清运情况进行严格考核，考核采取明查为主、暗查为辅的考核形式，到村、到路段、到垃圾集中点检查。采用周检查、月奖罚的办法。对于工作突出的给予一定奖励，对工作不力，给予一定处罚。乙方若有违约，给甲方造成一定影响或严重后果的，其责任由乙方全部承担，甲方有权终止合同。</w:t>
      </w:r>
    </w:p>
    <w:p w14:paraId="115E56F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六、合同期限：自签订合同之日起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一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年。</w:t>
      </w:r>
    </w:p>
    <w:p w14:paraId="393C268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七、合同争议的解决：合同执行中发生争议的，当事人双方应协商解决，协商达成不一致时，可向人民法院提请诉讼。</w:t>
      </w:r>
    </w:p>
    <w:p w14:paraId="1F49104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八、合同一经签订，不得擅自变更或者终止合同。对需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要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变更、调整或者终止合同的，应按规定履行相应的手续。</w:t>
      </w:r>
    </w:p>
    <w:p w14:paraId="2CC3F8F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九、违约责任：依据《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民法典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》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《中华人民共和国政府采购法》的相关条款约定。乙方未全面履行合同义务或者发生违约，甲方有权终止合同，依法向乙方要求经济索赔，并报请政府采购监督管理机关进行相应的行政处罚。甲方违约的，应当赔偿给乙方造成的经济损失。</w:t>
      </w:r>
    </w:p>
    <w:p w14:paraId="3B0FEB6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十、本合同一式四份，甲方、乙方、采购代理机构、财政局市财科各执一份，本合同从签字之日起执行。</w:t>
      </w:r>
    </w:p>
    <w:p w14:paraId="3F1C814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720" w:firstLineChars="3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</w:p>
    <w:p w14:paraId="5A5651A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720" w:firstLineChars="3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</w:p>
    <w:p w14:paraId="23D94D7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720" w:firstLineChars="300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 xml:space="preserve">甲方：签字盖章 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乙方：签字盖章</w:t>
      </w:r>
    </w:p>
    <w:p w14:paraId="0E672A0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720" w:firstLineChars="300"/>
        <w:textAlignment w:val="auto"/>
        <w:rPr>
          <w:rFonts w:hint="eastAsia" w:ascii="楷体" w:hAnsi="楷体" w:eastAsia="楷体" w:cs="楷体"/>
          <w:bCs/>
          <w:color w:val="auto"/>
          <w:sz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2025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年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日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202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5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年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日</w:t>
      </w:r>
    </w:p>
    <w:p w14:paraId="20C2E3B1">
      <w:pPr>
        <w:rPr>
          <w:rFonts w:hint="eastAsia" w:ascii="楷体" w:hAnsi="楷体" w:eastAsia="楷体" w:cs="楷体"/>
          <w:bCs/>
          <w:color w:val="auto"/>
          <w:sz w:val="24"/>
        </w:rPr>
      </w:pPr>
    </w:p>
    <w:p w14:paraId="2C9B7A6E">
      <w:pPr>
        <w:rPr>
          <w:rFonts w:hint="eastAsia" w:ascii="楷体" w:hAnsi="楷体" w:eastAsia="楷体" w:cs="楷体"/>
          <w:bCs/>
          <w:color w:val="auto"/>
          <w:sz w:val="24"/>
        </w:rPr>
      </w:pPr>
    </w:p>
    <w:p w14:paraId="2AA6652C">
      <w:r>
        <w:rPr>
          <w:rFonts w:hint="eastAsia" w:ascii="楷体" w:hAnsi="楷体" w:eastAsia="楷体" w:cs="楷体"/>
          <w:bCs/>
          <w:color w:val="auto"/>
          <w:sz w:val="24"/>
        </w:rPr>
        <w:t>备注：合同模板仅供参考，具体以实际签订合同为准</w:t>
      </w:r>
      <w:bookmarkStart w:id="0" w:name="_GoBack"/>
      <w:bookmarkEnd w:id="0"/>
      <w:r>
        <w:rPr>
          <w:rFonts w:hint="eastAsia" w:ascii="楷体" w:hAnsi="楷体" w:eastAsia="楷体" w:cs="楷体"/>
          <w:bCs/>
          <w:color w:val="auto"/>
          <w:sz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wNDU0MTEzNzc2ZmJkOTM3NWM0Y2FjOTJiZTk1OGYifQ=="/>
  </w:docVars>
  <w:rsids>
    <w:rsidRoot w:val="00000000"/>
    <w:rsid w:val="3894715A"/>
    <w:rsid w:val="4E4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6"/>
    <w:basedOn w:val="1"/>
    <w:next w:val="1"/>
    <w:qFormat/>
    <w:uiPriority w:val="0"/>
    <w:pPr>
      <w:keepNext/>
      <w:keepLines/>
      <w:tabs>
        <w:tab w:val="left" w:pos="1152"/>
      </w:tabs>
      <w:spacing w:before="60" w:line="360" w:lineRule="auto"/>
      <w:ind w:left="1152" w:hanging="1152"/>
      <w:outlineLvl w:val="5"/>
    </w:pPr>
    <w:rPr>
      <w:rFonts w:ascii="Arial Unicode MS" w:hAnsi="Arial Unicode MS"/>
      <w:bCs/>
      <w:kern w:val="2"/>
      <w:szCs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1570</Words>
  <Characters>1591</Characters>
  <Lines>0</Lines>
  <Paragraphs>0</Paragraphs>
  <TotalTime>1</TotalTime>
  <ScaleCrop>false</ScaleCrop>
  <LinksUpToDate>false</LinksUpToDate>
  <CharactersWithSpaces>1779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WPS_1718632522</cp:lastModifiedBy>
  <dcterms:modified xsi:type="dcterms:W3CDTF">2025-07-01T03:53:22Z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40F2C5D489414EDA9CD5941A913B254E_12</vt:lpwstr>
  </property>
  <property fmtid="{D5CDD505-2E9C-101B-9397-08002B2CF9AE}" pid="4" name="KSOTemplateDocerSaveRecord">
    <vt:lpwstr>eyJoZGlkIjoiYWYwNDU0MTEzNzc2ZmJkOTM3NWM0Y2FjOTJiZTk1OGYiLCJ1c2VySWQiOiIxNjA4OTI5NTgyIn0=</vt:lpwstr>
  </property>
</Properties>
</file>