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版本号：GZH-ZB-20250704320250722001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学校室外排水及路面修复等项目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GZH-ZB-202507043</w:t>
      </w:r>
      <w:r>
        <w:br/>
      </w:r>
      <w:r>
        <w:br/>
      </w:r>
      <w:r>
        <w:br/>
      </w:r>
    </w:p>
    <w:p>
      <w:pPr>
        <w:pStyle w:val="null3"/>
        <w:jc w:val="center"/>
        <w:outlineLvl w:val="2"/>
      </w:pPr>
      <w:r>
        <w:rPr>
          <w:rFonts w:ascii="仿宋_GB2312" w:hAnsi="仿宋_GB2312" w:cs="仿宋_GB2312" w:eastAsia="仿宋_GB2312"/>
          <w:sz w:val="28"/>
          <w:b/>
        </w:rPr>
        <w:t>铜川市新区裕丰园小学</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铜川市新区裕丰园小学</w:t>
      </w:r>
      <w:r>
        <w:rPr>
          <w:rFonts w:ascii="仿宋_GB2312" w:hAnsi="仿宋_GB2312" w:cs="仿宋_GB2312" w:eastAsia="仿宋_GB2312"/>
        </w:rPr>
        <w:t>委托，拟对</w:t>
      </w:r>
      <w:r>
        <w:rPr>
          <w:rFonts w:ascii="仿宋_GB2312" w:hAnsi="仿宋_GB2312" w:cs="仿宋_GB2312" w:eastAsia="仿宋_GB2312"/>
        </w:rPr>
        <w:t>学校室外排水及路面修复等项目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GZH-ZB-202507043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学校室外排水及路面修复等项目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裕丰园小学学校室外排水及路面修复等项目拟拆除人行道1206.95㎡，拆除路面765.9㎡，土方外购530.89m³，垃圾土外运800.90m³，更换井圈井盖29套，更换雨水箅子5套，新做彩色透水混凝土地面1876.22㎡，水泥混凝土地面96.63㎡，混凝土道牙24.85m，树池围牙72m，校门口地面划线9㎡，墙面绘图造型1处，拆除并新做教学楼现状DN110pvc落水管534.35m，室外新做DN50PVC雨水管456m，DN110雨水管80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采购包1（学校室外排水及路面修复等项目）：属于专门面向小微企业采购。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1、供应商资质：具备建筑工程施工总承包资质三级及以上或市政公用工程施工总承包资质三级及以上，且具有有效的安全生产许可证。</w:t>
      </w:r>
    </w:p>
    <w:p>
      <w:pPr>
        <w:pStyle w:val="null3"/>
      </w:pPr>
      <w:r>
        <w:rPr>
          <w:rFonts w:ascii="仿宋_GB2312" w:hAnsi="仿宋_GB2312" w:cs="仿宋_GB2312" w:eastAsia="仿宋_GB2312"/>
        </w:rPr>
        <w:t>2、拟派项目负责人：具备建筑工程或市政公用工程专业二级及以上注册建造师资格，具有有效的安全生产考核合格证书，且未担任任何在建工程的项目经理。</w:t>
      </w:r>
    </w:p>
    <w:p>
      <w:pPr>
        <w:pStyle w:val="null3"/>
      </w:pPr>
      <w:r>
        <w:rPr>
          <w:rFonts w:ascii="仿宋_GB2312" w:hAnsi="仿宋_GB2312" w:cs="仿宋_GB2312" w:eastAsia="仿宋_GB2312"/>
        </w:rPr>
        <w:t>3、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4、财务状况（任选其一）：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w:t>
      </w:r>
    </w:p>
    <w:p>
      <w:pPr>
        <w:pStyle w:val="null3"/>
      </w:pPr>
      <w:r>
        <w:rPr>
          <w:rFonts w:ascii="仿宋_GB2312" w:hAnsi="仿宋_GB2312" w:cs="仿宋_GB2312" w:eastAsia="仿宋_GB2312"/>
        </w:rPr>
        <w:t>5、社会保障资金缴纳证明：提供递交响应文件截止之日前一年内任意一个月的社会保障资金缴存单据或社保机构开具的社会保险参保缴费情况证明。依法不需要缴纳社会保障资金的供应商应提供相关声明或承诺。</w:t>
      </w:r>
    </w:p>
    <w:p>
      <w:pPr>
        <w:pStyle w:val="null3"/>
      </w:pPr>
      <w:r>
        <w:rPr>
          <w:rFonts w:ascii="仿宋_GB2312" w:hAnsi="仿宋_GB2312" w:cs="仿宋_GB2312" w:eastAsia="仿宋_GB2312"/>
        </w:rPr>
        <w:t>6、税收缴纳证明：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信用记录：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8、书面声明：提供具有履行合同所必需的设备和专业技术能力的书面声明。</w:t>
      </w:r>
    </w:p>
    <w:p>
      <w:pPr>
        <w:pStyle w:val="null3"/>
      </w:pPr>
      <w:r>
        <w:rPr>
          <w:rFonts w:ascii="仿宋_GB2312" w:hAnsi="仿宋_GB2312" w:cs="仿宋_GB2312" w:eastAsia="仿宋_GB2312"/>
        </w:rPr>
        <w:t>9、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铜川市新区裕丰园小学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铜川市耀州区咸丰路街道金达路中段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0919-6611500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采购包1：811,188.00元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代理服务费收费标准：根据《国家发展改革委关于降低部分建设项目收费标准规范收费行为等有关问题的通知》(发改价格[2011]534号)标准计取，经计算不足6000按6000计取。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铜川市新区裕丰园小学</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铜川市新区裕丰园小学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铜川市新区裕丰园小学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本工程施工图纸、采购文件（含工程量清单）、成交供应商响应文件、发承包合同及合同签订时国家及行业现行的标准和技术规范。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811,188.00</w:t>
      </w:r>
    </w:p>
    <w:p>
      <w:pPr>
        <w:pStyle w:val="null3"/>
      </w:pPr>
      <w:r>
        <w:rPr>
          <w:rFonts w:ascii="仿宋_GB2312" w:hAnsi="仿宋_GB2312" w:cs="仿宋_GB2312" w:eastAsia="仿宋_GB2312"/>
        </w:rPr>
        <w:t>采购包最高限价（元）: 811,188.00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811188</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811,188.00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标的名称：811188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裕丰园小学学校室外排水及路面修复等项目拟拆除人行道1206.95㎡，拆除路面765.9㎡，土方外购530.89m³，垃圾土外运800.90m³，更换井圈井盖29套，更换雨水箅子5套，新做彩色透水混凝土地面1876.22㎡，水泥混凝土地面96.63㎡，混凝土道牙24.85m，树池围牙72m，校门口地面划线9㎡，墙面绘图造型1处，拆除并新做教学楼现状DN110pvc落水管534.35m，室外新做DN50PVC雨水管456m，DN110雨水管80m。</w:t>
            </w:r>
          </w:p>
          <w:p>
            <w:pPr>
              <w:pStyle w:val="null3"/>
            </w:pPr>
            <w:r>
              <w:rPr>
                <w:rFonts w:ascii="仿宋_GB2312" w:hAnsi="仿宋_GB2312" w:cs="仿宋_GB2312" w:eastAsia="仿宋_GB2312"/>
              </w:rPr>
              <w:t>二、建设地点：本项目建设地点位于铜川市新区裕丰园小学内。</w:t>
            </w:r>
          </w:p>
          <w:p>
            <w:pPr>
              <w:pStyle w:val="null3"/>
            </w:pPr>
            <w:r>
              <w:rPr>
                <w:rFonts w:ascii="仿宋_GB2312" w:hAnsi="仿宋_GB2312" w:cs="仿宋_GB2312" w:eastAsia="仿宋_GB2312"/>
              </w:rPr>
              <w:t>三、工期目标：45日历天。</w:t>
            </w:r>
          </w:p>
          <w:p>
            <w:pPr>
              <w:pStyle w:val="null3"/>
            </w:pPr>
            <w:r>
              <w:rPr>
                <w:rFonts w:ascii="仿宋_GB2312" w:hAnsi="仿宋_GB2312" w:cs="仿宋_GB2312" w:eastAsia="仿宋_GB2312"/>
              </w:rPr>
              <w:t>四、施工图纸：详见附件。</w:t>
            </w:r>
          </w:p>
          <w:p>
            <w:pPr>
              <w:pStyle w:val="null3"/>
            </w:pPr>
            <w:r>
              <w:rPr>
                <w:rFonts w:ascii="仿宋_GB2312" w:hAnsi="仿宋_GB2312" w:cs="仿宋_GB2312" w:eastAsia="仿宋_GB2312"/>
              </w:rPr>
              <w:t>五、工程量清单：详见附件，清单计价软件采用广联达云计价GCCP6.0。</w:t>
            </w:r>
          </w:p>
          <w:p>
            <w:pPr>
              <w:pStyle w:val="null3"/>
            </w:pPr>
            <w:r>
              <w:rPr>
                <w:rFonts w:ascii="仿宋_GB2312" w:hAnsi="仿宋_GB2312" w:cs="仿宋_GB2312" w:eastAsia="仿宋_GB2312"/>
              </w:rPr>
              <w:t>六、核心产品：本项目不适用。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《中华人民共和国建筑法》、《建设工程质量管理条例》、《建筑工程施工质量验收统一标准》（GB50300-2013）、《给水排水管道工程施工及验收规范》（GB 50268‐2008）、《透水水泥混凝土路面技术规程》（CJJ/T 135-2009）、《检查井盖》（GB/T 23858‐2009）等行业技术规范标准。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严格按照国家颁发的施工技术验收规范进行施工，质量应达到国家质量检验评定的合格标准。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成交供应商在成交结果公告后3日内将3份与上传响应文件一致的纸质版响应文件及一份电子版响应文件（含广联达电子投标书格式）递交代理机构。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具备建筑工程施工总承包资质三级及以上或市政公用工程施工总承包资质三级及以上，且具有有效的安全生产许可证。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具备建筑工程或市政公用工程专业二级及以上注册建造师资格，具有有效的安全生产考核合格证书，且未担任任何在建工程的项目经理。</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财务状况（任选其一）</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提供递交响应文件截止之日前一年内任意一个月的社会保障资金缴存单据或社保机构开具的社会保险参保缴费情况证明。依法不需要缴纳社会保障资金的供应商应提供相关声明或承诺。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已标价工程量清单 报价函 标的清单 响应函 供应商承诺书.docx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 ；（2）报价符合唯一性要求； （3）未超出采购预算或最高限价 ；（4）符合《报价函》、《已标价工程量清单》及《标的清单》的填报要求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强制优先采购产品承诺函</w:t>
            </w:r>
          </w:p>
        </w:tc>
        <w:tc>
          <w:tcPr>
            <w:tcW w:type="dxa" w:w="3322"/>
          </w:tcPr>
          <w:p>
            <w:pPr>
              <w:pStyle w:val="null3"/>
            </w:pPr>
            <w:r>
              <w:rPr>
                <w:rFonts w:ascii="仿宋_GB2312" w:hAnsi="仿宋_GB2312" w:cs="仿宋_GB2312" w:eastAsia="仿宋_GB2312"/>
              </w:rPr>
              <w:t>提供《强制优先采购产品承诺函》，且符合磋商文件要求。</w:t>
            </w:r>
          </w:p>
        </w:tc>
        <w:tc>
          <w:tcPr>
            <w:tcW w:type="dxa" w:w="1661"/>
          </w:tcPr>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完全理解并接受对合格供应商、合格的货物、工程或服务要求，结合磋商文件第三章“磋商项目技术、服务、商务要求”的实质性要求且没有负偏离。</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完全理解并接受《拟签订的合同文本》条款的要求，且未有采购人不能接受的附加条件的。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提供2022年1月1日以来同类工程施工项目的业绩证明文件（同类工程指建筑工程、市政公用工程、给排水工程或道路工程施工等，证明文件指施工合同协议书)，每出具一份业绩证明文件得2.5分。满分10分。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根据供应商提供的项目部人员组成组成赋分，完全满足项目实际需求得6分，基本满足本项目需求得4分，基本满足但完整性和可操作性欠缺得3分，不满足项目需求或非专门针对本项目、不适用本项目特性、套用其他项目内容，不利于采购目标的实现得1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施工部署或总平面布置</w:t>
            </w:r>
          </w:p>
        </w:tc>
        <w:tc>
          <w:tcPr>
            <w:tcW w:type="dxa" w:w="2492"/>
          </w:tcPr>
          <w:p>
            <w:pPr>
              <w:pStyle w:val="null3"/>
            </w:pPr>
            <w:r>
              <w:rPr>
                <w:rFonts w:ascii="仿宋_GB2312" w:hAnsi="仿宋_GB2312" w:cs="仿宋_GB2312" w:eastAsia="仿宋_GB2312"/>
              </w:rPr>
              <w:t>根据供应商提供的施工部署或总平面布置赋分，完全满足本项目实际需求得4分，基本满足本项目需求得3分，基本满足但完整性和可操作性欠缺得2分，不满足项目需求或非专门针对本项目、不适用本项目特性、套用其他项目内容，不利于采购目标的实现得1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根据供应商提供的劳动力安排计划安排赋分，完全满足项目实际需求得3分，基本满足项目需求得2分，不满足项目需求或非专门针对本项目、不适用本项目特性、套用其他项目内容，不利于采购目标的实现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总说明及本工程施工遵循的施工规范和标准</w:t>
            </w:r>
          </w:p>
        </w:tc>
        <w:tc>
          <w:tcPr>
            <w:tcW w:type="dxa" w:w="2492"/>
          </w:tcPr>
          <w:p>
            <w:pPr>
              <w:pStyle w:val="null3"/>
            </w:pPr>
            <w:r>
              <w:rPr>
                <w:rFonts w:ascii="仿宋_GB2312" w:hAnsi="仿宋_GB2312" w:cs="仿宋_GB2312" w:eastAsia="仿宋_GB2312"/>
              </w:rPr>
              <w:t>根据供应商提供的总说明及本工程施工应遵循的施工规范和标准赋分，完全满足项目实际需求得3分，基本满足项目需求得2分，不满足项目需求或非专门针对本项目、不适用本项目特性、套用其他项目内容，不利于采购目标的实现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针对本项目提出的施工方案赋分，完全满足项目实际需求得6分，基本满足项目需求得4分，基本满足但完整性和可操作性欠缺得2分，不满足项目需求或方案内容欠缺，较难实施或非专门针对本项目、不适用本项目特性、套用其他项目内容，不利于采购目标的实现得1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安全生产、文明施工措施</w:t>
            </w:r>
          </w:p>
        </w:tc>
        <w:tc>
          <w:tcPr>
            <w:tcW w:type="dxa" w:w="2492"/>
          </w:tcPr>
          <w:p>
            <w:pPr>
              <w:pStyle w:val="null3"/>
            </w:pPr>
            <w:r>
              <w:rPr>
                <w:rFonts w:ascii="仿宋_GB2312" w:hAnsi="仿宋_GB2312" w:cs="仿宋_GB2312" w:eastAsia="仿宋_GB2312"/>
              </w:rPr>
              <w:t>根据供应商提供的安全生产及文明施工措施赋分，完全满足项目实际需求得6分，基本满足项目需求得4分，基本满足但完整性和可操作性欠缺得2分，不满足项目需求或非专门针对本项目、不适用本项目特性、套用其他项目内容，不利于采购目标的实现得1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主要施工设备计划及主要材料供应计划</w:t>
            </w:r>
          </w:p>
        </w:tc>
        <w:tc>
          <w:tcPr>
            <w:tcW w:type="dxa" w:w="2492"/>
          </w:tcPr>
          <w:p>
            <w:pPr>
              <w:pStyle w:val="null3"/>
            </w:pPr>
            <w:r>
              <w:rPr>
                <w:rFonts w:ascii="仿宋_GB2312" w:hAnsi="仿宋_GB2312" w:cs="仿宋_GB2312" w:eastAsia="仿宋_GB2312"/>
              </w:rPr>
              <w:t>根据供应商提供的主要施工设备计划及主要材料供应计划赋分，完全满足项目实际需求得6分，基本满足项目需求得4分，基本满足但完整性和可操作性欠缺得2分，不满足项目需求或非专门针对本项目、不适用本项目特性、套用其他项目内容，不利于采购目标的实现得1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根据供应商提供的施工进度计划及措施赋分，完全满足项目实际需求得3分，基本满足项目需求得2分，不满足项目需求或非专门针对本项目、不适用本项目特性、套用其他项目内容，不利于采购目标的实现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根据供应商提供的质量保证体系及措施赋分，完全满足项目实际需求得5分，基本满足项目需求得4分，基本满足但完整性和可操作性欠缺得3分，不满足项目需求或非专门针对本项目、不适用本项目特性、套用其他项目内容，不利于采购目标的实现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成品保护措施</w:t>
            </w:r>
          </w:p>
        </w:tc>
        <w:tc>
          <w:tcPr>
            <w:tcW w:type="dxa" w:w="2492"/>
          </w:tcPr>
          <w:p>
            <w:pPr>
              <w:pStyle w:val="null3"/>
            </w:pPr>
            <w:r>
              <w:rPr>
                <w:rFonts w:ascii="仿宋_GB2312" w:hAnsi="仿宋_GB2312" w:cs="仿宋_GB2312" w:eastAsia="仿宋_GB2312"/>
              </w:rPr>
              <w:t>根据供应商提供的成品保护措施赋分，完全满足项目实际需求得3分，基本满足项目需求得2分，不满足项目需求或非专门针对本项目、不适用本项目特性、套用其他项目内容，不利于采购目标的实现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质保服务</w:t>
            </w:r>
          </w:p>
        </w:tc>
        <w:tc>
          <w:tcPr>
            <w:tcW w:type="dxa" w:w="2492"/>
          </w:tcPr>
          <w:p>
            <w:pPr>
              <w:pStyle w:val="null3"/>
            </w:pPr>
            <w:r>
              <w:rPr>
                <w:rFonts w:ascii="仿宋_GB2312" w:hAnsi="仿宋_GB2312" w:cs="仿宋_GB2312" w:eastAsia="仿宋_GB2312"/>
              </w:rPr>
              <w:t>响应文件包含对本项目质量保障，后期维护管理及发生质量问题后的补救措施，有明确具体的承诺，切实可行。根据响应情况赋分，完全满足项目实际需求得5分，基本满足项目需求得4分，基本满足但完整性和可操作性欠缺得3分，不满足项目需求或非专门针对本项目、不适用本项目特性、套用其他项目内容，不利于采购目标的实现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质保服务.docx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单位的价格为磋商基准价，其价格分为满分。其他响应单位的价格分统一按照下列公式计算：磋商报价得分=（磋商基准价/最后磋商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详见附件：质保服务.docx</w:t>
      </w:r>
    </w:p>
    <w:p>
      <w:pPr>
        <w:pStyle w:val="null3"/>
        <w:ind w:firstLine="960"/>
      </w:pPr>
      <w:r>
        <w:rPr>
          <w:rFonts w:ascii="仿宋_GB2312" w:hAnsi="仿宋_GB2312" w:cs="仿宋_GB2312" w:eastAsia="仿宋_GB2312"/>
        </w:rPr>
        <w:t>详见附件：合同文本条款响应.docx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