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版本号：[采]字T2025029号20250908001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铜川市新区国民经济和社会发展第十五个五年规划纲要及专项采购项目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[采]字T2025029号</w:t>
      </w:r>
      <w:r>
        <w:br/>
      </w:r>
      <w:r>
        <w:br/>
      </w:r>
      <w:r>
        <w:br/>
      </w:r>
    </w:p>
    <w:p>
      <w:pPr>
        <w:pStyle w:val="null3"/>
        <w:jc w:val="center"/>
        <w:outlineLvl w:val="2"/>
      </w:pPr>
      <w:r>
        <w:rPr>
          <w:rFonts w:ascii="仿宋_GB2312" w:hAnsi="仿宋_GB2312" w:cs="仿宋_GB2312" w:eastAsia="仿宋_GB2312"/>
          <w:sz w:val="28"/>
          <w:b/>
        </w:rPr>
        <w:t>铜川市新区发展和改革局</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铜川市新区发展和改革局</w:t>
      </w:r>
      <w:r>
        <w:rPr>
          <w:rFonts w:ascii="仿宋_GB2312" w:hAnsi="仿宋_GB2312" w:cs="仿宋_GB2312" w:eastAsia="仿宋_GB2312"/>
        </w:rPr>
        <w:t>委托，拟对</w:t>
      </w:r>
      <w:r>
        <w:rPr>
          <w:rFonts w:ascii="仿宋_GB2312" w:hAnsi="仿宋_GB2312" w:cs="仿宋_GB2312" w:eastAsia="仿宋_GB2312"/>
        </w:rPr>
        <w:t>铜川市新区国民经济和社会发展第十五个五年规划纲要及专项采购项目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[采]字T2025029号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铜川市新区国民经济和社会发展第十五个五年规划纲要及专项采购项目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《铜川市新区国民经济和社会发展第十五个五年规划纲要》编制、铜川市新区战略性新兴产业发展规划》《铜川市新区服务业高质量发展规划》编制、铜川市新区“十五五”重点项目策划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采购包1（铜川市新区国民经济和社会发展第十五个五年规划纲要及专项采购项目）：属于专门面向小微企业采购。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2、履行合同技术能力的承诺：提供具有履行合同所必需的设备和专业技术能力的承诺；</w:t>
      </w:r>
    </w:p>
    <w:p>
      <w:pPr>
        <w:pStyle w:val="null3"/>
      </w:pPr>
      <w:r>
        <w:rPr>
          <w:rFonts w:ascii="仿宋_GB2312" w:hAnsi="仿宋_GB2312" w:cs="仿宋_GB2312" w:eastAsia="仿宋_GB2312"/>
        </w:rPr>
        <w:t>3、税收缴纳证明：提供磋商截止日前一年内已缴纳的至少三个月的纳税证明或完税证明，依法免税的单位应提供相关证明材料；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5、无重大违法记录声明：参加政府采购活动前3年内，在经营活动中没有重大违法记录的书面声明；</w:t>
      </w:r>
    </w:p>
    <w:p>
      <w:pPr>
        <w:pStyle w:val="null3"/>
      </w:pPr>
      <w:r>
        <w:rPr>
          <w:rFonts w:ascii="仿宋_GB2312" w:hAnsi="仿宋_GB2312" w:cs="仿宋_GB2312" w:eastAsia="仿宋_GB2312"/>
        </w:rPr>
        <w:t>6、法人身份证明或授权书：法定代表人参加的，须提供法定代表人身份证明及本人身份证复印件；法定代表人授权他人参加的，须提供法定代表人委托授权书、被授权代表的身份证复印件；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7、信用记录审查：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8、本项目不接受联合体投标：本项目不接受联合体投标（供应商须提供书面承诺，加盖供应商公章）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0919-3182529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铜川市新区发展和改革局</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《铜川市新区国民经济和社会发展第十五个五年规划纲要》编制、铜川市新区战略性新兴产业发展规划》《铜川市新区服务业高质量发展规划》编制、铜川市新区“十五五”重点项目策划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《铜川市新区国民经济和社会发展第十五个五年规划纲要》编制、铜川市新区战略性新兴产业发展规划》《铜川市新区服务业高质量发展规划》编制、铜川市新区“十五五”重点项目策划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标的名称：《铜川市新区国民经济和社会发展第十五个五年规划纲要》编制、铜川市新区战略性新兴产业发展规划》《铜川市新区服务业高质量发展规划》编制、铜川市新区“十五五”重点项目策划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1.服务内容：《铜川市新区国民经济和社会发展第十五个五年规划纲要》编制、《铜川市新区战略性新兴产业发展规划》《铜川市新区服务业高质量发展规划》编制、铜川市新区“十五五”重点项目策划；</w:t>
            </w:r>
          </w:p>
          <w:p>
            <w:pPr>
              <w:pStyle w:val="null3"/>
            </w:pPr>
            <w:r>
              <w:rPr>
                <w:rFonts w:ascii="仿宋_GB2312" w:hAnsi="仿宋_GB2312" w:cs="仿宋_GB2312" w:eastAsia="仿宋_GB2312"/>
                <w:sz w:val="21"/>
              </w:rPr>
              <w:t>2.服务要求：</w:t>
            </w:r>
          </w:p>
          <w:p>
            <w:pPr>
              <w:pStyle w:val="null3"/>
            </w:pPr>
            <w:r>
              <w:rPr>
                <w:rFonts w:ascii="仿宋_GB2312" w:hAnsi="仿宋_GB2312" w:cs="仿宋_GB2312" w:eastAsia="仿宋_GB2312"/>
                <w:sz w:val="21"/>
              </w:rPr>
              <w:t>2.1.编制内容要求</w:t>
            </w:r>
          </w:p>
          <w:p>
            <w:pPr>
              <w:pStyle w:val="null3"/>
            </w:pPr>
            <w:r>
              <w:rPr>
                <w:rFonts w:ascii="仿宋_GB2312" w:hAnsi="仿宋_GB2312" w:cs="仿宋_GB2312" w:eastAsia="仿宋_GB2312"/>
                <w:sz w:val="21"/>
              </w:rPr>
              <w:t>（1）供应商须明确提出其工作模式和成果提交的时间节点安排。</w:t>
            </w:r>
          </w:p>
          <w:p>
            <w:pPr>
              <w:pStyle w:val="null3"/>
            </w:pPr>
            <w:r>
              <w:rPr>
                <w:rFonts w:ascii="仿宋_GB2312" w:hAnsi="仿宋_GB2312" w:cs="仿宋_GB2312" w:eastAsia="仿宋_GB2312"/>
                <w:sz w:val="21"/>
              </w:rPr>
              <w:t>（2）遵循下级规划服从上级规划原则，与国家、省市发展规划相衔接。</w:t>
            </w:r>
          </w:p>
          <w:p>
            <w:pPr>
              <w:pStyle w:val="null3"/>
            </w:pPr>
            <w:r>
              <w:rPr>
                <w:rFonts w:ascii="仿宋_GB2312" w:hAnsi="仿宋_GB2312" w:cs="仿宋_GB2312" w:eastAsia="仿宋_GB2312"/>
                <w:sz w:val="21"/>
              </w:rPr>
              <w:t>（3）按照“多规融合”要求，与国土空间规划进行统筹、融合。</w:t>
            </w:r>
          </w:p>
          <w:p>
            <w:pPr>
              <w:pStyle w:val="null3"/>
            </w:pPr>
            <w:r>
              <w:rPr>
                <w:rFonts w:ascii="仿宋_GB2312" w:hAnsi="仿宋_GB2312" w:cs="仿宋_GB2312" w:eastAsia="仿宋_GB2312"/>
                <w:sz w:val="21"/>
              </w:rPr>
              <w:t>（4）遵循各版块内容相协调的原则，对各产业规划、专项规划进行统筹、协调。</w:t>
            </w:r>
          </w:p>
          <w:p>
            <w:pPr>
              <w:pStyle w:val="null3"/>
            </w:pPr>
            <w:r>
              <w:rPr>
                <w:rFonts w:ascii="仿宋_GB2312" w:hAnsi="仿宋_GB2312" w:cs="仿宋_GB2312" w:eastAsia="仿宋_GB2312"/>
                <w:sz w:val="21"/>
              </w:rPr>
              <w:t>2.2.项目实施要求</w:t>
            </w:r>
          </w:p>
          <w:p>
            <w:pPr>
              <w:pStyle w:val="null3"/>
            </w:pPr>
            <w:r>
              <w:rPr>
                <w:rFonts w:ascii="仿宋_GB2312" w:hAnsi="仿宋_GB2312" w:cs="仿宋_GB2312" w:eastAsia="仿宋_GB2312"/>
                <w:sz w:val="21"/>
              </w:rPr>
              <w:t>（1）人员配置方面，供应商须成立专门的人员团队，明确岗位职责。</w:t>
            </w:r>
          </w:p>
          <w:p>
            <w:pPr>
              <w:pStyle w:val="null3"/>
            </w:pPr>
            <w:r>
              <w:rPr>
                <w:rFonts w:ascii="仿宋_GB2312" w:hAnsi="仿宋_GB2312" w:cs="仿宋_GB2312" w:eastAsia="仿宋_GB2312"/>
                <w:sz w:val="21"/>
              </w:rPr>
              <w:t>（2）根据相关标准、规范及采购人的服务要求，保质保量完成工作。</w:t>
            </w:r>
          </w:p>
          <w:p>
            <w:pPr>
              <w:pStyle w:val="null3"/>
            </w:pPr>
            <w:r>
              <w:rPr>
                <w:rFonts w:ascii="仿宋_GB2312" w:hAnsi="仿宋_GB2312" w:cs="仿宋_GB2312" w:eastAsia="仿宋_GB2312"/>
                <w:sz w:val="21"/>
              </w:rPr>
              <w:t>（3）供应商须建立严格的保密制度，并加强对工作人员的保密管理及保密知识教育。</w:t>
            </w:r>
          </w:p>
          <w:p>
            <w:pPr>
              <w:pStyle w:val="null3"/>
            </w:pPr>
            <w:r>
              <w:rPr>
                <w:rFonts w:ascii="仿宋_GB2312" w:hAnsi="仿宋_GB2312" w:cs="仿宋_GB2312" w:eastAsia="仿宋_GB2312"/>
                <w:sz w:val="21"/>
              </w:rPr>
              <w:t>3.工作进度要求：</w:t>
            </w:r>
          </w:p>
          <w:p>
            <w:pPr>
              <w:pStyle w:val="null3"/>
            </w:pPr>
            <w:r>
              <w:rPr>
                <w:rFonts w:ascii="仿宋_GB2312" w:hAnsi="仿宋_GB2312" w:cs="仿宋_GB2312" w:eastAsia="仿宋_GB2312"/>
                <w:sz w:val="21"/>
              </w:rPr>
              <w:t>项目服务期限2025年9月至2026年6月</w:t>
            </w:r>
          </w:p>
          <w:p>
            <w:pPr>
              <w:pStyle w:val="null3"/>
            </w:pPr>
            <w:r>
              <w:rPr>
                <w:rFonts w:ascii="仿宋_GB2312" w:hAnsi="仿宋_GB2312" w:cs="仿宋_GB2312" w:eastAsia="仿宋_GB2312"/>
                <w:sz w:val="21"/>
              </w:rPr>
              <w:t>具体时间要求：</w:t>
            </w:r>
            <w:r>
              <w:br/>
            </w:r>
            <w:r>
              <w:rPr>
                <w:rFonts w:ascii="仿宋_GB2312" w:hAnsi="仿宋_GB2312" w:cs="仿宋_GB2312" w:eastAsia="仿宋_GB2312"/>
                <w:sz w:val="21"/>
              </w:rPr>
              <w:t xml:space="preserve"> ①2025年11月1日之前完成规划纲要及两个专项规划前期资料收集整理、前期研究和现场调研工作，完成规划纲要基本思路；</w:t>
            </w:r>
            <w:r>
              <w:br/>
            </w:r>
            <w:r>
              <w:rPr>
                <w:rFonts w:ascii="仿宋_GB2312" w:hAnsi="仿宋_GB2312" w:cs="仿宋_GB2312" w:eastAsia="仿宋_GB2312"/>
                <w:sz w:val="21"/>
              </w:rPr>
              <w:t xml:space="preserve"> ②2026年1月1日之前完成《铜川市新区国民经济和社会发展第十五个五年规划纲要》初稿、“十五五”重点项目策划；</w:t>
            </w:r>
            <w:r>
              <w:br/>
            </w:r>
            <w:r>
              <w:rPr>
                <w:rFonts w:ascii="仿宋_GB2312" w:hAnsi="仿宋_GB2312" w:cs="仿宋_GB2312" w:eastAsia="仿宋_GB2312"/>
                <w:sz w:val="21"/>
              </w:rPr>
              <w:t xml:space="preserve"> ③2026年3月1日前完成《铜川市新区战略性新兴产业发展规划》《铜川市新区服务业高质量发展规划》初稿；</w:t>
            </w:r>
            <w:r>
              <w:br/>
            </w:r>
            <w:r>
              <w:rPr>
                <w:rFonts w:ascii="仿宋_GB2312" w:hAnsi="仿宋_GB2312" w:cs="仿宋_GB2312" w:eastAsia="仿宋_GB2312"/>
                <w:sz w:val="21"/>
              </w:rPr>
              <w:t xml:space="preserve"> ④2026年6月30日之前完成所有成果交付。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自合同签订之日起10个月内交付成果文件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合同签订后,在完成规划纲要基本思路，并通过甲方验收合格后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完成《铜川市新区国民经济和社会发展第十五个五年规划纲要》初稿、“十五五”重点项目策划，并通过甲方验收合格后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完成并提交相关文件，按程序通过相关会议审议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甲乙双方必须遵守合同并执行合同中的各项规定，保证本项目合同的正常履行。②如因乙方工作人员在履行职务过程中的的疏忽、失职、过错等故意或者过失原因给甲方造成损失或侵害，包括但不限于甲方本身的财产损失、由此而导致的甲方对任何第三方的法律责任等，乙方对此均应承担全部的赔偿责任。（2）解决争议的方法：①在执行本合同中发生的或与本合同有关的争端，双方应通过友好协商解决，经协商解决不成的，应提交采购人所在地仲裁委员会仲裁。②仲裁裁决为最终决定，并对双方具有约束力。③除另有裁决外，仲裁费由败诉方负担。④在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响应文件递交截止时间不足一年的可提供成立后任意时段的资产负债表)，或提供响应文件递交截止日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本项目不接受联合体投标（供应商须提供书面承诺，加盖供应商公章）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磋商响应文件项目名称、 项目编号</w:t>
            </w:r>
          </w:p>
        </w:tc>
        <w:tc>
          <w:tcPr>
            <w:tcW w:type="dxa" w:w="3322"/>
          </w:tcPr>
          <w:p>
            <w:pPr>
              <w:pStyle w:val="null3"/>
            </w:pPr>
            <w:r>
              <w:rPr>
                <w:rFonts w:ascii="仿宋_GB2312" w:hAnsi="仿宋_GB2312" w:cs="仿宋_GB2312" w:eastAsia="仿宋_GB2312"/>
              </w:rPr>
              <w:t>磋商响应文件项目名称、项目编号无遗漏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符合磋商文件要求，自磋商响应文件递交之日起不少于 90 个日历天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与磋商内容一致，无重大偏离，无缺项漏项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报价唯一且未超出采购金额</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磋商响应文件签字盖章须合格、有效、无缺漏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响应磋商文件其他内容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服务方案及承诺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供应商根据本项目采购需求编制针对本项目理解及认识方案，对本项目背景、政策解读与理解的深度、全面性、针对性及准确性；对现状情况收集与分析的全面性及准确性： （1）项目认知层次清晰、针对性强、与采购内容的吻合程度高的，得10-14分； （2）项目认知逻辑层次较清晰、针对性较强、与采购内容的吻合程度一般，内容较简单的，得6-10分； （3）项目认知层次不清晰、不全面，得0-6分；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对项目的理解和认识.docx</w:t>
            </w:r>
          </w:p>
        </w:tc>
      </w:tr>
      <w:tr>
        <w:tc>
          <w:tcPr>
            <w:tcW w:type="dxa" w:w="831"/>
            <w:vMerge/>
          </w:tcP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供应商根据本项目采购需求编制针对性项目整体方案，内容包含： ①基本思路研究和纲要编制框架，对项目的理解把握，具有合理性、 可操作性和前瞻性；②方案涵盖的基本思路，调研方法科学成熟，符合项目服务要求；③基本思路和纲要的实施路径具有可执行性和前瞻性，能围绕主要方向制定重点任务。以上内容完整、不存在缺项漏项，得 15 分；每缺一项扣 5 分，每一项存在不足的扣0.1-4.9 分。（本项所指“不足 ”是指内容不完整或缺少关键点；非专门针对本项目或不适用本项目特性、套用其他项目方案内容；存在逻辑漏洞、科学原理或常识错误；不利于本项目实施、现有技术条件下无法实现等任意一种情形。）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根据本项目采购需求编制针对性进度安排，是否能按照采购方要求在规定时间内完成编制成果的修改、调整、优化工作方案进行评审，内容包含：①进度保障措施；②各阶段时间节点；③各环节衔接工作的配合④临时调整措施⑤应急处理能力。以上内容完整、不存在缺项漏项，得 15 分；每缺一项扣 3 分，存在不足的扣 0.1-2.9 分。（本项所指“不足”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项目进度安排.docx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供应商根据本项目采购需求编制针对性质量保证措施方案，有相应的保障细则，内容包含：①团队设置、②沟通机制、③进度控制、 ④质量控制、⑤及时响应等保障措施。 以上内容完整、不存在缺项 漏项，得 15 分；每缺一项扣 3 分，存在不足的扣 0.1-2.9 分。 （本项所指“不足”是指内容不完整或缺少关键点；非专门针对本项目 或不适用本项目特性、套用其他 项目方案内容；存在逻辑漏洞、科 学原理或常识错误；不利于本项目实施、现有技术条件下无法实现 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供应商根据本项目采购需求编制针对性保密措施方案，有相应的保 障细则，内容包含：①保密承诺事项；②保密实施方案；③保密工作规则要求。以上内容完整、不存在缺项漏项，得 6 分；每缺一项 扣 2 分，存在不足的扣 0.1-1.9 分。（本项所指“不足”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近三年（2022年9月1日至今）来已完成类似项目业绩，每提供1个类似业绩证明材料得2分，最多得 10 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根据投标人拟任本项目的人员配置情况进行评审： 1.项目负责人（1人）：项目负责人具有具备高级职称的得 2 分，中级职称得 1 分；承担过类似规划编制项目的得 2 分，否则不得分。本项最多得 4 分。 2.项目组成员（项目负责人除外）：项目组成员中具有高级职称的，每 1 人得 1.5 分，具备中级职称的每 1 人得 1 分；本项最多得 6 分。 注：以上人员须提供上述相关证明材料并加盖公章。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供应商针对本项目提供完整的服务承诺，包括但不限于服务质量、 服务期限，以确保本项目顺利实施，按其响应程度计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 10 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详见附件：服务方案及承诺</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详见附件：对项目的理解和认识.docx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详见附件：项目进度安排.docx</w:t>
      </w:r>
    </w:p>
    <w:p>
      <w:pPr>
        <w:pStyle w:val="null3"/>
        <w:ind w:firstLine="960"/>
      </w:pPr>
      <w:r>
        <w:rPr>
          <w:rFonts w:ascii="仿宋_GB2312" w:hAnsi="仿宋_GB2312" w:cs="仿宋_GB2312" w:eastAsia="仿宋_GB2312"/>
        </w:rPr>
        <w:t>详见附件：项目整体方案.docx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