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宜君县县城及太安镇等6个乡镇城镇详细规划编制服务</w:t>
      </w:r>
    </w:p>
    <w:p>
      <w:pPr>
        <w:pStyle w:val="null3"/>
        <w:jc w:val="center"/>
        <w:outlineLvl w:val="2"/>
      </w:pPr>
      <w:r>
        <w:rPr>
          <w:b/>
          <w:sz w:val="28"/>
        </w:rPr>
        <w:t>采购项目编号：</w:t>
      </w:r>
      <w:r>
        <w:rPr>
          <w:b/>
          <w:sz w:val="28"/>
        </w:rPr>
        <w:t>SZTCS-XA-240218-FW</w:t>
      </w:r>
      <w:r>
        <w:br/>
      </w:r>
      <w:r>
        <w:br/>
      </w:r>
      <w:r>
        <w:br/>
      </w:r>
    </w:p>
    <w:p>
      <w:pPr>
        <w:pStyle w:val="null3"/>
        <w:jc w:val="center"/>
        <w:outlineLvl w:val="2"/>
      </w:pPr>
      <w:r>
        <w:rPr>
          <w:b/>
          <w:sz w:val="28"/>
        </w:rPr>
        <w:t>宜君县自然资源局</w:t>
      </w:r>
    </w:p>
    <w:p>
      <w:pPr>
        <w:pStyle w:val="null3"/>
        <w:jc w:val="center"/>
        <w:outlineLvl w:val="2"/>
      </w:pPr>
      <w:r>
        <w:rPr>
          <w:b/>
          <w:sz w:val="28"/>
        </w:rPr>
        <w:t>陕西省中投招标有限责任公司</w:t>
      </w:r>
      <w:r>
        <w:rPr>
          <w:b/>
          <w:sz w:val="28"/>
        </w:rPr>
        <w:t>共同编制</w:t>
      </w:r>
    </w:p>
    <w:p>
      <w:pPr>
        <w:pStyle w:val="null3"/>
        <w:jc w:val="center"/>
        <w:outlineLvl w:val="2"/>
      </w:pPr>
      <w:r>
        <w:rPr>
          <w:b/>
          <w:sz w:val="28"/>
        </w:rPr>
        <w:t>2024年02月23日</w:t>
      </w:r>
    </w:p>
    <w:p>
      <w:pPr>
        <w:pStyle w:val="null3"/>
      </w:pPr>
      <w:r>
        <w:rPr/>
        <w:t xml:space="preserve"> </w:t>
      </w:r>
    </w:p>
    <w:p>
      <w:pPr>
        <w:pStyle w:val="null3"/>
        <w:jc w:val="center"/>
        <w:outlineLvl w:val="1"/>
      </w:pPr>
      <w:r>
        <w:rPr>
          <w:b/>
          <w:sz w:val="36"/>
        </w:rPr>
        <w:t>第一章 竞争性磋商邀请</w:t>
      </w:r>
    </w:p>
    <w:p>
      <w:pPr>
        <w:pStyle w:val="null3"/>
        <w:ind w:firstLine="480"/>
      </w:pPr>
      <w:r>
        <w:rPr/>
        <w:t>陕西省中投招标有限责任公司</w:t>
      </w:r>
      <w:r>
        <w:rPr/>
        <w:t>（以下简称“代理机构”）受</w:t>
      </w:r>
      <w:r>
        <w:rPr/>
        <w:t>宜君县自然资源局</w:t>
      </w:r>
      <w:r>
        <w:rPr/>
        <w:t>委托，拟对</w:t>
      </w:r>
      <w:r>
        <w:rPr/>
        <w:t>宜君县县城及太安镇等6个乡镇城镇详细规划编制服务</w:t>
      </w:r>
      <w:r>
        <w:rPr/>
        <w:t>采用竞争性磋商采购方式进行采购，兹邀请供应商参加本项目的竞争性磋商。</w:t>
      </w:r>
    </w:p>
    <w:p>
      <w:pPr>
        <w:pStyle w:val="null3"/>
        <w:outlineLvl w:val="2"/>
      </w:pPr>
      <w:r>
        <w:rPr>
          <w:b/>
          <w:sz w:val="28"/>
        </w:rPr>
        <w:t>一、项目编号：</w:t>
      </w:r>
      <w:r>
        <w:rPr>
          <w:b/>
          <w:sz w:val="28"/>
        </w:rPr>
        <w:t>SZTCS-XA-240218-FW</w:t>
      </w:r>
    </w:p>
    <w:p>
      <w:pPr>
        <w:pStyle w:val="null3"/>
        <w:outlineLvl w:val="2"/>
      </w:pPr>
      <w:r>
        <w:rPr>
          <w:b/>
          <w:sz w:val="28"/>
        </w:rPr>
        <w:t>二、项目名称：</w:t>
      </w:r>
      <w:r>
        <w:rPr>
          <w:b/>
          <w:sz w:val="28"/>
        </w:rPr>
        <w:t>宜君县县城及太安镇等6个乡镇城镇详细规划编制服务</w:t>
      </w:r>
    </w:p>
    <w:p>
      <w:pPr>
        <w:pStyle w:val="null3"/>
        <w:outlineLvl w:val="2"/>
      </w:pPr>
      <w:r>
        <w:rPr>
          <w:b/>
          <w:sz w:val="28"/>
        </w:rPr>
        <w:t>三、磋商项目简介</w:t>
      </w:r>
    </w:p>
    <w:p>
      <w:pPr>
        <w:pStyle w:val="null3"/>
        <w:ind w:firstLine="480"/>
      </w:pPr>
      <w:r>
        <w:rPr/>
        <w:t>为贯彻落实《中共中央国务院关于建立国土空间规划体系并监督实施的若干意见》（中发〔2019〕18号）、《自然资源部关于进一步加强国土空间规划编制和实施管理的通知》（自然资发〔2022〕186号），加强“五级三类”国土空间规划传导协同，保障宜君县建设需求，加强城镇规划管理，特编制宜君县城区和太安镇等6个乡镇控制性详细规划。</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采购包1（宜君县县城及太安镇等6个乡镇城镇详细规划编制服务）：属于专门面向中小企业采购。</w:t>
      </w:r>
    </w:p>
    <w:p>
      <w:pPr>
        <w:pStyle w:val="null3"/>
        <w:ind w:firstLine="480"/>
      </w:pPr>
      <w:r>
        <w:rPr/>
        <w:t>（三）本项目的特定资格要求：</w:t>
      </w:r>
    </w:p>
    <w:p>
      <w:pPr>
        <w:pStyle w:val="null3"/>
      </w:pPr>
      <w:r>
        <w:rPr/>
        <w:t>采购包1：</w:t>
      </w:r>
    </w:p>
    <w:p>
      <w:pPr>
        <w:pStyle w:val="null3"/>
      </w:pPr>
      <w:r>
        <w:rPr/>
        <w:t>1、营业执照：(1)根据供应商类别进行提供：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供货商需在项目电子化交易系统中按要求上传相应证明文件并进行电子签章</w:t>
      </w:r>
    </w:p>
    <w:p>
      <w:pPr>
        <w:pStyle w:val="null3"/>
      </w:pPr>
      <w:r>
        <w:rPr/>
        <w:t>2、企业资质：供应商须具备具备城乡规划乙级及以上资质，提供具有履行合同所必需的专业技术能力的承诺；供货商需在项目电子化交易系统中按要求上传相应证明文件并进行电子签章；</w:t>
      </w:r>
    </w:p>
    <w:p>
      <w:pPr>
        <w:pStyle w:val="null3"/>
      </w:pPr>
      <w:r>
        <w:rPr/>
        <w:t>3、财务报告：提供2022年度经审计的财务报告（成立时间至提交磋商响应文件截止时间不足一年的可提供成立后任意时段的资产负债表），或磋商截止日期前6个月内银行出具的资信证明； 供应商需在项目电子化交易系统中按要求上传相应证明文件并进行电子签章。</w:t>
      </w:r>
    </w:p>
    <w:p>
      <w:pPr>
        <w:pStyle w:val="null3"/>
      </w:pPr>
      <w:r>
        <w:rPr/>
        <w:t>4、完税证明：提供磋商截止时间前6个月内的纳税证明或完税证明，依法免税的单位应提供相关证明材料，供货商需在项目电子化交易系统中按要求上传相应证明文件并进行电子签章；</w:t>
      </w:r>
    </w:p>
    <w:p>
      <w:pPr>
        <w:pStyle w:val="null3"/>
      </w:pPr>
      <w:r>
        <w:rPr/>
        <w:t>5、社保缴纳凭证 ：提供磋商截止时间前6个月内的社会保障资金缴存单据或社保机构开具的社会保险参保缴费情况证明，依法不需要缴纳社会保障资金的单位应提供相关证明材料，供货商需在项目电子化交易系统中按要求上传相应证明文件并进行电子签章；</w:t>
      </w:r>
    </w:p>
    <w:p>
      <w:pPr>
        <w:pStyle w:val="null3"/>
      </w:pPr>
      <w:r>
        <w:rPr/>
        <w:t>6、无重大违法记录的书面声明：参加政府采购活动前3年内，在经营活动中没有重大违法记录的书面声明，供货商需在项目电子化交易系统中按要求上传相应证明文件并进行电子签章；</w:t>
      </w:r>
    </w:p>
    <w:p>
      <w:pPr>
        <w:pStyle w:val="null3"/>
      </w:pPr>
      <w:r>
        <w:rPr/>
        <w:t>7、法定代表人授权委托书 ：法定代表人授权委托书（附法定代表人、被授权人身份证复印件并加盖公章）和被授权人身份证原件。（法定代表人参加投标只须提供法定代表人身份证明书及身份证原件），供货商需在项目电子化交易系统中按要求上传相应证明文件并进行电子签章；</w:t>
      </w:r>
    </w:p>
    <w:p>
      <w:pPr>
        <w:pStyle w:val="null3"/>
      </w:pPr>
      <w:r>
        <w:rPr/>
        <w:t>8、企业信誉截图：供应商不得为“信用中国”网站（www.creditchina.gov.cn）中列入失信被执行人或税收违法黑名单的供应商，不得为中国政府采购网（www.ccgp.gov.cn）政府采购严重违法失信行为记录名单中被财政部门禁止参加政府采购活动的供应商，供货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宜君县自然资源局</w:t>
      </w:r>
    </w:p>
    <w:p>
      <w:pPr>
        <w:pStyle w:val="null3"/>
      </w:pPr>
      <w:r>
        <w:rPr/>
        <w:t xml:space="preserve"> 地址： </w:t>
      </w:r>
      <w:r>
        <w:rPr/>
        <w:t>宜君县人社大楼七楼</w:t>
      </w:r>
    </w:p>
    <w:p>
      <w:pPr>
        <w:pStyle w:val="null3"/>
      </w:pPr>
      <w:r>
        <w:rPr/>
        <w:t xml:space="preserve"> 邮编： </w:t>
      </w:r>
      <w:r>
        <w:rPr/>
        <w:t>727200</w:t>
      </w:r>
    </w:p>
    <w:p>
      <w:pPr>
        <w:pStyle w:val="null3"/>
      </w:pPr>
      <w:r>
        <w:rPr/>
        <w:t xml:space="preserve"> 联系人： </w:t>
      </w:r>
      <w:r>
        <w:rPr/>
        <w:t>李主任</w:t>
      </w:r>
    </w:p>
    <w:p>
      <w:pPr>
        <w:pStyle w:val="null3"/>
      </w:pPr>
      <w:r>
        <w:rPr/>
        <w:t xml:space="preserve"> 联系电话： </w:t>
      </w:r>
      <w:r>
        <w:rPr/>
        <w:t>0919-5286068</w:t>
      </w:r>
    </w:p>
    <w:p>
      <w:pPr>
        <w:pStyle w:val="null3"/>
        <w:outlineLvl w:val="3"/>
      </w:pPr>
      <w:r>
        <w:rPr>
          <w:b/>
          <w:sz w:val="24"/>
        </w:rPr>
        <w:t>代理机构：</w:t>
      </w:r>
      <w:r>
        <w:rPr>
          <w:b/>
          <w:sz w:val="24"/>
        </w:rPr>
        <w:t>陕西省中投招标有限责任公司</w:t>
      </w:r>
    </w:p>
    <w:p>
      <w:pPr>
        <w:pStyle w:val="null3"/>
      </w:pPr>
      <w:r>
        <w:rPr/>
        <w:t xml:space="preserve"> 地址： </w:t>
      </w:r>
      <w:r>
        <w:rPr/>
        <w:t>陕西省西安市莲湖区陕西省西安市莲湖区环城西路北段360号天朗时代大酒店A座六层东区</w:t>
      </w:r>
    </w:p>
    <w:p>
      <w:pPr>
        <w:pStyle w:val="null3"/>
      </w:pPr>
      <w:r>
        <w:rPr/>
        <w:t xml:space="preserve"> 邮编： </w:t>
      </w:r>
      <w:r>
        <w:rPr/>
        <w:t>710002</w:t>
      </w:r>
    </w:p>
    <w:p>
      <w:pPr>
        <w:pStyle w:val="null3"/>
      </w:pPr>
      <w:r>
        <w:rPr/>
        <w:t xml:space="preserve"> 联系人： </w:t>
      </w:r>
      <w:r>
        <w:rPr/>
        <w:t>杜艳艳</w:t>
      </w:r>
    </w:p>
    <w:p>
      <w:pPr>
        <w:pStyle w:val="null3"/>
      </w:pPr>
      <w:r>
        <w:rPr/>
        <w:t xml:space="preserve"> 联系电话： </w:t>
      </w:r>
      <w:r>
        <w:rPr/>
        <w:t>13991227376</w:t>
      </w:r>
    </w:p>
    <w:p>
      <w:pPr>
        <w:pStyle w:val="null3"/>
        <w:outlineLvl w:val="3"/>
      </w:pPr>
      <w:r>
        <w:rPr>
          <w:b/>
          <w:sz w:val="24"/>
        </w:rPr>
        <w:t>采购监督机构：</w:t>
      </w:r>
      <w:r>
        <w:rPr>
          <w:b/>
          <w:sz w:val="24"/>
        </w:rPr>
        <w:t>宜君县财政局</w:t>
      </w:r>
    </w:p>
    <w:p>
      <w:pPr>
        <w:pStyle w:val="null3"/>
        <w:ind w:firstLine="480"/>
      </w:pPr>
      <w:r>
        <w:rPr/>
        <w:t>联系人：</w:t>
      </w:r>
      <w:r>
        <w:rPr/>
        <w:t>蔡富春</w:t>
      </w:r>
    </w:p>
    <w:p>
      <w:pPr>
        <w:pStyle w:val="null3"/>
        <w:ind w:firstLine="480"/>
      </w:pPr>
      <w:r>
        <w:rPr/>
        <w:t>联系电话：</w:t>
      </w:r>
      <w:r>
        <w:rPr/>
        <w:t>0919-5996058</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和国家发展改革委员会办公厅颁发的《关于招标代理服务收费有关问题的通知》（发改办价格[2003] 857号）规定标准收取。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宜君县自然资源局</w:t>
      </w:r>
      <w:r>
        <w:rPr/>
        <w:t>和</w:t>
      </w:r>
      <w:r>
        <w:rPr/>
        <w:t>陕西省中投招标有限责任公司</w:t>
      </w:r>
      <w:r>
        <w:rPr/>
        <w:t>享有。对磋商文件中供应商参加本次政府采购活动应当具备的条件，磋商项目技术、服务、商务及其他要求，评审细则及标准由</w:t>
      </w:r>
      <w:r>
        <w:rPr/>
        <w:t>宜君县自然资源局</w:t>
      </w:r>
      <w:r>
        <w:rPr/>
        <w:t>负责解释。除上述磋商文件内容，其他内容由</w:t>
      </w:r>
      <w:r>
        <w:rPr/>
        <w:t>陕西省中投招标有限责任公司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宜君县自然资源局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陕西省中投招标有限责任公司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陕西省中投招标有限责任公司</w:t>
      </w:r>
      <w:r>
        <w:rPr/>
        <w:t xml:space="preserve"> 负责答复；供应商对除采购需求外的采购文件的询问、质疑由</w:t>
      </w:r>
      <w:r>
        <w:rPr/>
        <w:t>陕西省中投招标有限责任公司</w:t>
      </w:r>
      <w:r>
        <w:rPr/>
        <w:t xml:space="preserve"> 负责答复；供应商对采购过程、采购结果的询问、质疑由 </w:t>
      </w:r>
      <w:r>
        <w:rPr/>
        <w:t>陕西省中投招标有限责任公司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联系人：杜工</w:t>
      </w:r>
    </w:p>
    <w:p>
      <w:pPr>
        <w:pStyle w:val="null3"/>
      </w:pPr>
      <w:r>
        <w:rPr/>
        <w:t>联系电话：13991227376</w:t>
      </w:r>
    </w:p>
    <w:p>
      <w:pPr>
        <w:pStyle w:val="null3"/>
      </w:pPr>
      <w:r>
        <w:rPr/>
        <w:t>地址：西安市环城西路天朗时代酒店A座6层东区601</w:t>
      </w:r>
    </w:p>
    <w:p>
      <w:pPr>
        <w:pStyle w:val="null3"/>
      </w:pPr>
      <w:r>
        <w:rPr/>
        <w:t>邮编：710002</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贯彻落实《中共中央国务院关于建立国土空间规划体系并监督实施的若干意见》（中发〔2019〕18号）、《自然资源部关于进一步加强国土空间规划编制和实施管理的通知》（自然资发〔2022〕186号），加强“五级三类”国土空间规划传导协同，保障宜君县建设需求，加强城镇规划管理，特编制宜君县城区和太安镇等6个乡镇控制性详细规划。</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1,980,000.00</w:t>
      </w:r>
    </w:p>
    <w:p>
      <w:pPr>
        <w:pStyle w:val="null3"/>
      </w:pPr>
      <w:r>
        <w:rPr/>
        <w:t>采购包最高限价（元）: 1,980,000.00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宜君县县城及太安镇等6个乡镇城镇详细规划编制服务</w:t>
            </w:r>
          </w:p>
        </w:tc>
        <w:tc>
          <w:tcPr>
            <w:tcW w:type="dxa" w:w="831"/>
          </w:tcPr>
          <w:p>
            <w:pPr>
              <w:pStyle w:val="null3"/>
              <w:jc w:val="right"/>
            </w:pPr>
            <w:r>
              <w:rPr/>
              <w:t>1.00</w:t>
            </w:r>
          </w:p>
        </w:tc>
        <w:tc>
          <w:tcPr>
            <w:tcW w:type="dxa" w:w="831"/>
          </w:tcPr>
          <w:p>
            <w:pPr>
              <w:pStyle w:val="null3"/>
              <w:jc w:val="right"/>
            </w:pPr>
            <w:r>
              <w:rPr/>
              <w:t>1,980,000.00</w:t>
            </w:r>
          </w:p>
        </w:tc>
        <w:tc>
          <w:tcPr>
            <w:tcW w:type="dxa" w:w="831"/>
          </w:tcPr>
          <w:p>
            <w:pPr>
              <w:pStyle w:val="null3"/>
            </w:pPr>
            <w:r>
              <w:rPr/>
              <w:t>套</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标的名称：宜君县县城及太安镇等6个乡镇城镇详细规划编制服务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240"/>
              <w:ind w:right="45" w:firstLine="480"/>
              <w:jc w:val="both"/>
            </w:pPr>
            <w:r>
              <w:rPr>
                <w:rFonts w:ascii="宋体" w:hAnsi="宋体" w:cs="宋体" w:eastAsia="宋体"/>
                <w:color w:val="FF0000"/>
                <w:sz w:val="22"/>
              </w:rPr>
              <w:t>一、宜君县县城及太安镇等6个乡镇城镇详细规划主要内容包括以下几个方面：</w:t>
            </w:r>
          </w:p>
          <w:p>
            <w:pPr>
              <w:pStyle w:val="null3"/>
              <w:spacing w:before="240"/>
              <w:ind w:right="45" w:firstLine="480"/>
              <w:jc w:val="both"/>
            </w:pPr>
            <w:r>
              <w:rPr>
                <w:rFonts w:ascii="宋体" w:hAnsi="宋体" w:cs="宋体" w:eastAsia="宋体"/>
                <w:color w:val="FF0000"/>
                <w:sz w:val="22"/>
              </w:rPr>
              <w:t>（1）</w:t>
            </w:r>
            <w:r>
              <w:rPr>
                <w:rFonts w:ascii="宋体" w:hAnsi="宋体" w:cs="宋体" w:eastAsia="宋体"/>
                <w:color w:val="FF0000"/>
                <w:sz w:val="22"/>
              </w:rPr>
              <w:t>确定规划范围内不同性质用地的界线，确定各类用地内适建，不适建或者有条件地允许建设的建筑类型。</w:t>
            </w:r>
          </w:p>
          <w:p>
            <w:pPr>
              <w:pStyle w:val="null3"/>
              <w:spacing w:before="240"/>
              <w:ind w:right="45" w:firstLine="480"/>
              <w:jc w:val="both"/>
            </w:pPr>
            <w:r>
              <w:rPr>
                <w:rFonts w:ascii="宋体" w:hAnsi="宋体" w:cs="宋体" w:eastAsia="宋体"/>
                <w:color w:val="FF0000"/>
                <w:sz w:val="22"/>
              </w:rPr>
              <w:t xml:space="preserve">（2）确定各地块建筑高度、建筑密度、容积率、绿地率等控制指标；确定公共设施配套要求、交通出入口方位、停车泊位、建筑后退红线距离等要求。  </w:t>
            </w:r>
          </w:p>
          <w:p>
            <w:pPr>
              <w:pStyle w:val="null3"/>
              <w:spacing w:before="240"/>
              <w:ind w:right="45" w:firstLine="480"/>
              <w:jc w:val="both"/>
            </w:pPr>
            <w:r>
              <w:rPr>
                <w:rFonts w:ascii="宋体" w:hAnsi="宋体" w:cs="宋体" w:eastAsia="宋体"/>
                <w:color w:val="FF0000"/>
                <w:sz w:val="22"/>
              </w:rPr>
              <w:t>（3）提出各地块的建筑体量、体型、色彩等城市设计指导原则；</w:t>
            </w:r>
          </w:p>
          <w:p>
            <w:pPr>
              <w:pStyle w:val="null3"/>
              <w:spacing w:before="240"/>
              <w:ind w:right="45" w:firstLine="480"/>
              <w:jc w:val="both"/>
            </w:pPr>
            <w:r>
              <w:rPr>
                <w:rFonts w:ascii="宋体" w:hAnsi="宋体" w:cs="宋体" w:eastAsia="宋体"/>
                <w:color w:val="FF0000"/>
                <w:sz w:val="22"/>
              </w:rPr>
              <w:t>（4）根据交通需求分析，确定地块出入口位置、停车泊位、公共交通场站用地范围和站点位置、步行交通以及其它交通设施。规定各级道路的红线、断面、交叉口形式及渠化措施、控制点坐标和标高。</w:t>
            </w:r>
          </w:p>
          <w:p>
            <w:pPr>
              <w:pStyle w:val="null3"/>
              <w:spacing w:before="240"/>
              <w:ind w:right="45" w:firstLine="480"/>
              <w:jc w:val="both"/>
            </w:pPr>
            <w:r>
              <w:rPr>
                <w:rFonts w:ascii="宋体" w:hAnsi="宋体" w:cs="宋体" w:eastAsia="宋体"/>
                <w:color w:val="FF0000"/>
                <w:sz w:val="22"/>
              </w:rPr>
              <w:t>（5）根据规划建设容量，确定市政工程管线位置、管径和工程设施的用地界线，进行管线综合。确定地下空间开发利用具体要求。</w:t>
            </w:r>
          </w:p>
          <w:p>
            <w:pPr>
              <w:pStyle w:val="null3"/>
              <w:spacing w:before="240"/>
              <w:ind w:right="45" w:firstLine="480"/>
              <w:jc w:val="both"/>
            </w:pPr>
            <w:r>
              <w:rPr>
                <w:rFonts w:ascii="宋体" w:hAnsi="宋体" w:cs="宋体" w:eastAsia="宋体"/>
                <w:color w:val="FF0000"/>
                <w:sz w:val="22"/>
              </w:rPr>
              <w:t xml:space="preserve">（6）对存量地块制定相应的土地使用与建筑管理规定。 </w:t>
            </w:r>
          </w:p>
          <w:p>
            <w:pPr>
              <w:pStyle w:val="null3"/>
              <w:spacing w:before="240"/>
              <w:ind w:left="600" w:right="45" w:firstLine="480"/>
              <w:jc w:val="both"/>
            </w:pPr>
            <w:r>
              <w:rPr>
                <w:rFonts w:ascii="宋体" w:hAnsi="宋体" w:cs="宋体" w:eastAsia="宋体"/>
                <w:b/>
                <w:color w:val="FF0000"/>
                <w:sz w:val="22"/>
              </w:rPr>
              <w:t>具体编制内容和深度参考《自然资源部关于加强国土空间详细规划工作的通知》及相关的国家、地方规划管理规定。</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color w:val="FF0000"/>
                <w:sz w:val="22"/>
              </w:rPr>
              <w:t>二、成果要求</w:t>
            </w:r>
          </w:p>
          <w:p>
            <w:pPr>
              <w:pStyle w:val="null3"/>
              <w:spacing w:before="240"/>
              <w:ind w:left="750" w:right="45" w:firstLine="480"/>
            </w:pPr>
            <w:r>
              <w:rPr>
                <w:rFonts w:ascii="宋体" w:hAnsi="宋体" w:cs="宋体" w:eastAsia="宋体"/>
                <w:color w:val="FF0000"/>
                <w:sz w:val="22"/>
              </w:rPr>
              <w:t>需提交的成果文件: 项目评审后按照专家意见修改并提交最终成果文件纸质版3份/乡镇。规划最终成果包括规划文本、规划图件、规划说明以及规划数据库等；形式分为纸质成果、电子成果和数据库。成果内容须符合国家、省、市相关法律、标准、规程与技术标准的相关规定。</w:t>
            </w:r>
          </w:p>
          <w:p>
            <w:pPr>
              <w:pStyle w:val="null3"/>
              <w:spacing w:before="240"/>
              <w:ind w:left="750" w:right="45" w:firstLine="480"/>
            </w:pPr>
            <w:r>
              <w:rPr>
                <w:rFonts w:ascii="宋体" w:hAnsi="宋体" w:cs="宋体" w:eastAsia="宋体"/>
                <w:color w:val="FF0000"/>
                <w:sz w:val="22"/>
              </w:rPr>
              <w:t>（1）纸质成果</w:t>
            </w:r>
          </w:p>
          <w:p>
            <w:pPr>
              <w:pStyle w:val="null3"/>
              <w:spacing w:before="240"/>
              <w:ind w:left="750" w:right="45" w:firstLine="480"/>
            </w:pPr>
            <w:r>
              <w:rPr>
                <w:rFonts w:ascii="宋体" w:hAnsi="宋体" w:cs="宋体" w:eastAsia="宋体"/>
                <w:color w:val="FF0000"/>
                <w:sz w:val="22"/>
              </w:rPr>
              <w:t>包括规划文本、规划说明、规划图纸（含图则），采用A3或A4规格，3份/乡镇。</w:t>
            </w:r>
          </w:p>
          <w:p>
            <w:pPr>
              <w:pStyle w:val="null3"/>
              <w:spacing w:before="240"/>
              <w:ind w:left="750" w:right="45" w:firstLine="480"/>
            </w:pPr>
            <w:r>
              <w:rPr>
                <w:rFonts w:ascii="宋体" w:hAnsi="宋体" w:cs="宋体" w:eastAsia="宋体"/>
                <w:color w:val="FF0000"/>
                <w:sz w:val="22"/>
              </w:rPr>
              <w:t>（2）电子成果</w:t>
            </w:r>
          </w:p>
          <w:p>
            <w:pPr>
              <w:pStyle w:val="null3"/>
              <w:spacing w:before="240"/>
              <w:ind w:left="750" w:right="45" w:firstLine="480"/>
            </w:pPr>
            <w:r>
              <w:rPr>
                <w:rFonts w:ascii="宋体" w:hAnsi="宋体" w:cs="宋体" w:eastAsia="宋体"/>
                <w:color w:val="FF0000"/>
                <w:sz w:val="22"/>
              </w:rPr>
              <w:t>规划文本、规划说明的word文件，以及图纸的cad、gis矢量文件。图件和文本须做到清晰、完整、表达准确，同类图纸规格应尽量统一，cad、gis图件要符合相关要求。</w:t>
            </w:r>
          </w:p>
          <w:p>
            <w:pPr>
              <w:pStyle w:val="null3"/>
              <w:spacing w:before="240"/>
              <w:ind w:left="750" w:right="45" w:firstLine="480"/>
            </w:pPr>
            <w:r>
              <w:rPr>
                <w:rFonts w:ascii="宋体" w:hAnsi="宋体" w:cs="宋体" w:eastAsia="宋体"/>
                <w:color w:val="FF0000"/>
                <w:sz w:val="22"/>
              </w:rPr>
              <w:t>（3）数据库成果</w:t>
            </w:r>
          </w:p>
          <w:p>
            <w:pPr>
              <w:pStyle w:val="null3"/>
            </w:pPr>
            <w:r>
              <w:rPr>
                <w:rFonts w:ascii="宋体" w:hAnsi="宋体" w:cs="宋体" w:eastAsia="宋体"/>
                <w:color w:val="FF0000"/>
                <w:sz w:val="22"/>
              </w:rPr>
              <w:t>按照相关数据库标准建立，格式为mdb或gdb格式，坐标系为2000国家大地坐标系</w:t>
            </w:r>
          </w:p>
        </w:tc>
      </w:tr>
    </w:tbl>
    <w:p>
      <w:pPr>
        <w:pStyle w:val="null3"/>
        <w:outlineLvl w:val="2"/>
      </w:pPr>
      <w:r>
        <w:rPr>
          <w:b/>
          <w:sz w:val="28"/>
        </w:rPr>
        <w:t>3.2.3人员配置要求</w:t>
      </w:r>
    </w:p>
    <w:p>
      <w:pPr>
        <w:pStyle w:val="null3"/>
      </w:pPr>
      <w:r>
        <w:rPr/>
        <w:t>采购包1：</w:t>
      </w:r>
    </w:p>
    <w:p>
      <w:pPr>
        <w:pStyle w:val="null3"/>
      </w:pPr>
      <w:r>
        <w:rPr/>
        <w:t>无</w:t>
      </w:r>
    </w:p>
    <w:p>
      <w:pPr>
        <w:pStyle w:val="null3"/>
        <w:outlineLvl w:val="2"/>
      </w:pPr>
      <w:r>
        <w:rPr>
          <w:b/>
          <w:sz w:val="28"/>
        </w:rPr>
        <w:t>3.2.4设施设备要求</w:t>
      </w:r>
    </w:p>
    <w:p>
      <w:pPr>
        <w:pStyle w:val="null3"/>
      </w:pPr>
      <w:r>
        <w:rPr/>
        <w:t>采购包1：</w:t>
      </w:r>
    </w:p>
    <w:p>
      <w:pPr>
        <w:pStyle w:val="null3"/>
      </w:pPr>
      <w:r>
        <w:rPr/>
        <w:t>无</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120天</w:t>
      </w:r>
    </w:p>
    <w:p>
      <w:pPr>
        <w:pStyle w:val="null3"/>
        <w:outlineLvl w:val="3"/>
      </w:pPr>
      <w:r>
        <w:rPr>
          <w:b/>
          <w:sz w:val="24"/>
        </w:rPr>
        <w:t>3.3.2服务地点</w:t>
      </w:r>
    </w:p>
    <w:p>
      <w:pPr>
        <w:pStyle w:val="null3"/>
      </w:pPr>
      <w:r>
        <w:rPr/>
        <w:t>采购包1：</w:t>
      </w:r>
    </w:p>
    <w:p>
      <w:pPr>
        <w:pStyle w:val="null3"/>
      </w:pPr>
      <w:r>
        <w:rPr/>
        <w:t>铜川市宜君县</w:t>
      </w:r>
    </w:p>
    <w:p>
      <w:pPr>
        <w:pStyle w:val="null3"/>
        <w:outlineLvl w:val="3"/>
      </w:pPr>
      <w:r>
        <w:rPr>
          <w:b/>
          <w:sz w:val="24"/>
        </w:rPr>
        <w:t>3.3.3考核（验收）标准和方法</w:t>
      </w:r>
    </w:p>
    <w:p>
      <w:pPr>
        <w:pStyle w:val="null3"/>
      </w:pPr>
      <w:r>
        <w:rPr/>
        <w:t>采购包1：</w:t>
      </w:r>
    </w:p>
    <w:p>
      <w:pPr>
        <w:pStyle w:val="null3"/>
      </w:pPr>
      <w:r>
        <w:rPr/>
        <w:t>符合《中华人民共和国民法典》、《中华人民共和国城乡规划法》、《城市规划编制办法》以及其他相关法律、法规。</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完成规划成果通过专家评审后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成果提交后</w:t>
      </w:r>
      <w:r>
        <w:rPr/>
        <w:t xml:space="preserve"> ，达到付款条件起 </w:t>
      </w:r>
      <w:r>
        <w:rPr/>
        <w:t>7</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按《中华人民共和国政府采购法》、《中华人民共和国民法典》中的相关条款执行。 未按合同或招标文件要求提供服务质量不能满足采购人技术要求，采购单位有权终止合同，甚至对供应商违约行为进行追究。 未按合同或招标文件要求提供服务质量不能满足采购人技术要求，采购单位有权终止合同，甚至对供应商违约行为进行追究。</w:t>
      </w:r>
    </w:p>
    <w:p>
      <w:pPr>
        <w:pStyle w:val="null3"/>
        <w:outlineLvl w:val="2"/>
      </w:pPr>
      <w:r>
        <w:rPr>
          <w:b/>
          <w:sz w:val="28"/>
        </w:rPr>
        <w:t>3.4其他要求</w:t>
      </w:r>
    </w:p>
    <w:p>
      <w:pPr>
        <w:pStyle w:val="null3"/>
      </w:pPr>
      <w:r>
        <w:rPr/>
        <w:t>纸质版投标文件一律采用书籍（胶装）方式装订。投标文件正本一份，副本二份，电子文件 Word 版本（全套投标文件，U 盘）一份。纸质投标文件均需使用 A4 纸，分别各自装订成册。投标文件正本、副本、电子版统一密封在一个标袋内。 递交方式：开标后中标单位将纸质标书送至陕西省西安市莲湖区环城西路北段360号天朗时代大酒店A座六层东区 注：本次招标采用线上招标方式，纸质投标文件按招标文件要求递交（若是投标人的电子标无法打开，视为无效投标文件，不再参与评审。纸质文件不作为评审依据）请各投标人严格按照规定的电子标准格式编制投标文件，并确保以标准格式上传，否则不能参与评审。</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提供2022年度经审计的财务报告（成立时间至提交磋商响应文件截止时间不足一年的可提供成立后任意时段的资产负债表），或磋商截止日期前6个月内银行出具的资信证明；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供货商需在项目电子化交易系统中按要求上传相应证明文件并进行电子签章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供应商须具备具备城乡规划乙级及以上资质，提供具有履行合同所必需的专业技术能力的承诺；供货商需在项目电子化交易系统中按要求上传相应证明文件并进行电子签章；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财务报告</w:t>
            </w:r>
          </w:p>
        </w:tc>
        <w:tc>
          <w:tcPr>
            <w:tcW w:type="dxa" w:w="3322"/>
          </w:tcPr>
          <w:p>
            <w:pPr>
              <w:pStyle w:val="null3"/>
            </w:pPr>
            <w:r>
              <w:rPr/>
              <w:t>提供2022年度经审计的财务报告（成立时间至提交磋商响应文件截止时间不足一年的可提供成立后任意时段的资产负债表），或磋商截止日期前6个月内银行出具的资信证明；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完税证明</w:t>
            </w:r>
          </w:p>
        </w:tc>
        <w:tc>
          <w:tcPr>
            <w:tcW w:type="dxa" w:w="3322"/>
          </w:tcPr>
          <w:p>
            <w:pPr>
              <w:pStyle w:val="null3"/>
            </w:pPr>
            <w:r>
              <w:rPr/>
              <w:t>提供磋商截止时间前6个月内的纳税证明或完税证明，依法免税的单位应提供相关证明材料，供货商需在项目电子化交易系统中按要求上传相应证明文件并进行电子签章；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社保缴纳凭证</w:t>
            </w:r>
          </w:p>
        </w:tc>
        <w:tc>
          <w:tcPr>
            <w:tcW w:type="dxa" w:w="3322"/>
          </w:tcPr>
          <w:p>
            <w:pPr>
              <w:pStyle w:val="null3"/>
            </w:pPr>
            <w:r>
              <w:rPr/>
              <w:t>提供磋商截止时间前6个月内的社会保障资金缴存单据或社保机构开具的社会保险参保缴费情况证明，依法不需要缴纳社会保障资金的单位应提供相关证明材料，供货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参加政府采购活动前3年内，在经营活动中没有重大违法记录的书面声明，供货商需在项目电子化交易系统中按要求上传相应证明文件并进行电子签章；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并加盖公章）和被授权人身份证原件。（法定代表人参加投标只须提供法定代表人身份证明书及身份证原件），供货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企业信誉截图</w:t>
            </w:r>
          </w:p>
        </w:tc>
        <w:tc>
          <w:tcPr>
            <w:tcW w:type="dxa" w:w="3322"/>
          </w:tcPr>
          <w:p>
            <w:pPr>
              <w:pStyle w:val="null3"/>
            </w:pPr>
            <w:r>
              <w:rPr/>
              <w:t>供应商不得为“信用中国”网站（www.creditchina.gov.cn）中列入失信被执行人或税收违法黑名单的供应商，不得为中国政府采购网（www.ccgp.gov.cn）政府采购严重违法失信行为记录名单中被财政部门禁止参加政府采购活动的供应商，供货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磋商响应文件签章</w:t>
            </w:r>
          </w:p>
        </w:tc>
        <w:tc>
          <w:tcPr>
            <w:tcW w:type="dxa" w:w="3322"/>
          </w:tcPr>
          <w:p>
            <w:pPr>
              <w:pStyle w:val="null3"/>
            </w:pPr>
            <w:r>
              <w:rPr/>
              <w:t>按磋商文件要求签署、加盖印章 （平台提交的应加盖符合要求的电子签章）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商务及技术主要条款响应</w:t>
            </w:r>
          </w:p>
        </w:tc>
        <w:tc>
          <w:tcPr>
            <w:tcW w:type="dxa" w:w="3322"/>
          </w:tcPr>
          <w:p>
            <w:pPr>
              <w:pStyle w:val="null3"/>
            </w:pPr>
            <w:r>
              <w:rPr/>
              <w:t>对服务期限等实质性内容进行响应且未附加其它条件</w:t>
            </w:r>
          </w:p>
        </w:tc>
        <w:tc>
          <w:tcPr>
            <w:tcW w:type="dxa" w:w="1661"/>
          </w:tcPr>
          <w:p>
            <w:pPr>
              <w:pStyle w:val="null3"/>
            </w:pPr>
            <w:r>
              <w:rPr/>
              <w:t>服务内容及服务要求应答表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符合竞争性磋商文件要求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每轮磋商报价唯一且未超过采购预算</w:t>
            </w:r>
          </w:p>
        </w:tc>
        <w:tc>
          <w:tcPr>
            <w:tcW w:type="dxa" w:w="1661"/>
          </w:tcPr>
          <w:p>
            <w:pPr>
              <w:pStyle w:val="null3"/>
            </w:pPr>
            <w:r>
              <w:rPr/>
              <w:t>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规划背景与基础分析</w:t>
            </w:r>
          </w:p>
        </w:tc>
        <w:tc>
          <w:tcPr>
            <w:tcW w:type="dxa" w:w="2492"/>
          </w:tcPr>
          <w:p>
            <w:pPr>
              <w:pStyle w:val="null3"/>
            </w:pPr>
            <w:r>
              <w:rPr/>
              <w:t>能够从国家、省、市政策层面、区域发展、现实需求层面对项目背景进行解读；对项目前期资料收集、分析、理解与认识进行说明，赋分 0-10 分： 项目背景及对项目前期资料收集分析理解充分、全面、准确、到位，得 8-10； 项目背景及对项目前期资料收集分析理解基本到位，得 5-7； 项目背景及对项目前期资料分析理解不到位，得 1-4 分； 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技术路线制定</w:t>
            </w:r>
          </w:p>
        </w:tc>
        <w:tc>
          <w:tcPr>
            <w:tcW w:type="dxa" w:w="2492"/>
          </w:tcPr>
          <w:p>
            <w:pPr>
              <w:pStyle w:val="null3"/>
            </w:pPr>
            <w:r>
              <w:rPr/>
              <w:t>准确把握规划区实际情况，提出规划编制的内容、思路和技术路线清晰、完整，赋分 0-15 分： 技术方案完整详细，科学可行的，得 11-15分； 技术方案较为完整，可行性较高的，得 6-10 分； 技术方案一般，总体较差的，得 1- 5分； 未提供得0分。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现状与发展趋势研判</w:t>
            </w:r>
          </w:p>
        </w:tc>
        <w:tc>
          <w:tcPr>
            <w:tcW w:type="dxa" w:w="2492"/>
          </w:tcPr>
          <w:p>
            <w:pPr>
              <w:pStyle w:val="null3"/>
            </w:pPr>
            <w:r>
              <w:rPr/>
              <w:t>对规划区现状特征及未来发展趋势的理解，赋分 0-10 分： 现状解读清楚，未来发展趋势研判准确的得 8-10 分； 现状解读一般，未来发展研判基本到位的得 4-7 分； 现状解读不清楚，未来发展趋势研判不到位的得 1-3 分； 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关键点、重难点分析</w:t>
            </w:r>
          </w:p>
        </w:tc>
        <w:tc>
          <w:tcPr>
            <w:tcW w:type="dxa" w:w="2492"/>
          </w:tcPr>
          <w:p>
            <w:pPr>
              <w:pStyle w:val="null3"/>
            </w:pPr>
            <w:r>
              <w:rPr/>
              <w:t>正确识别本项目关键点及重难点，逐条列出且分析全面、具体、透彻，解决对策，根据内容完整度情况，赋分 0-20 分： 重难点理解到位、应对措施合理可行，得 15-20 分； 重难点理解基本到位、应对措施较为合理可行，得 6-14分； 重难点理解不到位、应对措施较差，得 1-5 分； 未提供得0分。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工作计划</w:t>
            </w:r>
          </w:p>
        </w:tc>
        <w:tc>
          <w:tcPr>
            <w:tcW w:type="dxa" w:w="2492"/>
          </w:tcPr>
          <w:p>
            <w:pPr>
              <w:pStyle w:val="null3"/>
            </w:pPr>
            <w:r>
              <w:rPr/>
              <w:t>时间安排紧凑得当，重点突出，能充分体现工作效率及工作效果，计划合理且科学，赋分 8-10 分： 时间与工作进度安排较为合理，得 4-7 分； 时间与工作进度安排不尽合理，得 1-3 分； 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服务保证</w:t>
            </w:r>
          </w:p>
        </w:tc>
        <w:tc>
          <w:tcPr>
            <w:tcW w:type="dxa" w:w="2492"/>
          </w:tcPr>
          <w:p>
            <w:pPr>
              <w:pStyle w:val="null3"/>
            </w:pPr>
            <w:r>
              <w:rPr/>
              <w:t>项目实施过程中如何实施服务保证措施，对比各供应商的方案，根据情况，赋分 7-10分： 质量保证措施完善具体，合理性、针对性及可行性强，违约责任承诺较好内容全面的，得 5分； 服务质量保证措施合理性、针对性及可行性一般，违约责任承诺良好内容一般的，得 4-6分； 服务质量保证措施合理性、针对性及可行性差，有违约责任 承诺但不具体的，得 1-3分。 未提供得0分。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(1)项目负责人：具有城乡规划（城市规划）专业高级工程师以上技术职称资格，得 2分. (2)充分考虑制作团队综合实力，提供具体项目组成员名单，根据项目团队人员构成、数量、学历专业、技术职称等赋分 1-3分。 未提供得0分。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提供供应商的 2019 年1月1日至今签订的类似项目；每提供一份计 2 分，满分 10分，未提供得0分。（以合同复印件为准）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供应商类似业绩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价格分采用低价优先法计算，即满足磋商文件要求且最终磋商价最低的投标报价为评标基准价，其价格分为满分，计 10 分；满足磋商文件要求且磋商价格最低的磋商报价为评标基准价，其他磋商人的价格分按照公式计算： 报价得分=（评标基准价／磋商报价）×价格权值×100。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详见附件：供应商类似业绩</w:t>
      </w:r>
    </w:p>
    <w:p>
      <w:pPr>
        <w:pStyle w:val="null3"/>
        <w:ind w:firstLine="960"/>
      </w:pPr>
      <w:r>
        <w:rPr/>
        <w:t>详见附件：服务内容及服务要求应答表</w:t>
      </w:r>
    </w:p>
    <w:p>
      <w:pPr>
        <w:pStyle w:val="null3"/>
      </w:pPr>
      <w:r>
        <w:rPr/>
        <w:t xml:space="preserve"> </w:t>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