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移动警务通讯信息终端采购项目</w:t>
      </w:r>
    </w:p>
    <w:p>
      <w:pPr>
        <w:pStyle w:val="null3"/>
        <w:jc w:val="center"/>
        <w:outlineLvl w:val="5"/>
      </w:pPr>
      <w:r>
        <w:rPr>
          <w:b/>
          <w:sz w:val="15"/>
        </w:rPr>
        <w:t xml:space="preserve">项目编号: </w:t>
      </w:r>
      <w:r>
        <w:rPr>
          <w:b/>
          <w:sz w:val="15"/>
        </w:rPr>
        <w:t>ZHXYZB-2024003</w:t>
      </w:r>
      <w:r>
        <w:br/>
      </w:r>
      <w:r>
        <w:br/>
      </w:r>
      <w:r>
        <w:br/>
      </w:r>
      <w:r>
        <w:br/>
      </w:r>
      <w:r>
        <w:br/>
      </w:r>
    </w:p>
    <w:p>
      <w:pPr>
        <w:pStyle w:val="null3"/>
        <w:jc w:val="center"/>
        <w:outlineLvl w:val="5"/>
      </w:pPr>
      <w:r>
        <w:rPr>
          <w:b/>
          <w:sz w:val="15"/>
        </w:rPr>
        <w:t>宜君县公安局</w:t>
      </w:r>
    </w:p>
    <w:p>
      <w:pPr>
        <w:pStyle w:val="null3"/>
        <w:jc w:val="center"/>
        <w:outlineLvl w:val="5"/>
      </w:pPr>
      <w:r>
        <w:rPr>
          <w:b/>
          <w:sz w:val="15"/>
        </w:rPr>
        <w:t>陕西智华兴业建设项目管理有限公司</w:t>
      </w:r>
      <w:r>
        <w:rPr>
          <w:b/>
          <w:sz w:val="15"/>
        </w:rPr>
        <w:t>共同编制</w:t>
      </w:r>
    </w:p>
    <w:p>
      <w:pPr>
        <w:pStyle w:val="null3"/>
        <w:jc w:val="center"/>
        <w:outlineLvl w:val="5"/>
      </w:pPr>
      <w:r>
        <w:rPr>
          <w:b/>
          <w:sz w:val="15"/>
        </w:rPr>
        <w:t>2024年04月02日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陕西智华兴业建设项目管理有限公司</w:t>
      </w:r>
      <w:r>
        <w:rPr/>
        <w:t>（以下简称“代理机构”）受</w:t>
      </w:r>
      <w:r>
        <w:rPr/>
        <w:t>宜君县公安局</w:t>
      </w:r>
      <w:r>
        <w:rPr/>
        <w:t>委托，拟对</w:t>
      </w:r>
      <w:r>
        <w:rPr/>
        <w:t>移动警务通讯信息终端采购项目</w:t>
      </w:r>
      <w:r>
        <w:rPr/>
        <w:t>采用单一来源方式进行采购，现邀请贵公司参加该项目的协商。</w:t>
      </w:r>
    </w:p>
    <w:p>
      <w:pPr>
        <w:pStyle w:val="null3"/>
        <w:outlineLvl w:val="2"/>
      </w:pPr>
      <w:r>
        <w:rPr>
          <w:b/>
          <w:sz w:val="28"/>
        </w:rPr>
        <w:t>一、采购项目编号：</w:t>
      </w:r>
      <w:r>
        <w:rPr>
          <w:b/>
          <w:sz w:val="28"/>
        </w:rPr>
        <w:t>ZHXYZB-2024003</w:t>
      </w:r>
    </w:p>
    <w:p>
      <w:pPr>
        <w:pStyle w:val="null3"/>
        <w:outlineLvl w:val="2"/>
      </w:pPr>
      <w:r>
        <w:rPr>
          <w:b/>
          <w:sz w:val="28"/>
        </w:rPr>
        <w:t>二、采购项目名称：</w:t>
      </w:r>
      <w:r>
        <w:rPr>
          <w:b/>
          <w:sz w:val="28"/>
        </w:rPr>
        <w:t>移动警务通讯信息终端采购项目</w:t>
      </w:r>
    </w:p>
    <w:p>
      <w:pPr>
        <w:pStyle w:val="null3"/>
        <w:outlineLvl w:val="2"/>
      </w:pPr>
      <w:r>
        <w:rPr>
          <w:b/>
          <w:sz w:val="28"/>
        </w:rPr>
        <w:t>三、协商项目简介：</w:t>
      </w:r>
    </w:p>
    <w:p>
      <w:pPr>
        <w:pStyle w:val="null3"/>
        <w:ind w:firstLine="480"/>
      </w:pPr>
      <w:r>
        <w:rPr/>
        <w:t>移动警务通讯信息终端采购项目1批，该项目分为警务通讯终端设备和移动警务通讯服务（具体内容详见采购文件）。</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1、营业执照等主体资格证明文件：具有独立承担民事责任的能力，提供法人或者其他组织的营业执照等证明文件， 自然人参与的提供其身份证（分公司可以参与投标）</w:t>
      </w:r>
    </w:p>
    <w:p>
      <w:pPr>
        <w:pStyle w:val="null3"/>
      </w:pPr>
      <w:r>
        <w:rPr/>
        <w:t>2、财务状况报告：提供2022或2023任一年度经审计的财务审计报告(2024年成立的公司提供成立后企业的资产负债表和利润表），或提供近一年内基本存款账户开户银行开具的资信证明.</w:t>
      </w:r>
    </w:p>
    <w:p>
      <w:pPr>
        <w:pStyle w:val="null3"/>
      </w:pPr>
      <w:r>
        <w:rPr/>
        <w:t>3、税收缴纳证明：提供2023年04月01日至今任意一个月的缴纳税收的证明材料,(依法免税的单位应提供相关证明材料)</w:t>
      </w:r>
    </w:p>
    <w:p>
      <w:pPr>
        <w:pStyle w:val="null3"/>
      </w:pPr>
      <w:r>
        <w:rPr/>
        <w:t>4、社会保障资金缴纳证明：提供2023年04月01日至今任意一个月的依法缴纳社会保障资金的证明材料（依法不需要缴纳社会保障资金的单位应提供相关证明材料）</w:t>
      </w:r>
    </w:p>
    <w:p>
      <w:pPr>
        <w:pStyle w:val="null3"/>
      </w:pPr>
      <w:r>
        <w:rPr/>
        <w:t>5、信用查询：供应商不得为“信用中国”网站（www.creditchina.gov.cn）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t>6、履约能力：出具具备履行合同所必需的设备和专业技术能力的书面声明</w:t>
      </w:r>
    </w:p>
    <w:p>
      <w:pPr>
        <w:pStyle w:val="null3"/>
      </w:pPr>
      <w:r>
        <w:rPr/>
        <w:t>7、无重大违法记录：参加政府采购活动前3年内，在经营活动中没有重大违法记录（提供书面声明函）</w:t>
      </w:r>
    </w:p>
    <w:p>
      <w:pPr>
        <w:pStyle w:val="null3"/>
      </w:pPr>
      <w:r>
        <w:rPr/>
        <w:t>8、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宜君县公安局</w:t>
      </w:r>
    </w:p>
    <w:p>
      <w:pPr>
        <w:pStyle w:val="null3"/>
      </w:pPr>
      <w:r>
        <w:rPr/>
        <w:t xml:space="preserve"> 地址： </w:t>
      </w:r>
      <w:r>
        <w:rPr/>
        <w:t>陕西省铜川市宜君县兴宜路8号</w:t>
      </w:r>
    </w:p>
    <w:p>
      <w:pPr>
        <w:pStyle w:val="null3"/>
      </w:pPr>
      <w:r>
        <w:rPr/>
        <w:t xml:space="preserve"> 邮编： </w:t>
      </w:r>
      <w:r>
        <w:rPr/>
        <w:t>727000</w:t>
      </w:r>
    </w:p>
    <w:p>
      <w:pPr>
        <w:pStyle w:val="null3"/>
      </w:pPr>
      <w:r>
        <w:rPr/>
        <w:t xml:space="preserve"> 联系人： </w:t>
      </w:r>
      <w:r>
        <w:rPr/>
        <w:t>何工</w:t>
      </w:r>
    </w:p>
    <w:p>
      <w:pPr>
        <w:pStyle w:val="null3"/>
      </w:pPr>
      <w:r>
        <w:rPr/>
        <w:t xml:space="preserve"> 联系电话： </w:t>
      </w:r>
      <w:r>
        <w:rPr/>
        <w:t>18091907938</w:t>
      </w:r>
    </w:p>
    <w:p>
      <w:pPr>
        <w:pStyle w:val="null3"/>
        <w:outlineLvl w:val="2"/>
      </w:pPr>
      <w:r>
        <w:rPr>
          <w:b/>
          <w:sz w:val="28"/>
        </w:rPr>
        <w:t>代理机构：</w:t>
      </w:r>
      <w:r>
        <w:rPr>
          <w:b/>
          <w:sz w:val="28"/>
        </w:rPr>
        <w:t>陕西智华兴业建设项目管理有限公司</w:t>
      </w:r>
    </w:p>
    <w:p>
      <w:pPr>
        <w:pStyle w:val="null3"/>
      </w:pPr>
      <w:r>
        <w:rPr/>
        <w:t xml:space="preserve"> 地址： </w:t>
      </w:r>
      <w:r>
        <w:rPr/>
        <w:t>陕西省西安市雁塔区朱雀大街南段6号紫郡长安4栋1单元15层3号</w:t>
      </w:r>
    </w:p>
    <w:p>
      <w:pPr>
        <w:pStyle w:val="null3"/>
      </w:pPr>
      <w:r>
        <w:rPr/>
        <w:t xml:space="preserve"> 邮编： </w:t>
      </w:r>
      <w:r>
        <w:rPr/>
        <w:t>710061</w:t>
      </w:r>
    </w:p>
    <w:p>
      <w:pPr>
        <w:pStyle w:val="null3"/>
      </w:pPr>
      <w:r>
        <w:rPr/>
        <w:t xml:space="preserve"> 联系人： </w:t>
      </w:r>
      <w:r>
        <w:rPr/>
        <w:t>朱工</w:t>
      </w:r>
    </w:p>
    <w:p>
      <w:pPr>
        <w:pStyle w:val="null3"/>
      </w:pPr>
      <w:r>
        <w:rPr/>
        <w:t xml:space="preserve"> 联系电话： </w:t>
      </w:r>
      <w:r>
        <w:rPr/>
        <w:t>19991958101</w:t>
      </w:r>
    </w:p>
    <w:p>
      <w:pPr>
        <w:pStyle w:val="null3"/>
        <w:outlineLvl w:val="2"/>
      </w:pPr>
      <w:r>
        <w:rPr>
          <w:b/>
          <w:sz w:val="28"/>
        </w:rPr>
        <w:t>采购监督机构：</w:t>
      </w:r>
      <w:r>
        <w:rPr>
          <w:b/>
          <w:sz w:val="28"/>
        </w:rPr>
        <w:t>宜君县政府采购管理股</w:t>
      </w:r>
    </w:p>
    <w:p>
      <w:pPr>
        <w:pStyle w:val="null3"/>
        <w:ind w:firstLine="480"/>
      </w:pPr>
      <w:r>
        <w:rPr/>
        <w:t>联系人：</w:t>
      </w:r>
      <w:r>
        <w:rPr/>
        <w:t>刘亚莉</w:t>
      </w:r>
    </w:p>
    <w:p>
      <w:pPr>
        <w:pStyle w:val="null3"/>
        <w:ind w:firstLine="480"/>
      </w:pPr>
      <w:r>
        <w:rPr/>
        <w:t>联系电话：</w:t>
      </w:r>
      <w:r>
        <w:rPr/>
        <w:t>0919-5996058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采购包1：1,100,000.00元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采购包1：1,100,000.00元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代理服务费收费标准：按照《国家计委关于印发招标代理服务收费管理暂行办法的通知》 （计价格【2002】1980号） 和国家发改委办公厅颁发的《关于招标代理服务收费有关问题的通知》（发改办价格【2003】 857号）文件规定的标准收取.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宜君县公安局</w:t>
      </w:r>
      <w:r>
        <w:rPr/>
        <w:t>和</w:t>
      </w:r>
      <w:r>
        <w:rPr/>
        <w:t>陕西智华兴业建设项目管理有限公司</w:t>
      </w:r>
      <w:r>
        <w:rPr/>
        <w:t>享有。对采购文件中供应商参加本次政府采购活动应当具备的条件、项目技术、服务、商务及其他要求，评审标准由采购人负责解释。除上述采购文件内容，其他内容由</w:t>
      </w:r>
      <w:r>
        <w:rPr/>
        <w:t>陕西智华兴业建设项目管理有限公司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宜君县公安局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陕西智华兴业建设项目管理有限公司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 xml:space="preserve"> 产品性能需满足本项目采购要求，所有产品需安装到位能够正常使用，并经采购人验收合格。 1.项目验收分初验和终验: 初验：货物到达交货地点后，由采购人根据合同对货物（产品）的名称、品牌、规格、型号、产地、数量进行检查，同时检查货物外观，是否有划痕或破损的，并做好相应记录。 终验：所有货物(产品)完毕交货，并可正常使用7个日历日后，由成交单位提请采购人组织对项目整体进行验收，合格后签发《终验合格单》。 2.验收依据及标准： （1）合同文本及合同补充文件（条款）。 （2）产品说明书或相关技术资料。 （3）采购文件。 （4）中标供应商的投标文件。 （5）合同货物清单。 （6）生产厂家的企业资质、检验报告、货物的执行标准等。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陕西智华兴业建设项目管理有限公司</w:t>
      </w:r>
      <w:r>
        <w:rPr/>
        <w:t xml:space="preserve"> 负责答复；供应商对除采购需求外的采购文件的询问、质疑由</w:t>
      </w:r>
      <w:r>
        <w:rPr/>
        <w:t>陕西智华兴业建设项目管理有限公司</w:t>
      </w:r>
      <w:r>
        <w:rPr/>
        <w:t xml:space="preserve"> 负责答复；供应商对采购过程、采购结果的询问、质疑由 </w:t>
      </w:r>
      <w:r>
        <w:rPr/>
        <w:t>陕西智华兴业建设项目管理有限公司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移动警务通讯信息终端采购项目1批，该项目分为警务通讯终端设备和移动警务通讯服务（具体内容详见采购文件）</w:t>
      </w:r>
    </w:p>
    <w:p>
      <w:pPr>
        <w:pStyle w:val="null3"/>
        <w:outlineLvl w:val="2"/>
      </w:pPr>
      <w:r>
        <w:rPr>
          <w:b/>
          <w:sz w:val="28"/>
        </w:rPr>
        <w:t>3.2采购内容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宜君县公安局移动警务通讯信息终端采购项目</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标的名称：宜君县公安局移动警务通讯信息终端采购项目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4"/>
              <w:gridCol w:w="288"/>
              <w:gridCol w:w="1689"/>
              <w:gridCol w:w="169"/>
              <w:gridCol w:w="205"/>
            </w:tblGrid>
            <w:tr>
              <w:tc>
                <w:tcPr>
                  <w:tcW w:type="dxa" w:w="19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both"/>
                  </w:pPr>
                  <w:r>
                    <w:rPr>
                      <w:rFonts w:ascii="黑体" w:hAnsi="黑体" w:cs="黑体" w:eastAsia="黑体"/>
                      <w:color w:val="000000"/>
                      <w:sz w:val="24"/>
                    </w:rPr>
                    <w:t>序号</w:t>
                  </w:r>
                </w:p>
              </w:tc>
              <w:tc>
                <w:tcPr>
                  <w:tcW w:type="dxa" w:w="288"/>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黑体" w:hAnsi="黑体" w:cs="黑体" w:eastAsia="黑体"/>
                      <w:sz w:val="24"/>
                    </w:rPr>
                    <w:t>名 称</w:t>
                  </w:r>
                </w:p>
              </w:tc>
              <w:tc>
                <w:tcPr>
                  <w:tcW w:type="dxa" w:w="1689"/>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黑体" w:hAnsi="黑体" w:cs="黑体" w:eastAsia="黑体"/>
                      <w:sz w:val="24"/>
                    </w:rPr>
                    <w:t>规格和说明</w:t>
                  </w:r>
                </w:p>
              </w:tc>
              <w:tc>
                <w:tcPr>
                  <w:tcW w:type="dxa" w:w="169"/>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黑体" w:hAnsi="黑体" w:cs="黑体" w:eastAsia="黑体"/>
                      <w:sz w:val="24"/>
                    </w:rPr>
                    <w:t>数量</w:t>
                  </w:r>
                </w:p>
              </w:tc>
              <w:tc>
                <w:tcPr>
                  <w:tcW w:type="dxa" w:w="20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both"/>
                  </w:pPr>
                  <w:r>
                    <w:rPr>
                      <w:rFonts w:ascii="黑体" w:hAnsi="黑体" w:cs="黑体" w:eastAsia="黑体"/>
                      <w:sz w:val="24"/>
                    </w:rPr>
                    <w:t>单位</w:t>
                  </w:r>
                </w:p>
              </w:tc>
            </w:tr>
            <w:tr>
              <w:tc>
                <w:tcPr>
                  <w:tcW w:type="dxa" w:w="194"/>
                  <w:tcBorders>
                    <w:top w:val="none" w:color="000000" w:sz="4"/>
                    <w:left w:val="double" w:color="000000" w:sz="8"/>
                    <w:bottom w:val="single" w:color="000000" w:sz="4"/>
                    <w:right w:val="single" w:color="000000" w:sz="4"/>
                  </w:tcBorders>
                  <w:tcMar>
                    <w:top w:type="dxa" w:w="0"/>
                    <w:left w:type="dxa" w:w="60"/>
                    <w:bottom w:type="dxa" w:w="0"/>
                    <w:right w:type="dxa" w:w="60"/>
                  </w:tcMar>
                </w:tcPr>
                <w:p>
                  <w:pPr>
                    <w:pStyle w:val="null3"/>
                    <w:jc w:val="both"/>
                  </w:pPr>
                  <w:r>
                    <w:rPr>
                      <w:rFonts w:ascii="黑体" w:hAnsi="黑体" w:cs="黑体" w:eastAsia="黑体"/>
                      <w:color w:val="000000"/>
                      <w:sz w:val="24"/>
                    </w:rPr>
                    <w:t>1</w:t>
                  </w:r>
                </w:p>
              </w:tc>
              <w:tc>
                <w:tcPr>
                  <w:tcW w:type="dxa" w:w="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after="150"/>
                    <w:outlineLvl w:val="0"/>
                  </w:pPr>
                  <w:r>
                    <w:rPr>
                      <w:rFonts w:ascii="黑体" w:hAnsi="黑体" w:cs="黑体" w:eastAsia="黑体"/>
                      <w:b/>
                      <w:sz w:val="24"/>
                      <w:shd w:fill="FFFFFF" w:val="clear"/>
                    </w:rPr>
                    <w:t>新一代移动警务终端</w:t>
                  </w:r>
                </w:p>
              </w:tc>
              <w:tc>
                <w:tcPr>
                  <w:tcW w:type="dxa" w:w="16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left"/>
                  </w:pPr>
                  <w:r>
                    <w:rPr>
                      <w:rFonts w:ascii="黑体" w:hAnsi="黑体" w:cs="黑体" w:eastAsia="黑体"/>
                      <w:sz w:val="24"/>
                    </w:rPr>
                    <w:t>操作系统：Android双系统</w:t>
                  </w:r>
                </w:p>
                <w:p>
                  <w:pPr>
                    <w:pStyle w:val="null3"/>
                    <w:jc w:val="left"/>
                  </w:pPr>
                  <w:r>
                    <w:rPr>
                      <w:rFonts w:ascii="黑体" w:hAnsi="黑体" w:cs="黑体" w:eastAsia="黑体"/>
                      <w:sz w:val="24"/>
                    </w:rPr>
                    <w:t>CPU:</w:t>
                  </w:r>
                  <w:r>
                    <w:rPr>
                      <w:rFonts w:ascii="黑体" w:hAnsi="黑体" w:cs="黑体" w:eastAsia="黑体"/>
                      <w:sz w:val="24"/>
                    </w:rPr>
                    <w:t xml:space="preserve">国产芯片                </w:t>
                  </w:r>
                </w:p>
                <w:p>
                  <w:pPr>
                    <w:pStyle w:val="null3"/>
                    <w:jc w:val="left"/>
                  </w:pPr>
                  <w:r>
                    <w:rPr>
                      <w:rFonts w:ascii="黑体" w:hAnsi="黑体" w:cs="黑体" w:eastAsia="黑体"/>
                      <w:sz w:val="24"/>
                    </w:rPr>
                    <w:t>存储：≥12G+256G</w:t>
                  </w:r>
                </w:p>
                <w:p>
                  <w:pPr>
                    <w:pStyle w:val="null3"/>
                    <w:jc w:val="left"/>
                  </w:pPr>
                  <w:r>
                    <w:rPr>
                      <w:rFonts w:ascii="黑体" w:hAnsi="黑体" w:cs="黑体" w:eastAsia="黑体"/>
                      <w:sz w:val="24"/>
                    </w:rPr>
                    <w:t>网络制式：双卡双待，支持5G（NR）网络、4G  FDD-LTE、TD-LTE网络</w:t>
                  </w:r>
                </w:p>
                <w:p>
                  <w:pPr>
                    <w:pStyle w:val="null3"/>
                    <w:jc w:val="left"/>
                  </w:pPr>
                  <w:r>
                    <w:rPr>
                      <w:rFonts w:ascii="黑体" w:hAnsi="黑体" w:cs="黑体" w:eastAsia="黑体"/>
                      <w:sz w:val="24"/>
                    </w:rPr>
                    <w:t>屏幕：≥6.69英寸</w:t>
                  </w:r>
                </w:p>
                <w:p>
                  <w:pPr>
                    <w:pStyle w:val="null3"/>
                    <w:jc w:val="left"/>
                  </w:pPr>
                  <w:r>
                    <w:rPr>
                      <w:rFonts w:ascii="黑体" w:hAnsi="黑体" w:cs="黑体" w:eastAsia="黑体"/>
                      <w:sz w:val="24"/>
                    </w:rPr>
                    <w:t>拍摄功能要求：后置摄像头1：5000万像素，后置摄像头2：1200万像素，后置摄像头3：1200万像素，前置摄像头：≥1300万像素</w:t>
                  </w:r>
                </w:p>
                <w:p>
                  <w:pPr>
                    <w:pStyle w:val="null3"/>
                    <w:jc w:val="left"/>
                  </w:pPr>
                  <w:r>
                    <w:rPr>
                      <w:rFonts w:ascii="黑体" w:hAnsi="黑体" w:cs="黑体" w:eastAsia="黑体"/>
                      <w:sz w:val="24"/>
                    </w:rPr>
                    <w:t xml:space="preserve">分辨率：最大可支持 ≥3840 × 2160像素           </w:t>
                  </w:r>
                </w:p>
                <w:p>
                  <w:pPr>
                    <w:pStyle w:val="null3"/>
                    <w:jc w:val="left"/>
                  </w:pPr>
                  <w:r>
                    <w:rPr>
                      <w:rFonts w:ascii="黑体" w:hAnsi="黑体" w:cs="黑体" w:eastAsia="黑体"/>
                      <w:sz w:val="24"/>
                    </w:rPr>
                    <w:t>电池：≥4750mAh  USB Type-C接口  50W快速充电</w:t>
                  </w:r>
                </w:p>
                <w:p>
                  <w:pPr>
                    <w:pStyle w:val="null3"/>
                    <w:jc w:val="left"/>
                  </w:pPr>
                  <w:r>
                    <w:rPr>
                      <w:rFonts w:ascii="黑体" w:hAnsi="黑体" w:cs="黑体" w:eastAsia="黑体"/>
                      <w:sz w:val="24"/>
                    </w:rPr>
                    <w:t xml:space="preserve">识别方式：屏幕指纹识别，面部识别             </w:t>
                  </w:r>
                </w:p>
                <w:p>
                  <w:pPr>
                    <w:pStyle w:val="null3"/>
                    <w:jc w:val="left"/>
                  </w:pPr>
                  <w:r>
                    <w:rPr>
                      <w:rFonts w:ascii="黑体" w:hAnsi="黑体" w:cs="黑体" w:eastAsia="黑体"/>
                      <w:sz w:val="24"/>
                    </w:rPr>
                    <w:t>视频彩铃要求：定制公安系统相关的视频彩铃，需经宜君县公安局审核合格。</w:t>
                  </w:r>
                </w:p>
                <w:p>
                  <w:pPr>
                    <w:pStyle w:val="null3"/>
                    <w:jc w:val="both"/>
                  </w:pPr>
                  <w:r>
                    <w:rPr>
                      <w:rFonts w:ascii="黑体" w:hAnsi="黑体" w:cs="黑体" w:eastAsia="黑体"/>
                      <w:sz w:val="24"/>
                    </w:rPr>
                    <w:t>其他：陕西公安定制警务系统及生活系统。要求双系统安全加固，兼顾工作和生活</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黑体" w:hAnsi="黑体" w:cs="黑体" w:eastAsia="黑体"/>
                      <w:sz w:val="24"/>
                    </w:rPr>
                    <w:t>119</w:t>
                  </w:r>
                </w:p>
              </w:tc>
              <w:tc>
                <w:tcPr>
                  <w:tcW w:type="dxa" w:w="20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rFonts w:ascii="黑体" w:hAnsi="黑体" w:cs="黑体" w:eastAsia="黑体"/>
                      <w:sz w:val="24"/>
                    </w:rPr>
                    <w:t>部</w:t>
                  </w:r>
                </w:p>
              </w:tc>
            </w:tr>
            <w:tr>
              <w:tc>
                <w:tcPr>
                  <w:tcW w:type="dxa" w:w="194"/>
                  <w:tcBorders>
                    <w:top w:val="none" w:color="000000" w:sz="4"/>
                    <w:left w:val="double" w:color="000000" w:sz="8"/>
                    <w:bottom w:val="single" w:color="000000" w:sz="4"/>
                    <w:right w:val="single" w:color="000000" w:sz="4"/>
                  </w:tcBorders>
                  <w:tcMar>
                    <w:top w:type="dxa" w:w="0"/>
                    <w:left w:type="dxa" w:w="60"/>
                    <w:bottom w:type="dxa" w:w="0"/>
                    <w:right w:type="dxa" w:w="60"/>
                  </w:tcMar>
                </w:tcPr>
                <w:p>
                  <w:pPr>
                    <w:pStyle w:val="null3"/>
                    <w:jc w:val="both"/>
                  </w:pPr>
                  <w:r>
                    <w:rPr>
                      <w:rFonts w:ascii="黑体" w:hAnsi="黑体" w:cs="黑体" w:eastAsia="黑体"/>
                      <w:color w:val="000000"/>
                      <w:sz w:val="24"/>
                    </w:rPr>
                    <w:t>2</w:t>
                  </w:r>
                </w:p>
              </w:tc>
              <w:tc>
                <w:tcPr>
                  <w:tcW w:type="dxa" w:w="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黑体" w:hAnsi="黑体" w:cs="黑体" w:eastAsia="黑体"/>
                      <w:sz w:val="24"/>
                    </w:rPr>
                    <w:t>移动警务通讯套餐</w:t>
                  </w:r>
                </w:p>
              </w:tc>
              <w:tc>
                <w:tcPr>
                  <w:tcW w:type="dxa" w:w="16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黑体" w:hAnsi="黑体" w:cs="黑体" w:eastAsia="黑体"/>
                      <w:color w:val="000000"/>
                      <w:sz w:val="24"/>
                    </w:rPr>
                    <w:t>套餐包含每月240G流量、2000分钟通话费，定制的视频彩铃。使用期两年。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黑体" w:hAnsi="黑体" w:cs="黑体" w:eastAsia="黑体"/>
                      <w:sz w:val="24"/>
                    </w:rPr>
                    <w:t>119</w:t>
                  </w:r>
                </w:p>
              </w:tc>
              <w:tc>
                <w:tcPr>
                  <w:tcW w:type="dxa" w:w="20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rFonts w:ascii="黑体" w:hAnsi="黑体" w:cs="黑体" w:eastAsia="黑体"/>
                      <w:sz w:val="24"/>
                    </w:rPr>
                    <w:t>套</w:t>
                  </w:r>
                </w:p>
              </w:tc>
            </w:tr>
            <w:tr>
              <w:tc>
                <w:tcPr>
                  <w:tcW w:type="dxa" w:w="194"/>
                  <w:tcBorders>
                    <w:top w:val="none" w:color="000000" w:sz="4"/>
                    <w:left w:val="double" w:color="000000" w:sz="8"/>
                    <w:bottom w:val="double" w:color="000000" w:sz="8"/>
                    <w:right w:val="single" w:color="000000" w:sz="4"/>
                  </w:tcBorders>
                  <w:tcMar>
                    <w:top w:type="dxa" w:w="0"/>
                    <w:left w:type="dxa" w:w="60"/>
                    <w:bottom w:type="dxa" w:w="0"/>
                    <w:right w:type="dxa" w:w="60"/>
                  </w:tcMar>
                </w:tcPr>
                <w:p>
                  <w:pPr>
                    <w:pStyle w:val="null3"/>
                    <w:jc w:val="both"/>
                  </w:pPr>
                  <w:r>
                    <w:rPr>
                      <w:rFonts w:ascii="黑体" w:hAnsi="黑体" w:cs="黑体" w:eastAsia="黑体"/>
                      <w:color w:val="000000"/>
                      <w:sz w:val="24"/>
                    </w:rPr>
                    <w:t>3</w:t>
                  </w:r>
                </w:p>
              </w:tc>
              <w:tc>
                <w:tcPr>
                  <w:tcW w:type="dxa" w:w="288"/>
                  <w:tcBorders>
                    <w:top w:val="none" w:color="000000" w:sz="4"/>
                    <w:left w:val="none" w:color="000000" w:sz="4"/>
                    <w:bottom w:val="double" w:color="000000" w:sz="8"/>
                    <w:right w:val="single" w:color="000000" w:sz="4"/>
                  </w:tcBorders>
                  <w:tcMar>
                    <w:top w:type="dxa" w:w="0"/>
                    <w:left w:type="dxa" w:w="60"/>
                    <w:bottom w:type="dxa" w:w="0"/>
                    <w:right w:type="dxa" w:w="60"/>
                  </w:tcMar>
                </w:tcPr>
                <w:p>
                  <w:pPr>
                    <w:pStyle w:val="null3"/>
                    <w:jc w:val="both"/>
                  </w:pPr>
                  <w:r>
                    <w:rPr>
                      <w:rFonts w:ascii="黑体" w:hAnsi="黑体" w:cs="黑体" w:eastAsia="黑体"/>
                      <w:sz w:val="24"/>
                    </w:rPr>
                    <w:t>移动警务通讯加密卡</w:t>
                  </w:r>
                </w:p>
              </w:tc>
              <w:tc>
                <w:tcPr>
                  <w:tcW w:type="dxa" w:w="1689"/>
                  <w:tcBorders>
                    <w:top w:val="none" w:color="000000" w:sz="4"/>
                    <w:left w:val="none" w:color="000000" w:sz="4"/>
                    <w:bottom w:val="double" w:color="000000" w:sz="8"/>
                    <w:right w:val="single" w:color="000000" w:sz="4"/>
                  </w:tcBorders>
                  <w:tcMar>
                    <w:top w:type="dxa" w:w="0"/>
                    <w:left w:type="dxa" w:w="60"/>
                    <w:bottom w:type="dxa" w:w="0"/>
                    <w:right w:type="dxa" w:w="60"/>
                  </w:tcMar>
                </w:tcPr>
                <w:p>
                  <w:pPr>
                    <w:pStyle w:val="null3"/>
                    <w:jc w:val="both"/>
                  </w:pPr>
                  <w:r>
                    <w:rPr>
                      <w:rFonts w:ascii="黑体" w:hAnsi="黑体" w:cs="黑体" w:eastAsia="黑体"/>
                      <w:sz w:val="24"/>
                    </w:rPr>
                    <w:t>移动警务通讯加密卡，与智能手机终端配套</w:t>
                  </w:r>
                </w:p>
              </w:tc>
              <w:tc>
                <w:tcPr>
                  <w:tcW w:type="dxa" w:w="169"/>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both"/>
                  </w:pPr>
                  <w:r>
                    <w:rPr>
                      <w:rFonts w:ascii="黑体" w:hAnsi="黑体" w:cs="黑体" w:eastAsia="黑体"/>
                      <w:sz w:val="24"/>
                    </w:rPr>
                    <w:t>25</w:t>
                  </w:r>
                </w:p>
              </w:tc>
              <w:tc>
                <w:tcPr>
                  <w:tcW w:type="dxa" w:w="20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both"/>
                  </w:pPr>
                  <w:r>
                    <w:rPr>
                      <w:rFonts w:ascii="黑体" w:hAnsi="黑体" w:cs="黑体" w:eastAsia="黑体"/>
                      <w:sz w:val="24"/>
                    </w:rPr>
                    <w:t>张</w:t>
                  </w:r>
                </w:p>
              </w:tc>
            </w:tr>
          </w:tbl>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售后服务要求:</w:t>
            </w:r>
          </w:p>
          <w:p>
            <w:pPr>
              <w:pStyle w:val="null3"/>
              <w:jc w:val="left"/>
            </w:pPr>
            <w:r>
              <w:rPr>
                <w:rFonts w:ascii="黑体" w:hAnsi="黑体" w:cs="黑体" w:eastAsia="黑体"/>
                <w:color w:val="000000"/>
                <w:sz w:val="21"/>
              </w:rPr>
              <w:t>1.</w:t>
            </w:r>
            <w:r>
              <w:rPr>
                <w:rFonts w:ascii="黑体" w:hAnsi="黑体" w:cs="黑体" w:eastAsia="黑体"/>
                <w:color w:val="000000"/>
                <w:sz w:val="21"/>
              </w:rPr>
              <w:t>质保期：警务通讯套餐（自开通之日起2年），其他保修期≥1年（如供应商承诺的质保期超过此规定，按供应商承诺实行）。</w:t>
            </w:r>
          </w:p>
          <w:p>
            <w:pPr>
              <w:pStyle w:val="null3"/>
              <w:jc w:val="left"/>
            </w:pPr>
            <w:r>
              <w:rPr>
                <w:rFonts w:ascii="黑体" w:hAnsi="黑体" w:cs="黑体" w:eastAsia="黑体"/>
                <w:color w:val="000000"/>
                <w:sz w:val="21"/>
              </w:rPr>
              <w:t>2.</w:t>
            </w:r>
            <w:r>
              <w:rPr>
                <w:rFonts w:ascii="黑体" w:hAnsi="黑体" w:cs="黑体" w:eastAsia="黑体"/>
                <w:color w:val="000000"/>
                <w:sz w:val="21"/>
              </w:rPr>
              <w:t>所有本项目所涉及的产品、材料质量必须符合国家有关规范和相关政策。所有材料及辅材必须是未使用过的新产品，质量优良、渠道正当，配置合理。并达到采购要求。若所供货物经产品质量检测机构检测认定质量不合格，造成的损失和后果由该供应商负全责。</w:t>
            </w:r>
          </w:p>
          <w:p>
            <w:pPr>
              <w:pStyle w:val="null3"/>
              <w:jc w:val="left"/>
            </w:pPr>
            <w:r>
              <w:rPr>
                <w:rFonts w:ascii="黑体" w:hAnsi="黑体" w:cs="黑体" w:eastAsia="黑体"/>
                <w:color w:val="000000"/>
                <w:sz w:val="21"/>
              </w:rPr>
              <w:t>3.</w:t>
            </w:r>
            <w:r>
              <w:rPr>
                <w:rFonts w:ascii="黑体" w:hAnsi="黑体" w:cs="黑体" w:eastAsia="黑体"/>
                <w:color w:val="000000"/>
                <w:sz w:val="21"/>
              </w:rPr>
              <w:t>质保期出现的质量问题由成交单位负责解决并承担所有费用。质保期后如需更换零部件，成交单位应以优惠价提供。</w:t>
            </w:r>
          </w:p>
          <w:p>
            <w:pPr>
              <w:pStyle w:val="null3"/>
            </w:pPr>
            <w:r>
              <w:rPr>
                <w:rFonts w:ascii="黑体" w:hAnsi="黑体" w:cs="黑体" w:eastAsia="黑体"/>
                <w:color w:val="000000"/>
                <w:sz w:val="21"/>
              </w:rPr>
              <w:t>4.</w:t>
            </w:r>
            <w:r>
              <w:rPr>
                <w:rFonts w:ascii="黑体" w:hAnsi="黑体" w:cs="黑体" w:eastAsia="黑体"/>
                <w:color w:val="000000"/>
                <w:sz w:val="21"/>
              </w:rPr>
              <w:t>要求供应商有专业的售后服务机构或售后维修人员，在保修期内和保修期外提供7*24小时热线服务，出现故障及时解决，保证4小时内解决故障，特殊紧急情况需要2小时内解决故障。</w:t>
            </w:r>
          </w:p>
        </w:tc>
      </w:tr>
      <w:tr>
        <w:tc>
          <w:tcPr>
            <w:tcW w:type="dxa" w:w="2769"/>
          </w:tcPr>
          <w:p/>
        </w:tc>
        <w:tc>
          <w:tcPr>
            <w:tcW w:type="dxa" w:w="2769"/>
          </w:tcPr>
          <w:p>
            <w:pPr>
              <w:pStyle w:val="null3"/>
            </w:pPr>
            <w:r>
              <w:rPr/>
              <w:t>3</w:t>
            </w:r>
          </w:p>
        </w:tc>
        <w:tc>
          <w:tcPr>
            <w:tcW w:type="dxa" w:w="2769"/>
          </w:tcPr>
          <w:p>
            <w:pPr>
              <w:pStyle w:val="null3"/>
            </w:pPr>
            <w:r>
              <w:rPr>
                <w:rFonts w:ascii="黑体" w:hAnsi="黑体" w:cs="黑体" w:eastAsia="黑体"/>
                <w:color w:val="000000"/>
                <w:sz w:val="21"/>
              </w:rPr>
              <w:t>其他要求:</w:t>
            </w:r>
          </w:p>
          <w:p>
            <w:pPr>
              <w:pStyle w:val="null3"/>
              <w:jc w:val="left"/>
            </w:pPr>
            <w:r>
              <w:rPr>
                <w:rFonts w:ascii="黑体" w:hAnsi="黑体" w:cs="黑体" w:eastAsia="黑体"/>
                <w:color w:val="000000"/>
                <w:sz w:val="21"/>
              </w:rPr>
              <w:t>1</w:t>
            </w:r>
            <w:r>
              <w:rPr>
                <w:rFonts w:ascii="黑体" w:hAnsi="黑体" w:cs="黑体" w:eastAsia="黑体"/>
                <w:color w:val="000000"/>
                <w:sz w:val="21"/>
              </w:rPr>
              <w:t>、包装：应采取防潮、防晒、防腐蚀、防震动及防止其它损坏的必要措施。成交人应承担由于其包装或防护措施不妥而引起的货物锈蚀、损坏和丢失等任何损失造成的责任或费用。</w:t>
            </w:r>
          </w:p>
          <w:p>
            <w:pPr>
              <w:pStyle w:val="null3"/>
              <w:jc w:val="left"/>
            </w:pPr>
            <w:r>
              <w:rPr>
                <w:rFonts w:ascii="黑体" w:hAnsi="黑体" w:cs="黑体" w:eastAsia="黑体"/>
                <w:color w:val="000000"/>
                <w:sz w:val="21"/>
              </w:rPr>
              <w:t>2</w:t>
            </w:r>
            <w:r>
              <w:rPr>
                <w:rFonts w:ascii="黑体" w:hAnsi="黑体" w:cs="黑体" w:eastAsia="黑体"/>
                <w:color w:val="000000"/>
                <w:sz w:val="21"/>
              </w:rPr>
              <w:t>、运输：选择运输风险小、运费低、距离短的运输路线。运杂费一次包死在总价内，包括生产厂到施工现场所需的装卸、运输（含保险费）、现场保管费、二次倒运费、吊装费等费用。</w:t>
            </w:r>
          </w:p>
          <w:p>
            <w:pPr>
              <w:pStyle w:val="null3"/>
            </w:pPr>
            <w:r>
              <w:rPr>
                <w:rFonts w:ascii="黑体" w:hAnsi="黑体" w:cs="黑体" w:eastAsia="黑体"/>
                <w:color w:val="000000"/>
                <w:sz w:val="21"/>
              </w:rPr>
              <w:t>3</w:t>
            </w:r>
            <w:r>
              <w:rPr>
                <w:rFonts w:ascii="黑体" w:hAnsi="黑体" w:cs="黑体" w:eastAsia="黑体"/>
                <w:color w:val="000000"/>
                <w:sz w:val="21"/>
              </w:rPr>
              <w:t>、安装、调试及培训：成交人负责所有产品、设备的安装、调试、培训工作，所有费用一次包死在总价内。每套产品、设备安装调试完毕后，成交人必须安排技术人员对使用单位的设备管理人员进行操作应用及维护保养方面的技能培训，使其掌握基本技能。</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合同签订之日起15日历天内</w:t>
      </w:r>
    </w:p>
    <w:p>
      <w:pPr>
        <w:pStyle w:val="null3"/>
        <w:outlineLvl w:val="3"/>
      </w:pPr>
      <w:r>
        <w:rPr>
          <w:b/>
          <w:sz w:val="24"/>
        </w:rPr>
        <w:t>3.4.2交货地点</w:t>
      </w:r>
    </w:p>
    <w:p>
      <w:pPr>
        <w:pStyle w:val="null3"/>
      </w:pPr>
      <w:r>
        <w:rPr/>
        <w:t>采购包1：</w:t>
      </w:r>
    </w:p>
    <w:p>
      <w:pPr>
        <w:pStyle w:val="null3"/>
      </w:pPr>
      <w:r>
        <w:rPr/>
        <w:t>宜君县公安局</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所有合同内容完成并经验收合格后，采用银行转账方式支付</w:t>
      </w:r>
      <w:r>
        <w:rPr/>
        <w:t xml:space="preserve"> ，达到付款条件起 </w:t>
      </w:r>
      <w:r>
        <w:rPr/>
        <w:t>7</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1.项目验收分初验和终验: 初验：货物到达交货地点后，由采购人根据合同对货物（产品）的名称、品牌、规格、型号、产地、数量进行检查，同时检查货物外观，是否有划痕或破损的，并做好相应记录。 终验：所有货物(产品)完毕交货，并可正常使用7个日历日后，由成交单位提请采购人组织对项目整体进行验收，合格后签发《终验合格单》。 2.验收依据及标准： （1）合同文本及合同补充文件（条款）。 （2）产品说明书或相关技术资料。 （3）采购文件。 （4）中标供应商的投标文件。 （5）合同货物清单。 （6）生产厂家的企业资质、检验报告、货物的执行标准等。</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警务通讯套餐（自开通之日起2年），其他保修期≥1年（如供应商承诺的质保时间超过文件要求的，按其承诺时间质保）。质保期内提供24小时服务，质保期间项目所含内容的一切质量问题及产品本身质量原因造成的直接经济损失应全部由供应商自行负责。成交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w:t>
      </w:r>
    </w:p>
    <w:p>
      <w:pPr>
        <w:pStyle w:val="null3"/>
        <w:outlineLvl w:val="3"/>
      </w:pPr>
      <w:r>
        <w:rPr>
          <w:b/>
          <w:sz w:val="24"/>
        </w:rPr>
        <w:t>3.4.8.违约责任与解决争议的方法</w:t>
      </w:r>
    </w:p>
    <w:p>
      <w:pPr>
        <w:pStyle w:val="null3"/>
      </w:pPr>
      <w:r>
        <w:rPr/>
        <w:t>采购包1：</w:t>
      </w:r>
    </w:p>
    <w:p>
      <w:pPr>
        <w:pStyle w:val="null3"/>
      </w:pPr>
      <w:r>
        <w:rPr/>
        <w:t>（1）按《中华人民共和国政府采购法》及实施条例、《中华人民共和国民法典》中的相关条款和本项目合同约定执行。 （2）未按合同要求提供产品和服务或不能满足技术要求，采购人有权终止合同，并对成交单位违约行为进行追究。</w:t>
      </w:r>
    </w:p>
    <w:p>
      <w:pPr>
        <w:pStyle w:val="null3"/>
        <w:outlineLvl w:val="2"/>
      </w:pPr>
      <w:r>
        <w:rPr>
          <w:b/>
          <w:sz w:val="28"/>
        </w:rPr>
        <w:t>3.5其他要求</w:t>
      </w:r>
    </w:p>
    <w:p>
      <w:pPr>
        <w:pStyle w:val="null3"/>
      </w:pPr>
      <w:r>
        <w:rPr/>
        <w:t>采购包1：</w:t>
      </w:r>
    </w:p>
    <w:p>
      <w:pPr>
        <w:pStyle w:val="null3"/>
      </w:pPr>
      <w:r>
        <w:rPr/>
        <w:t xml:space="preserve"> 1.线下需提交纸质投标文件正本壹份、副本贰份（正本、副本分开密封，封套须标明投标人名称、项目名称等）。若电子化交易平台文件与纸质投标文件不一致的，以电子化交易平台文件为准。 线下递交文件截止时间：同电子响应文件提交截止时间。线下递交文件地点：铜川市王益区红旗街正大国际新城C座502室。 2.落实的政府采购政策： (1)《政府采购促进中小企业发展管理办法》（财库〔2020〕46号）； (2)财政部司法部关于政府采购支持监狱企业发展有关问题的通知--财库〔2014〕68号； (3)《国务院办公厅关于建立政府强制采购节能产品制度的通知》--国办发〔2007〕51号； (4)《节能产品政府采购实施意见》--（财库[2004]185号）； (5)《环境标志产品政府采购实施的意见》--财库[2006]90号； (6)《财政部民政部中国残疾人联合会关于促进残疾人就业政府采购政策的通知》--财库[2017]141号； (7)《关于调整优化节能产品、环境标志产品政府采购执行机制的通知》（财库〔2019〕9号）； (8)《财政部农业农村部国家乡村振兴局关于运用政府采购政策支持乡村产业振兴的通知》（财库〔2021〕19号）； (9)陕西省财政厅关于印发《陕西省中小企业政府采购信用融资办法》（陕财办采〔2018〕23号）； (10)《陕西省财政厅关于加快推进我省中小企业政府采购信用融资工作的通知》（陕财办采〔2020〕15号）； (11)《关于进一步加大政府采购支持中小企业力度的通知》（财库〔2022〕19号）； (12)其他需要落实的政府采购政策。 3.根据《政府采购促进中小企业发展管理办法》（ 财库〔2020〕46号） 的有关规定，《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 订立劳动合同的从业人员。 在货物采购项目中，供应商提供的货物既有中小企业制造货物，也有大型企业制造货物的，不享受本办法规定的中小企业扶持政策。 以联合体形式参加政府采购活动，联合体各方均为中小企业的， 联合体视同中小企业。其中，联合体各方均为小微企业的， 联合体视同小微企业。本项目中对符合本办法规定的小微企业报价给予10%的扣除，用扣除后的价格参加评审。中小微企业参加政府采购活动，应当出具《政府采购促进中小企业发展管理办法》（财库【2020】46 号）规定的《中小企业声明函》，否则不享受相关中小企业扶持政策。 依照&lt;财政部、司法部关于政府采购支持监狱企业发展有关问题的通知&gt;（财库〔 2014〕68号）之规定， 在政府采购活动时，监狱企业视同小型、微型企业。 残疾人福利性单位视同小型、微型企业，享受预留份额、评审中价格扣除等政府采购促进中小企业发展的政府采购政策。 供应商为监狱企业的，应当提供由省级以上监狱管理局、戒毒管理局（含新疆生产建设兵团）出具的属于监狱企业的证明文件，未提供或出具证明文件的单位不符合要求的不视为小微企业。 符合条件的残疾人福利性单位在参加政府采购活动时，应当提供《财政部、民政部、中国残疾人联合会关于促进残疾人就业政府采购政策的通知》（财库〔2017〕141号）规定的《残疾人福利性单位声明函》，并对声明的真实性负责。供应商提供的《残疾人福利性单位声明函》与事实不符的，依照《政府采购法》第七十七条第一款的规定追究法律责任。 4.根据《陕西省财政厅关于进一步加大政府采购支持中小企业力度的通知》陕财办采〔2022〕5号规定，采购限额标准以上，200万元以下的货物和服务采购项目、400万元以下的工程采购项目，适宜由中小企业提供的，采购人应当专门面向中小企业采购。超过 200万元的货物和服务采购项目、超过400万元的工程采购项目中适宜由中小企业提供的，面向中小企业的预留份额今年阶段性提高至40%以上，其中预留给小微企业比例不低于70%。 5.企业规模划分标准按《工业和信息化部、国家统计局、国家发展和改革委员会、财政部关于印发&lt;中小企业划型标准规定&gt;的通知》（工信部联企业【2011】 300 号）文件规定标准确认）。</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供应商资格证明文件</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具有独立承担民事责任的能力，提供法人或者其他组织的营业执照等证明文件， 自然人参与的提供其身份证（分公司可以参与投标）</w:t>
            </w:r>
          </w:p>
        </w:tc>
        <w:tc>
          <w:tcPr>
            <w:tcW w:type="dxa" w:w="1661"/>
          </w:tcPr>
          <w:p>
            <w:pPr>
              <w:pStyle w:val="null3"/>
            </w:pPr>
            <w:r>
              <w:rPr/>
              <w:t>供应商资格证明文件 其他供应商认为需要提供的资料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提供2022或2023任一年度经审计的财务审计报告(2024年成立的公司提供成立后企业的资产负债表和利润表），或提供近一年内基本存款账户开户银行开具的资信证明.</w:t>
            </w:r>
          </w:p>
        </w:tc>
        <w:tc>
          <w:tcPr>
            <w:tcW w:type="dxa" w:w="1661"/>
          </w:tcPr>
          <w:p>
            <w:pPr>
              <w:pStyle w:val="null3"/>
            </w:pPr>
            <w:r>
              <w:rPr/>
              <w:t>供应商资格证明文件 其他供应商认为需要提供的资料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提供2023年04月01日至今任意一个月的缴纳税收的证明材料,(依法免税的单位应提供相关证明材料)</w:t>
            </w:r>
          </w:p>
        </w:tc>
        <w:tc>
          <w:tcPr>
            <w:tcW w:type="dxa" w:w="1661"/>
          </w:tcPr>
          <w:p>
            <w:pPr>
              <w:pStyle w:val="null3"/>
            </w:pPr>
            <w:r>
              <w:rPr/>
              <w:t>供应商资格证明文件 其他供应商认为需要提供的资料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提供2023年04月01日至今任意一个月的依法缴纳社会保障资金的证明材料（依法不需要缴纳社会保障资金的单位应提供相关证明材料）</w:t>
            </w:r>
          </w:p>
        </w:tc>
        <w:tc>
          <w:tcPr>
            <w:tcW w:type="dxa" w:w="1661"/>
          </w:tcPr>
          <w:p>
            <w:pPr>
              <w:pStyle w:val="null3"/>
            </w:pPr>
            <w:r>
              <w:rPr/>
              <w:t>供应商资格证明文件 其他供应商认为需要提供的资料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t>供应商资格证明文件 其他供应商认为需要提供的资料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出具具备履行合同所必需的设备和专业技术能力的书面声明</w:t>
            </w:r>
          </w:p>
        </w:tc>
        <w:tc>
          <w:tcPr>
            <w:tcW w:type="dxa" w:w="1661"/>
          </w:tcPr>
          <w:p>
            <w:pPr>
              <w:pStyle w:val="null3"/>
            </w:pPr>
            <w:r>
              <w:rPr/>
              <w:t>业绩 供应商资格证明文件 其他供应商认为需要提供的资料</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供应商资格证明文件 其他供应商认为需要提供的资料</w:t>
            </w:r>
          </w:p>
        </w:tc>
      </w:tr>
      <w:tr>
        <w:tc>
          <w:tcPr>
            <w:tcW w:type="dxa" w:w="831"/>
          </w:tcPr>
          <w:p>
            <w:pPr>
              <w:pStyle w:val="null3"/>
            </w:pPr>
            <w:r>
              <w:rPr/>
              <w:t>8</w:t>
            </w:r>
          </w:p>
        </w:tc>
        <w:tc>
          <w:tcPr>
            <w:tcW w:type="dxa" w:w="2492"/>
          </w:tcPr>
          <w:p>
            <w:pPr>
              <w:pStyle w:val="null3"/>
            </w:pPr>
            <w:r>
              <w:rPr/>
              <w:t>法定代表人/负责人身份证明或法定代表人/负责人授权委托书</w:t>
            </w:r>
          </w:p>
        </w:tc>
        <w:tc>
          <w:tcPr>
            <w:tcW w:type="dxa" w:w="3322"/>
          </w:tcPr>
          <w:p>
            <w:pPr>
              <w:pStyle w:val="null3"/>
            </w:pPr>
            <w:r>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t>供应商资格证明文件 其他供应商认为需要提供的资料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本项目不专门面向中小企业采购</w:t>
            </w:r>
          </w:p>
        </w:tc>
        <w:tc>
          <w:tcPr>
            <w:tcW w:type="dxa" w:w="3322"/>
          </w:tcPr>
          <w:p>
            <w:pPr>
              <w:pStyle w:val="null3"/>
            </w:pPr>
            <w:r>
              <w:rPr/>
              <w:t>本项目不专门面向中小企业采购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产品技术参数表 商务应答表 标的清单 报价表 项目实施方案 响应函 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产品技术参数表 商务应答表 标的清单 报价表 项目实施方案 响应函 供应商资格证明文件</w:t>
            </w:r>
          </w:p>
        </w:tc>
      </w:tr>
      <w:tr>
        <w:tc>
          <w:tcPr>
            <w:tcW w:type="dxa" w:w="831"/>
          </w:tcPr>
          <w:p>
            <w:pPr>
              <w:pStyle w:val="null3"/>
            </w:pPr>
            <w:r>
              <w:rPr/>
              <w:t>4</w:t>
            </w:r>
          </w:p>
        </w:tc>
        <w:tc>
          <w:tcPr>
            <w:tcW w:type="dxa" w:w="2492"/>
          </w:tcPr>
          <w:p>
            <w:pPr>
              <w:pStyle w:val="null3"/>
            </w:pPr>
            <w:r>
              <w:rPr/>
              <w:t>响应文件进行初步审查</w:t>
            </w:r>
          </w:p>
        </w:tc>
        <w:tc>
          <w:tcPr>
            <w:tcW w:type="dxa" w:w="3322"/>
          </w:tcPr>
          <w:p>
            <w:pPr>
              <w:pStyle w:val="null3"/>
            </w:pPr>
            <w:r>
              <w:rPr/>
              <w:t xml:space="preserve"> (1)按照采购文件规定份数提交； (2)按照采购文件规定要求签署、盖章； (3)响应有效期满足采购文件要求； (4)投标报价（每轮）不得超过采购文件中规定的预算金额和最高限价； (5)满足采购文件要求的服务期限、 服务地点、支付约定的实质性条款要求； (6)响应文件不含有采购人不能接受的附加条件； (7)不存在法律、法规和单一来源采购文件规定的其他无效响应情形。</w:t>
            </w:r>
          </w:p>
        </w:tc>
        <w:tc>
          <w:tcPr>
            <w:tcW w:type="dxa" w:w="1661"/>
          </w:tcPr>
          <w:p>
            <w:pPr>
              <w:pStyle w:val="null3"/>
            </w:pPr>
            <w:r>
              <w:rPr/>
              <w:t>响应文件封面 产品技术参数表 业绩 商务应答表 标的清单 报价表 项目实施方案 响应函 供应商资格证明文件 其他供应商认为需要提供的资料</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详见附件：项目实施方案</w:t>
      </w:r>
    </w:p>
    <w:p>
      <w:pPr>
        <w:pStyle w:val="null3"/>
        <w:ind w:firstLine="960"/>
      </w:pPr>
      <w:r>
        <w:rPr/>
        <w:t>详见附件：供应商资格证明文件</w:t>
      </w:r>
    </w:p>
    <w:p>
      <w:pPr>
        <w:pStyle w:val="null3"/>
        <w:ind w:firstLine="960"/>
      </w:pPr>
      <w:r>
        <w:rPr/>
        <w:t>详见附件：业绩</w:t>
      </w:r>
    </w:p>
    <w:p>
      <w:pPr>
        <w:pStyle w:val="null3"/>
        <w:ind w:firstLine="960"/>
      </w:pPr>
      <w:r>
        <w:rPr/>
        <w:t>详见附件：其他供应商认为需要提供的资料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详见附件：合同条款i.docx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