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版本号：240904002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宜君县2025年雷源河蔡道河村至九寺村段防洪整治工程及石川河栓马村段山洪沟治理工程勘察设计</w:t>
      </w:r>
    </w:p>
    <w:p>
      <w:pPr>
        <w:pStyle w:val="null3"/>
        <w:jc w:val="center"/>
        <w:outlineLvl w:val="2"/>
      </w:pPr>
      <w:r>
        <w:rPr>
          <w:sz w:val="28"/>
          <w:b/>
        </w:rPr>
        <w:t>采购项目编号：</w:t>
      </w:r>
      <w:r>
        <w:rPr>
          <w:sz w:val="28"/>
          <w:b/>
        </w:rPr>
        <w:t>YC24101033(ZBQ)</w:t>
      </w:r>
      <w:r>
        <w:br/>
      </w:r>
      <w:r>
        <w:br/>
      </w:r>
      <w:r>
        <w:br/>
      </w:r>
    </w:p>
    <w:p>
      <w:pPr>
        <w:pStyle w:val="null3"/>
        <w:jc w:val="center"/>
        <w:outlineLvl w:val="2"/>
      </w:pPr>
      <w:r>
        <w:rPr>
          <w:sz w:val="28"/>
          <w:b/>
        </w:rPr>
        <w:t>宜君县水务局</w:t>
      </w:r>
    </w:p>
    <w:p>
      <w:pPr>
        <w:pStyle w:val="null3"/>
        <w:jc w:val="center"/>
        <w:outlineLvl w:val="2"/>
      </w:pPr>
      <w:r>
        <w:rPr>
          <w:sz w:val="28"/>
          <w:b/>
        </w:rPr>
        <w:t>亿诚建设项目管理有限公司</w:t>
      </w:r>
      <w:r>
        <w:rPr>
          <w:sz w:val="28"/>
          <w:b/>
        </w:rPr>
        <w:t>共同编制</w:t>
      </w:r>
    </w:p>
    <w:p>
      <w:pPr>
        <w:pStyle w:val="null3"/>
        <w:jc w:val="center"/>
        <w:outlineLvl w:val="2"/>
      </w:pPr>
      <w:r>
        <w:rPr>
          <w:sz w:val="28"/>
          <w:b/>
        </w:rPr>
        <w:t>2024年09月04日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亿诚建设项目管理有限公司</w:t>
      </w:r>
      <w:r>
        <w:rPr/>
        <w:t>（以下简称“代理机构”）受</w:t>
      </w:r>
      <w:r>
        <w:rPr/>
        <w:t>宜君县水务局</w:t>
      </w:r>
      <w:r>
        <w:rPr/>
        <w:t>委托，拟对</w:t>
      </w:r>
      <w:r>
        <w:rPr/>
        <w:t>宜君县2025年雷源河蔡道河村至九寺村段防洪整治工程及石川河栓马村段山洪沟治理工程勘察设计</w:t>
      </w:r>
      <w:r>
        <w:rPr/>
        <w:t>进行国内公开招标，兹邀请符合本次招标要求的供应商参加投标。</w:t>
      </w:r>
    </w:p>
    <w:p>
      <w:pPr>
        <w:pStyle w:val="null3"/>
        <w:outlineLvl w:val="2"/>
      </w:pPr>
      <w:r>
        <w:rPr>
          <w:sz w:val="28"/>
          <w:b/>
        </w:rPr>
        <w:t>一、采购项目编号：</w:t>
      </w:r>
      <w:r>
        <w:rPr>
          <w:sz w:val="28"/>
          <w:b/>
        </w:rPr>
        <w:t>YC24101033(ZBQ)</w:t>
      </w:r>
    </w:p>
    <w:p>
      <w:pPr>
        <w:pStyle w:val="null3"/>
        <w:outlineLvl w:val="2"/>
      </w:pPr>
      <w:r>
        <w:rPr>
          <w:sz w:val="28"/>
          <w:b/>
        </w:rPr>
        <w:t>二、采购项目名称：</w:t>
      </w:r>
      <w:r>
        <w:rPr>
          <w:sz w:val="28"/>
          <w:b/>
        </w:rPr>
        <w:t>宜君县2025年雷源河蔡道河村至九寺村段防洪整治工程及石川河栓马村段山洪沟治理工程勘察设计</w:t>
      </w:r>
    </w:p>
    <w:p>
      <w:pPr>
        <w:pStyle w:val="null3"/>
        <w:outlineLvl w:val="2"/>
      </w:pPr>
      <w:r>
        <w:rPr>
          <w:sz w:val="28"/>
          <w:b/>
        </w:rPr>
        <w:t>三、招标项目简介</w:t>
      </w:r>
    </w:p>
    <w:p>
      <w:pPr>
        <w:pStyle w:val="null3"/>
        <w:ind w:firstLine="480"/>
      </w:pPr>
      <w:r>
        <w:rPr/>
        <w:t>（一）宜君县尧生镇雷塬河蔡道河村至九寺村段防洪整治工程：工程共治理河道5.20km，共新建防洪堤4.656km，其中左岸新建防洪堤1983m，右岸新建防洪堤2673m。 （二）宜君县尧生镇石川河栓马村段山洪沟治理工程工程共治理河道5.7km，共新建防洪2.38km，其中左岸新建防洪堤2058m，右岸新建防洪堤322m。</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采购包1（宜君县2025年雷源河蔡道河村至九寺村段防洪整治工程及石川河栓马村段山洪沟治理工程勘察设计）：属于专门面向中小企业采购。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1、法定代表人授权委托书：法定代表人授权委托书（附法定代表人、被授权人身份证复印件并加盖公章）和被授权人身份证原件。（法定代表人参加投标只须提供法定代表人身份证明书及身份证原件）；</w:t>
      </w:r>
    </w:p>
    <w:p>
      <w:pPr>
        <w:pStyle w:val="null3"/>
      </w:pPr>
      <w:r>
        <w:rPr/>
        <w:t>2、企业资质：供应商须同时具备下列资质： （1）具备水利行业（河道整治）专业工程设计乙级及以上资质或水利行业工程设计乙级及以上资质或工程设计综合资质甲级； （2）具备工程勘察（工程测量）专业乙级及以上资质或工程勘察（水文地质勘察）专业乙级及以上资质或工程勘察综合资质。</w:t>
      </w:r>
    </w:p>
    <w:p>
      <w:pPr>
        <w:pStyle w:val="null3"/>
      </w:pPr>
      <w:r>
        <w:rPr/>
        <w:t>3、项目负责人要求：拟派项目负责人须具备注册土木工程师（水利水电工程）资格或水利相关专业中级及以上工程师证书；</w:t>
      </w:r>
    </w:p>
    <w:p>
      <w:pPr>
        <w:pStyle w:val="null3"/>
      </w:pPr>
      <w:r>
        <w:rPr/>
        <w:t>4、企业信誉截图：供应商不得为“信用中国”网站（www.creditchina.gov.cn）中列入失信 被执行人和税收违法黑名单的供应商，不得为中国政府采购网（www.ccgp.gov.cn）政府采购严重违法失信行为记录名单中被财政部门禁止参加政府采购活动的供应商；</w:t>
      </w:r>
    </w:p>
    <w:p>
      <w:pPr>
        <w:pStyle w:val="null3"/>
      </w:pPr>
      <w:r>
        <w:rPr/>
        <w:t>5、供应商关联关系声明：单位负责人为同一人或者存在直接控股、管理关系的不同供应商，不得参加同一合同项下的政府采购活动；</w:t>
      </w:r>
    </w:p>
    <w:p>
      <w:pPr>
        <w:pStyle w:val="null3"/>
      </w:pPr>
      <w:r>
        <w:rPr/>
        <w:t>6、非联合体声明：本次项目不接受联合体；（提供相关承诺）</w:t>
      </w:r>
    </w:p>
    <w:p>
      <w:pPr>
        <w:pStyle w:val="null3"/>
      </w:pPr>
      <w:r>
        <w:rPr/>
        <w:t>7、中小企业申明：本项目专门面向中小企业采购；（提供中小企业申明函）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宜君县水务局</w:t>
      </w:r>
    </w:p>
    <w:p>
      <w:pPr>
        <w:pStyle w:val="null3"/>
      </w:pPr>
      <w:r>
        <w:rPr/>
        <w:t xml:space="preserve"> 地址： </w:t>
      </w:r>
      <w:r>
        <w:rPr/>
        <w:t>宜君县政府大楼</w:t>
      </w:r>
    </w:p>
    <w:p>
      <w:pPr>
        <w:pStyle w:val="null3"/>
      </w:pPr>
      <w:r>
        <w:rPr/>
        <w:t xml:space="preserve"> 邮编： </w:t>
      </w:r>
      <w:r>
        <w:rPr/>
        <w:t>/</w:t>
      </w:r>
    </w:p>
    <w:p>
      <w:pPr>
        <w:pStyle w:val="null3"/>
      </w:pPr>
      <w:r>
        <w:rPr/>
        <w:t xml:space="preserve"> 联系人： </w:t>
      </w:r>
      <w:r>
        <w:rPr/>
        <w:t>张振飞</w:t>
      </w:r>
    </w:p>
    <w:p>
      <w:pPr>
        <w:pStyle w:val="null3"/>
      </w:pPr>
      <w:r>
        <w:rPr/>
        <w:t xml:space="preserve"> 联系电话： </w:t>
      </w:r>
      <w:r>
        <w:rPr/>
        <w:t>13992991382</w:t>
      </w:r>
    </w:p>
    <w:p>
      <w:pPr>
        <w:pStyle w:val="null3"/>
        <w:outlineLvl w:val="2"/>
      </w:pPr>
      <w:r>
        <w:rPr>
          <w:sz w:val="28"/>
          <w:b/>
        </w:rPr>
        <w:t>代理机构：</w:t>
      </w:r>
      <w:r>
        <w:rPr>
          <w:sz w:val="28"/>
          <w:b/>
        </w:rPr>
        <w:t>亿诚建设项目管理有限公司</w:t>
      </w:r>
    </w:p>
    <w:p>
      <w:pPr>
        <w:pStyle w:val="null3"/>
      </w:pPr>
      <w:r>
        <w:rPr/>
        <w:t xml:space="preserve"> 地址： </w:t>
      </w:r>
      <w:r>
        <w:rPr/>
        <w:t>陕西省西安市雁塔区:陕西省西安市高新区丈八五路高科尚都ONE尚城A座10F</w:t>
      </w:r>
    </w:p>
    <w:p>
      <w:pPr>
        <w:pStyle w:val="null3"/>
      </w:pPr>
      <w:r>
        <w:rPr/>
        <w:t xml:space="preserve"> 邮编： </w:t>
      </w:r>
      <w:r>
        <w:rPr/>
        <w:t>710000</w:t>
      </w:r>
    </w:p>
    <w:p>
      <w:pPr>
        <w:pStyle w:val="null3"/>
      </w:pPr>
      <w:r>
        <w:rPr/>
        <w:t xml:space="preserve"> 联系人： </w:t>
      </w:r>
      <w:r>
        <w:rPr/>
        <w:t>杜燕燕</w:t>
      </w:r>
    </w:p>
    <w:p>
      <w:pPr>
        <w:pStyle w:val="null3"/>
      </w:pPr>
      <w:r>
        <w:rPr/>
        <w:t xml:space="preserve"> 联系电话： </w:t>
      </w:r>
      <w:r>
        <w:rPr/>
        <w:t>13991227376</w:t>
      </w:r>
    </w:p>
    <w:p>
      <w:pPr>
        <w:pStyle w:val="null3"/>
        <w:outlineLvl w:val="2"/>
      </w:pPr>
      <w:r>
        <w:rPr>
          <w:sz w:val="28"/>
          <w:b/>
        </w:rPr>
        <w:t>采购监督机构：</w:t>
      </w:r>
      <w:r>
        <w:rPr>
          <w:sz w:val="28"/>
          <w:b/>
        </w:rPr>
        <w:t>宜君县政府采购管理股</w:t>
      </w:r>
    </w:p>
    <w:p>
      <w:pPr>
        <w:pStyle w:val="null3"/>
        <w:ind w:firstLine="480"/>
      </w:pPr>
      <w:r>
        <w:rPr/>
        <w:t>联系人：</w:t>
      </w:r>
      <w:r>
        <w:rPr/>
        <w:t>蔡富春</w:t>
      </w:r>
    </w:p>
    <w:p>
      <w:pPr>
        <w:pStyle w:val="null3"/>
        <w:ind w:firstLine="480"/>
      </w:pPr>
      <w:r>
        <w:rPr/>
        <w:t>联系电话：</w:t>
      </w:r>
      <w:r>
        <w:rPr/>
        <w:t>0919-5996058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代理服务费收费标准：：代理服务费参照国家计委颁布的《招标代理服务收费管理暂行办法》（计价格[2002]1980号）中的收费标准计取。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宜君县水务局</w:t>
      </w:r>
      <w:r>
        <w:rPr/>
        <w:t>和</w:t>
      </w:r>
      <w:r>
        <w:rPr/>
        <w:t>亿诚建设项目管理有限公司</w:t>
      </w:r>
      <w:r>
        <w:rPr/>
        <w:t>享有。对招标文件中供应商参加本次政府采购活动应当具备的条件，招标项目技术、服务、商务及其他要求，评标细则及标准由</w:t>
      </w:r>
      <w:r>
        <w:rPr/>
        <w:t>宜君县水务局</w:t>
      </w:r>
      <w:r>
        <w:rPr/>
        <w:t>负责解释。除上述招标文件内容，其他内容由</w:t>
      </w:r>
      <w:r>
        <w:rPr/>
        <w:t>亿诚建设项目管理有限公司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宜君县水务局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亿诚建设项目管理有限公司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详见采购文件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亿诚建设项目管理有限公司</w:t>
      </w:r>
      <w:r>
        <w:rPr/>
        <w:t xml:space="preserve"> 负责答复；供应商对除采购需求外的采购文件的询问、质疑由</w:t>
      </w:r>
      <w:r>
        <w:rPr/>
        <w:t>亿诚建设项目管理有限公司</w:t>
      </w:r>
      <w:r>
        <w:rPr/>
        <w:t xml:space="preserve"> 负责答复；供应商对采购过程、采购结果的询问、质疑由 </w:t>
      </w:r>
      <w:r>
        <w:rPr/>
        <w:t>亿诚建设项目管理有限公司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联系人：杜燕燕</w:t>
      </w:r>
    </w:p>
    <w:p>
      <w:pPr>
        <w:pStyle w:val="null3"/>
      </w:pPr>
      <w:r>
        <w:rPr/>
        <w:t>联系电话：13991227376</w:t>
      </w:r>
    </w:p>
    <w:p>
      <w:pPr>
        <w:pStyle w:val="null3"/>
      </w:pPr>
      <w:r>
        <w:rPr/>
        <w:t>地址：西安市高新区丈八五路高科尚都one尚城A座10F</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本项目主要包括：（一）宜君县尧生镇雷塬河蔡道河村至九寺村段防洪整治工程：工程共治理河道5.20km，共新建防洪堤4.656km，其中左岸新建防洪堤1983m，右岸新建防洪堤2673m。 （二）宜君县尧生镇石川河栓马村段山洪沟治理工程工程共治理河道5.7km，共新建防洪堤2.38km，其中左岸新建防洪堤2058m，右岸新建防洪堤322m。</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1,700,000.00</w:t>
      </w:r>
    </w:p>
    <w:p>
      <w:pPr>
        <w:pStyle w:val="null3"/>
      </w:pPr>
      <w:r>
        <w:rPr/>
        <w:t>采购包最高限价（元）: 1,700,000.00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工程设计服务</w:t>
            </w:r>
          </w:p>
        </w:tc>
        <w:tc>
          <w:tcPr>
            <w:tcW w:type="dxa" w:w="831"/>
          </w:tcPr>
          <w:p>
            <w:pPr>
              <w:pStyle w:val="null3"/>
              <w:jc w:val="right"/>
            </w:pPr>
            <w:r>
              <w:rPr/>
              <w:t>1.00</w:t>
            </w:r>
          </w:p>
        </w:tc>
        <w:tc>
          <w:tcPr>
            <w:tcW w:type="dxa" w:w="831"/>
          </w:tcPr>
          <w:p>
            <w:pPr>
              <w:pStyle w:val="null3"/>
              <w:jc w:val="right"/>
            </w:pPr>
            <w:r>
              <w:rPr/>
              <w:t>1,700,000.00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一、</w:t>
            </w:r>
            <w:r>
              <w:rPr>
                <w:rFonts w:ascii="宋体" w:hAnsi="宋体" w:cs="宋体" w:eastAsia="宋体"/>
                <w:sz w:val="24"/>
              </w:rPr>
              <w:t>石川河栓马村段山洪沟治理工程</w:t>
            </w:r>
            <w:r>
              <w:rPr>
                <w:rFonts w:ascii="宋体" w:hAnsi="宋体" w:cs="宋体" w:eastAsia="宋体"/>
                <w:sz w:val="24"/>
              </w:rPr>
              <w:t>标段</w:t>
            </w:r>
          </w:p>
          <w:p>
            <w:pPr>
              <w:pStyle w:val="null3"/>
              <w:ind w:firstLine="480"/>
              <w:jc w:val="both"/>
            </w:pPr>
            <w:r>
              <w:rPr>
                <w:rFonts w:ascii="宋体" w:hAnsi="宋体" w:cs="宋体" w:eastAsia="宋体"/>
                <w:sz w:val="24"/>
              </w:rPr>
              <w:t>一</w:t>
            </w:r>
            <w:r>
              <w:rPr>
                <w:rFonts w:ascii="宋体" w:hAnsi="宋体" w:cs="宋体" w:eastAsia="宋体"/>
                <w:sz w:val="24"/>
              </w:rPr>
              <w:t>）</w:t>
            </w:r>
            <w:r>
              <w:rPr>
                <w:rFonts w:ascii="宋体" w:hAnsi="宋体" w:cs="宋体" w:eastAsia="宋体"/>
                <w:sz w:val="24"/>
              </w:rPr>
              <w:t>、</w:t>
            </w:r>
            <w:r>
              <w:rPr>
                <w:rFonts w:ascii="宋体" w:hAnsi="宋体" w:cs="宋体" w:eastAsia="宋体"/>
                <w:sz w:val="24"/>
              </w:rPr>
              <w:t>项目概况</w:t>
            </w:r>
          </w:p>
          <w:p>
            <w:pPr>
              <w:pStyle w:val="null3"/>
              <w:ind w:firstLine="480"/>
              <w:jc w:val="both"/>
            </w:pPr>
            <w:r>
              <w:rPr>
                <w:rFonts w:ascii="宋体" w:hAnsi="宋体" w:cs="宋体" w:eastAsia="宋体"/>
                <w:sz w:val="24"/>
              </w:rPr>
              <w:t>主要保护对象为石川河栓马村段沿线人口</w:t>
            </w:r>
            <w:r>
              <w:rPr>
                <w:rFonts w:ascii="&quot;times new roman&quot;" w:hAnsi="&quot;times new roman&quot;" w:cs="&quot;times new roman&quot;" w:eastAsia="&quot;times new roman&quot;"/>
                <w:sz w:val="24"/>
              </w:rPr>
              <w:t>226</w:t>
            </w:r>
            <w:r>
              <w:rPr>
                <w:rFonts w:ascii="宋体" w:hAnsi="宋体" w:cs="宋体" w:eastAsia="宋体"/>
                <w:sz w:val="24"/>
              </w:rPr>
              <w:t>人，耕地</w:t>
            </w:r>
            <w:r>
              <w:rPr>
                <w:rFonts w:ascii="times new roman, times, serif" w:hAnsi="times new roman, times, serif" w:cs="times new roman, times, serif" w:eastAsia="times new roman, times, serif"/>
                <w:sz w:val="24"/>
              </w:rPr>
              <w:t>1115</w:t>
            </w:r>
            <w:r>
              <w:rPr>
                <w:rFonts w:ascii="宋体" w:hAnsi="宋体" w:cs="宋体" w:eastAsia="宋体"/>
                <w:sz w:val="24"/>
              </w:rPr>
              <w:t>亩。依据《防洪标准》</w:t>
            </w:r>
            <w:r>
              <w:rPr>
                <w:rFonts w:ascii="times new roman, times, serif" w:hAnsi="times new roman, times, serif" w:cs="times new roman, times, serif" w:eastAsia="times new roman, times, serif"/>
                <w:sz w:val="24"/>
              </w:rPr>
              <w:t>(GB50201-2014)</w:t>
            </w:r>
            <w:r>
              <w:rPr>
                <w:rFonts w:ascii="宋体" w:hAnsi="宋体" w:cs="宋体" w:eastAsia="宋体"/>
                <w:sz w:val="24"/>
              </w:rPr>
              <w:t>，确定该段防洪</w:t>
            </w:r>
            <w:r>
              <w:rPr>
                <w:rFonts w:ascii="宋体" w:hAnsi="宋体" w:cs="宋体" w:eastAsia="宋体"/>
                <w:sz w:val="24"/>
              </w:rPr>
              <w:t>标</w:t>
            </w:r>
            <w:r>
              <w:rPr>
                <w:rFonts w:ascii="宋体" w:hAnsi="宋体" w:cs="宋体" w:eastAsia="宋体"/>
                <w:sz w:val="24"/>
              </w:rPr>
              <w:t>准为防</w:t>
            </w:r>
            <w:r>
              <w:rPr>
                <w:rFonts w:ascii="宋体" w:hAnsi="宋体" w:cs="宋体" w:eastAsia="宋体"/>
                <w:sz w:val="24"/>
              </w:rPr>
              <w:t>冲</w:t>
            </w:r>
            <w:r>
              <w:rPr>
                <w:rFonts w:ascii="宋体" w:hAnsi="宋体" w:cs="宋体" w:eastAsia="宋体"/>
                <w:sz w:val="24"/>
              </w:rPr>
              <w:t>不防淹，防</w:t>
            </w:r>
            <w:r>
              <w:rPr>
                <w:rFonts w:ascii="宋体" w:hAnsi="宋体" w:cs="宋体" w:eastAsia="宋体"/>
                <w:sz w:val="24"/>
              </w:rPr>
              <w:t>冲</w:t>
            </w:r>
            <w:r>
              <w:rPr>
                <w:rFonts w:ascii="宋体" w:hAnsi="宋体" w:cs="宋体" w:eastAsia="宋体"/>
                <w:sz w:val="24"/>
              </w:rPr>
              <w:t>标准按</w:t>
            </w:r>
            <w:r>
              <w:rPr>
                <w:rFonts w:ascii="times new roman, times, serif" w:hAnsi="times new roman, times, serif" w:cs="times new roman, times, serif" w:eastAsia="times new roman, times, serif"/>
                <w:sz w:val="24"/>
              </w:rPr>
              <w:t>10</w:t>
            </w:r>
            <w:r>
              <w:rPr>
                <w:rFonts w:ascii="宋体" w:hAnsi="宋体" w:cs="宋体" w:eastAsia="宋体"/>
                <w:sz w:val="24"/>
              </w:rPr>
              <w:t>年一遇设置</w:t>
            </w:r>
            <w:r>
              <w:rPr>
                <w:rFonts w:ascii="宋体" w:hAnsi="宋体" w:cs="宋体" w:eastAsia="宋体"/>
                <w:sz w:val="24"/>
              </w:rPr>
              <w:t>；</w:t>
            </w:r>
            <w:r>
              <w:rPr>
                <w:rFonts w:ascii="宋体" w:hAnsi="宋体" w:cs="宋体" w:eastAsia="宋体"/>
                <w:sz w:val="24"/>
              </w:rPr>
              <w:t>护岸级别依据《堤防工程设计规范》</w:t>
            </w:r>
            <w:r>
              <w:rPr>
                <w:rFonts w:ascii="&quot;times new roman&quot;" w:hAnsi="&quot;times new roman&quot;" w:cs="&quot;times new roman&quot;" w:eastAsia="&quot;times new roman&quot;"/>
                <w:sz w:val="24"/>
              </w:rPr>
              <w:t>(GB50286-2013)</w:t>
            </w:r>
            <w:r>
              <w:rPr>
                <w:rFonts w:ascii="宋体" w:hAnsi="宋体" w:cs="宋体" w:eastAsia="宋体"/>
                <w:sz w:val="24"/>
              </w:rPr>
              <w:t>，确定工程级别为</w:t>
            </w:r>
            <w:r>
              <w:rPr>
                <w:rFonts w:ascii="times new roman, times, serif" w:hAnsi="times new roman, times, serif" w:cs="times new roman, times, serif" w:eastAsia="times new roman, times, serif"/>
                <w:sz w:val="24"/>
              </w:rPr>
              <w:t>5</w:t>
            </w:r>
            <w:r>
              <w:rPr>
                <w:rFonts w:ascii="宋体" w:hAnsi="宋体" w:cs="宋体" w:eastAsia="宋体"/>
                <w:sz w:val="24"/>
              </w:rPr>
              <w:t>级</w:t>
            </w:r>
            <w:r>
              <w:rPr>
                <w:rFonts w:ascii="宋体" w:hAnsi="宋体" w:cs="宋体" w:eastAsia="宋体"/>
                <w:sz w:val="24"/>
              </w:rPr>
              <w:t>。</w:t>
            </w:r>
          </w:p>
          <w:p>
            <w:pPr>
              <w:pStyle w:val="null3"/>
              <w:ind w:firstLine="480"/>
              <w:jc w:val="both"/>
            </w:pPr>
            <w:r>
              <w:rPr>
                <w:rFonts w:ascii="宋体" w:hAnsi="宋体" w:cs="宋体" w:eastAsia="宋体"/>
                <w:sz w:val="24"/>
              </w:rPr>
              <w:t>本次治理河段为石川河栓马村段，河道综合治理长度为</w:t>
            </w:r>
            <w:r>
              <w:rPr>
                <w:rFonts w:ascii="&quot;times new roman&quot;" w:hAnsi="&quot;times new roman&quot;" w:cs="&quot;times new roman&quot;" w:eastAsia="&quot;times new roman&quot;"/>
                <w:sz w:val="24"/>
              </w:rPr>
              <w:t>3.74km</w:t>
            </w:r>
            <w:r>
              <w:rPr>
                <w:rFonts w:ascii="宋体" w:hAnsi="宋体" w:cs="宋体" w:eastAsia="宋体"/>
                <w:sz w:val="24"/>
              </w:rPr>
              <w:t>，其中新建浆砌石护岸总长</w:t>
            </w:r>
            <w:r>
              <w:rPr>
                <w:rFonts w:ascii="times new roman, times, serif" w:hAnsi="times new roman, times, serif" w:cs="times new roman, times, serif" w:eastAsia="times new roman, times, serif"/>
                <w:sz w:val="24"/>
              </w:rPr>
              <w:t>2458</w:t>
            </w:r>
            <w:r>
              <w:rPr>
                <w:rFonts w:ascii="&quot;times new roman&quot;" w:hAnsi="&quot;times new roman&quot;" w:cs="&quot;times new roman&quot;" w:eastAsia="&quot;times new roman&quot;"/>
                <w:sz w:val="24"/>
              </w:rPr>
              <w:t>m</w:t>
            </w:r>
            <w:r>
              <w:rPr>
                <w:rFonts w:ascii="宋体" w:hAnsi="宋体" w:cs="宋体" w:eastAsia="宋体"/>
                <w:sz w:val="24"/>
              </w:rPr>
              <w:t>（</w:t>
            </w:r>
            <w:r>
              <w:rPr>
                <w:rFonts w:ascii="宋体" w:hAnsi="宋体" w:cs="宋体" w:eastAsia="宋体"/>
                <w:sz w:val="24"/>
              </w:rPr>
              <w:t>左岸新建护岸</w:t>
            </w:r>
            <w:r>
              <w:rPr>
                <w:rFonts w:ascii="times new roman, times, serif" w:hAnsi="times new roman, times, serif" w:cs="times new roman, times, serif" w:eastAsia="times new roman, times, serif"/>
                <w:sz w:val="24"/>
              </w:rPr>
              <w:t>2212</w:t>
            </w:r>
            <w:r>
              <w:rPr>
                <w:rFonts w:ascii="&quot;times new roman&quot;" w:hAnsi="&quot;times new roman&quot;" w:cs="&quot;times new roman&quot;" w:eastAsia="&quot;times new roman&quot;"/>
                <w:sz w:val="24"/>
              </w:rPr>
              <w:t>m</w:t>
            </w:r>
            <w:r>
              <w:rPr>
                <w:rFonts w:ascii="宋体" w:hAnsi="宋体" w:cs="宋体" w:eastAsia="宋体"/>
                <w:sz w:val="24"/>
              </w:rPr>
              <w:t>，右岸新建护岸</w:t>
            </w:r>
            <w:r>
              <w:rPr>
                <w:rFonts w:ascii="times new roman, times, serif" w:hAnsi="times new roman, times, serif" w:cs="times new roman, times, serif" w:eastAsia="times new roman, times, serif"/>
                <w:sz w:val="24"/>
              </w:rPr>
              <w:t>246</w:t>
            </w:r>
            <w:r>
              <w:rPr>
                <w:rFonts w:ascii="&quot;times new roman&quot;" w:hAnsi="&quot;times new roman&quot;" w:cs="&quot;times new roman&quot;" w:eastAsia="&quot;times new roman&quot;"/>
                <w:sz w:val="24"/>
              </w:rPr>
              <w:t>m</w:t>
            </w:r>
            <w:r>
              <w:rPr>
                <w:rFonts w:ascii="宋体" w:hAnsi="宋体" w:cs="宋体" w:eastAsia="宋体"/>
                <w:sz w:val="24"/>
              </w:rPr>
              <w:t>）；</w:t>
            </w:r>
            <w:r>
              <w:rPr>
                <w:rFonts w:ascii="宋体" w:hAnsi="宋体" w:cs="宋体" w:eastAsia="宋体"/>
                <w:sz w:val="24"/>
              </w:rPr>
              <w:t>新建下河踏步</w:t>
            </w:r>
            <w:r>
              <w:rPr>
                <w:rFonts w:ascii="times new roman, times, serif" w:hAnsi="times new roman, times, serif" w:cs="times new roman, times, serif" w:eastAsia="times new roman, times, serif"/>
                <w:sz w:val="24"/>
              </w:rPr>
              <w:t>9</w:t>
            </w:r>
            <w:r>
              <w:rPr>
                <w:rFonts w:ascii="宋体" w:hAnsi="宋体" w:cs="宋体" w:eastAsia="宋体"/>
                <w:sz w:val="24"/>
              </w:rPr>
              <w:t>座。</w:t>
            </w:r>
          </w:p>
          <w:p>
            <w:pPr>
              <w:pStyle w:val="null3"/>
              <w:ind w:firstLine="480"/>
              <w:jc w:val="both"/>
            </w:pPr>
            <w:r>
              <w:rPr>
                <w:rFonts w:ascii="宋体" w:hAnsi="宋体" w:cs="宋体" w:eastAsia="宋体"/>
                <w:sz w:val="24"/>
              </w:rPr>
              <w:t>二）、</w:t>
            </w:r>
            <w:r>
              <w:rPr>
                <w:rFonts w:ascii="宋体" w:hAnsi="宋体" w:cs="宋体" w:eastAsia="宋体"/>
                <w:sz w:val="24"/>
              </w:rPr>
              <w:t>标准</w:t>
            </w:r>
            <w:r>
              <w:rPr>
                <w:rFonts w:ascii="宋体" w:hAnsi="宋体" w:cs="宋体" w:eastAsia="宋体"/>
                <w:sz w:val="24"/>
              </w:rPr>
              <w:t>要求</w:t>
            </w:r>
          </w:p>
          <w:p>
            <w:pPr>
              <w:pStyle w:val="null3"/>
              <w:ind w:firstLine="480"/>
              <w:jc w:val="both"/>
            </w:pPr>
            <w:r>
              <w:rPr>
                <w:rFonts w:ascii="宋体" w:hAnsi="宋体" w:cs="宋体" w:eastAsia="宋体"/>
                <w:sz w:val="24"/>
              </w:rPr>
              <w:t>工程保护范围为石川河栓马村段，保护对象为河道沿线耕地及村庄</w:t>
            </w:r>
            <w:r>
              <w:rPr>
                <w:rFonts w:ascii="宋体" w:hAnsi="宋体" w:cs="宋体" w:eastAsia="宋体"/>
                <w:sz w:val="24"/>
              </w:rPr>
              <w:t>。</w:t>
            </w:r>
            <w:r>
              <w:rPr>
                <w:rFonts w:ascii="宋体" w:hAnsi="宋体" w:cs="宋体" w:eastAsia="宋体"/>
                <w:sz w:val="24"/>
              </w:rPr>
              <w:t>根据《防洪标准》</w:t>
            </w:r>
            <w:r>
              <w:rPr>
                <w:rFonts w:ascii="&quot;times new roman&quot;" w:hAnsi="&quot;times new roman&quot;" w:cs="&quot;times new roman&quot;" w:eastAsia="&quot;times new roman&quot;"/>
                <w:sz w:val="24"/>
              </w:rPr>
              <w:t>(GB50201-2014)</w:t>
            </w:r>
            <w:r>
              <w:rPr>
                <w:rFonts w:ascii="宋体" w:hAnsi="宋体" w:cs="宋体" w:eastAsia="宋体"/>
                <w:sz w:val="24"/>
              </w:rPr>
              <w:t>，结合保护对象的重要性及征占地等因素，确定该段防洪标准为防冲不防淹，防</w:t>
            </w:r>
            <w:r>
              <w:rPr>
                <w:rFonts w:ascii="宋体" w:hAnsi="宋体" w:cs="宋体" w:eastAsia="宋体"/>
                <w:sz w:val="24"/>
              </w:rPr>
              <w:t>冲</w:t>
            </w:r>
            <w:r>
              <w:rPr>
                <w:rFonts w:ascii="宋体" w:hAnsi="宋体" w:cs="宋体" w:eastAsia="宋体"/>
                <w:sz w:val="24"/>
              </w:rPr>
              <w:t>按</w:t>
            </w:r>
            <w:r>
              <w:rPr>
                <w:rFonts w:ascii="&quot;times new roman&quot;" w:hAnsi="&quot;times new roman&quot;" w:cs="&quot;times new roman&quot;" w:eastAsia="&quot;times new roman&quot;"/>
                <w:sz w:val="24"/>
              </w:rPr>
              <w:t>1</w:t>
            </w:r>
            <w:r>
              <w:rPr>
                <w:rFonts w:ascii="times new roman, times, serif" w:hAnsi="times new roman, times, serif" w:cs="times new roman, times, serif" w:eastAsia="times new roman, times, serif"/>
                <w:sz w:val="24"/>
              </w:rPr>
              <w:t>0</w:t>
            </w:r>
            <w:r>
              <w:rPr>
                <w:rFonts w:ascii="宋体" w:hAnsi="宋体" w:cs="宋体" w:eastAsia="宋体"/>
                <w:sz w:val="24"/>
              </w:rPr>
              <w:t>年一遇洪水设计</w:t>
            </w:r>
            <w:r>
              <w:rPr>
                <w:rFonts w:ascii="宋体" w:hAnsi="宋体" w:cs="宋体" w:eastAsia="宋体"/>
                <w:sz w:val="24"/>
              </w:rPr>
              <w:t>；</w:t>
            </w:r>
            <w:r>
              <w:rPr>
                <w:rFonts w:ascii="宋体" w:hAnsi="宋体" w:cs="宋体" w:eastAsia="宋体"/>
                <w:sz w:val="24"/>
              </w:rPr>
              <w:t>依据《堤防工程设计规范》</w:t>
            </w:r>
            <w:r>
              <w:rPr>
                <w:rFonts w:ascii="&quot;times new roman&quot;" w:hAnsi="&quot;times new roman&quot;" w:cs="&quot;times new roman&quot;" w:eastAsia="&quot;times new roman&quot;"/>
                <w:sz w:val="24"/>
              </w:rPr>
              <w:t>(GB50286-2013)</w:t>
            </w:r>
            <w:r>
              <w:rPr>
                <w:rFonts w:ascii="宋体" w:hAnsi="宋体" w:cs="宋体" w:eastAsia="宋体"/>
                <w:sz w:val="24"/>
              </w:rPr>
              <w:t>，确定护岸工程为</w:t>
            </w:r>
            <w:r>
              <w:rPr>
                <w:rFonts w:ascii="times new roman, times, serif" w:hAnsi="times new roman, times, serif" w:cs="times new roman, times, serif" w:eastAsia="times new roman, times, serif"/>
                <w:sz w:val="24"/>
              </w:rPr>
              <w:t>5</w:t>
            </w:r>
            <w:r>
              <w:rPr>
                <w:rFonts w:ascii="宋体" w:hAnsi="宋体" w:cs="宋体" w:eastAsia="宋体"/>
                <w:sz w:val="24"/>
              </w:rPr>
              <w:t>级</w:t>
            </w:r>
            <w:r>
              <w:rPr>
                <w:rFonts w:ascii="宋体" w:hAnsi="宋体" w:cs="宋体" w:eastAsia="宋体"/>
                <w:sz w:val="24"/>
              </w:rPr>
              <w:t>。</w:t>
            </w:r>
          </w:p>
          <w:p>
            <w:pPr>
              <w:pStyle w:val="null3"/>
              <w:numPr>
                <w:ilvl w:val="0"/>
                <w:numId w:val="1"/>
              </w:numPr>
              <w:jc w:val="both"/>
            </w:pPr>
            <w:r>
              <w:rPr>
                <w:rFonts w:ascii="宋体" w:hAnsi="宋体" w:cs="宋体" w:eastAsia="宋体"/>
                <w:sz w:val="24"/>
              </w:rPr>
              <w:t>雷源河蔡道河村至九寺村段防洪整治工程</w:t>
            </w:r>
            <w:r>
              <w:rPr>
                <w:rFonts w:ascii="宋体" w:hAnsi="宋体" w:cs="宋体" w:eastAsia="宋体"/>
                <w:sz w:val="24"/>
              </w:rPr>
              <w:t>标段</w:t>
            </w:r>
          </w:p>
          <w:p>
            <w:pPr>
              <w:pStyle w:val="null3"/>
              <w:ind w:firstLine="480"/>
              <w:jc w:val="both"/>
            </w:pPr>
            <w:r>
              <w:rPr>
                <w:rFonts w:ascii="宋体" w:hAnsi="宋体" w:cs="宋体" w:eastAsia="宋体"/>
                <w:sz w:val="24"/>
              </w:rPr>
              <w:t>一</w:t>
            </w:r>
            <w:r>
              <w:rPr>
                <w:rFonts w:ascii="宋体" w:hAnsi="宋体" w:cs="宋体" w:eastAsia="宋体"/>
                <w:sz w:val="24"/>
              </w:rPr>
              <w:t>）</w:t>
            </w:r>
            <w:r>
              <w:rPr>
                <w:rFonts w:ascii="宋体" w:hAnsi="宋体" w:cs="宋体" w:eastAsia="宋体"/>
                <w:sz w:val="24"/>
              </w:rPr>
              <w:t>、</w:t>
            </w:r>
            <w:r>
              <w:rPr>
                <w:rFonts w:ascii="宋体" w:hAnsi="宋体" w:cs="宋体" w:eastAsia="宋体"/>
                <w:sz w:val="24"/>
              </w:rPr>
              <w:t>项目概况</w:t>
            </w:r>
          </w:p>
          <w:p>
            <w:pPr>
              <w:pStyle w:val="null3"/>
              <w:ind w:firstLine="480"/>
              <w:jc w:val="both"/>
            </w:pPr>
            <w:r>
              <w:rPr>
                <w:rFonts w:ascii="宋体" w:hAnsi="宋体" w:cs="宋体" w:eastAsia="宋体"/>
                <w:sz w:val="24"/>
              </w:rPr>
              <w:t>主要保护对象为雷塬河蔡道河村至九寺村段沿线</w:t>
            </w:r>
            <w:r>
              <w:rPr>
                <w:rFonts w:ascii="&quot;times new roman&quot;" w:hAnsi="&quot;times new roman&quot;" w:cs="&quot;times new roman&quot;" w:eastAsia="&quot;times new roman&quot;"/>
                <w:sz w:val="24"/>
              </w:rPr>
              <w:t>1198</w:t>
            </w:r>
            <w:r>
              <w:rPr>
                <w:rFonts w:ascii="宋体" w:hAnsi="宋体" w:cs="宋体" w:eastAsia="宋体"/>
                <w:sz w:val="24"/>
              </w:rPr>
              <w:t>亩耕地及周边村庄。依据《防洪标准》</w:t>
            </w:r>
            <w:r>
              <w:rPr>
                <w:rFonts w:ascii="times new roman, times, serif" w:hAnsi="times new roman, times, serif" w:cs="times new roman, times, serif" w:eastAsia="times new roman, times, serif"/>
                <w:sz w:val="24"/>
              </w:rPr>
              <w:t>(GB50201-2014)</w:t>
            </w:r>
            <w:r>
              <w:rPr>
                <w:rFonts w:ascii="宋体" w:hAnsi="宋体" w:cs="宋体" w:eastAsia="宋体"/>
                <w:sz w:val="24"/>
              </w:rPr>
              <w:t>，确定该段防洪</w:t>
            </w:r>
            <w:r>
              <w:rPr>
                <w:rFonts w:ascii="宋体" w:hAnsi="宋体" w:cs="宋体" w:eastAsia="宋体"/>
                <w:sz w:val="24"/>
              </w:rPr>
              <w:t>标</w:t>
            </w:r>
            <w:r>
              <w:rPr>
                <w:rFonts w:ascii="宋体" w:hAnsi="宋体" w:cs="宋体" w:eastAsia="宋体"/>
                <w:sz w:val="24"/>
              </w:rPr>
              <w:t>准为防</w:t>
            </w:r>
            <w:r>
              <w:rPr>
                <w:rFonts w:ascii="宋体" w:hAnsi="宋体" w:cs="宋体" w:eastAsia="宋体"/>
                <w:sz w:val="24"/>
              </w:rPr>
              <w:t>冲</w:t>
            </w:r>
            <w:r>
              <w:rPr>
                <w:rFonts w:ascii="宋体" w:hAnsi="宋体" w:cs="宋体" w:eastAsia="宋体"/>
                <w:sz w:val="24"/>
              </w:rPr>
              <w:t>不防淹，防</w:t>
            </w:r>
            <w:r>
              <w:rPr>
                <w:rFonts w:ascii="宋体" w:hAnsi="宋体" w:cs="宋体" w:eastAsia="宋体"/>
                <w:sz w:val="24"/>
              </w:rPr>
              <w:t>冲</w:t>
            </w:r>
            <w:r>
              <w:rPr>
                <w:rFonts w:ascii="宋体" w:hAnsi="宋体" w:cs="宋体" w:eastAsia="宋体"/>
                <w:sz w:val="24"/>
              </w:rPr>
              <w:t>标准按</w:t>
            </w:r>
            <w:r>
              <w:rPr>
                <w:rFonts w:ascii="times new roman, times, serif" w:hAnsi="times new roman, times, serif" w:cs="times new roman, times, serif" w:eastAsia="times new roman, times, serif"/>
                <w:sz w:val="24"/>
              </w:rPr>
              <w:t>10</w:t>
            </w:r>
            <w:r>
              <w:rPr>
                <w:rFonts w:ascii="宋体" w:hAnsi="宋体" w:cs="宋体" w:eastAsia="宋体"/>
                <w:sz w:val="24"/>
              </w:rPr>
              <w:t>年一遇设置</w:t>
            </w:r>
            <w:r>
              <w:rPr>
                <w:rFonts w:ascii="宋体" w:hAnsi="宋体" w:cs="宋体" w:eastAsia="宋体"/>
                <w:sz w:val="24"/>
              </w:rPr>
              <w:t>；</w:t>
            </w:r>
            <w:r>
              <w:rPr>
                <w:rFonts w:ascii="宋体" w:hAnsi="宋体" w:cs="宋体" w:eastAsia="宋体"/>
                <w:sz w:val="24"/>
              </w:rPr>
              <w:t>护岸级别依据《堤防工程设计规范》</w:t>
            </w:r>
            <w:r>
              <w:rPr>
                <w:rFonts w:ascii="&quot;times new roman&quot;" w:hAnsi="&quot;times new roman&quot;" w:cs="&quot;times new roman&quot;" w:eastAsia="&quot;times new roman&quot;"/>
                <w:sz w:val="24"/>
              </w:rPr>
              <w:t>(GB50286-2013)</w:t>
            </w:r>
            <w:r>
              <w:rPr>
                <w:rFonts w:ascii="宋体" w:hAnsi="宋体" w:cs="宋体" w:eastAsia="宋体"/>
                <w:sz w:val="24"/>
              </w:rPr>
              <w:t>，确定工程级别为</w:t>
            </w:r>
            <w:r>
              <w:rPr>
                <w:rFonts w:ascii="times new roman, times, serif" w:hAnsi="times new roman, times, serif" w:cs="times new roman, times, serif" w:eastAsia="times new roman, times, serif"/>
                <w:sz w:val="24"/>
              </w:rPr>
              <w:t>5</w:t>
            </w:r>
            <w:r>
              <w:rPr>
                <w:rFonts w:ascii="宋体" w:hAnsi="宋体" w:cs="宋体" w:eastAsia="宋体"/>
                <w:sz w:val="24"/>
              </w:rPr>
              <w:t>级</w:t>
            </w:r>
            <w:r>
              <w:rPr>
                <w:rFonts w:ascii="宋体" w:hAnsi="宋体" w:cs="宋体" w:eastAsia="宋体"/>
                <w:sz w:val="24"/>
              </w:rPr>
              <w:t>。</w:t>
            </w:r>
          </w:p>
          <w:p>
            <w:pPr>
              <w:pStyle w:val="null3"/>
              <w:ind w:firstLine="480"/>
              <w:jc w:val="both"/>
            </w:pPr>
            <w:r>
              <w:rPr>
                <w:rFonts w:ascii="宋体" w:hAnsi="宋体" w:cs="宋体" w:eastAsia="宋体"/>
                <w:sz w:val="24"/>
              </w:rPr>
              <w:t>本次治理河段位于雷塬河中下游，综合治理长度</w:t>
            </w:r>
            <w:r>
              <w:rPr>
                <w:rFonts w:ascii="&quot;times new roman&quot;" w:hAnsi="&quot;times new roman&quot;" w:cs="&quot;times new roman&quot;" w:eastAsia="&quot;times new roman&quot;"/>
                <w:sz w:val="24"/>
              </w:rPr>
              <w:t>4.64km</w:t>
            </w:r>
            <w:r>
              <w:rPr>
                <w:rFonts w:ascii="宋体" w:hAnsi="宋体" w:cs="宋体" w:eastAsia="宋体"/>
                <w:sz w:val="24"/>
              </w:rPr>
              <w:t>，其中新建浆砌石护岸总长</w:t>
            </w:r>
            <w:r>
              <w:rPr>
                <w:rFonts w:ascii="times new roman, times, serif" w:hAnsi="times new roman, times, serif" w:cs="times new roman, times, serif" w:eastAsia="times new roman, times, serif"/>
                <w:sz w:val="24"/>
              </w:rPr>
              <w:t>5061m</w:t>
            </w:r>
            <w:r>
              <w:rPr>
                <w:rFonts w:ascii="宋体" w:hAnsi="宋体" w:cs="宋体" w:eastAsia="宋体"/>
                <w:sz w:val="24"/>
              </w:rPr>
              <w:t>（</w:t>
            </w:r>
            <w:r>
              <w:rPr>
                <w:rFonts w:ascii="宋体" w:hAnsi="宋体" w:cs="宋体" w:eastAsia="宋体"/>
                <w:sz w:val="24"/>
              </w:rPr>
              <w:t>左岸新建护岸</w:t>
            </w:r>
            <w:r>
              <w:rPr>
                <w:rFonts w:ascii="&quot;times new roman&quot;" w:hAnsi="&quot;times new roman&quot;" w:cs="&quot;times new roman&quot;" w:eastAsia="&quot;times new roman&quot;"/>
                <w:sz w:val="24"/>
              </w:rPr>
              <w:t>1868m</w:t>
            </w:r>
            <w:r>
              <w:rPr>
                <w:rFonts w:ascii="宋体" w:hAnsi="宋体" w:cs="宋体" w:eastAsia="宋体"/>
                <w:sz w:val="24"/>
              </w:rPr>
              <w:t>，右岸新建护岸</w:t>
            </w:r>
            <w:r>
              <w:rPr>
                <w:rFonts w:ascii="times new roman, times, serif" w:hAnsi="times new roman, times, serif" w:cs="times new roman, times, serif" w:eastAsia="times new roman, times, serif"/>
                <w:sz w:val="24"/>
              </w:rPr>
              <w:t>3192m</w:t>
            </w:r>
            <w:r>
              <w:rPr>
                <w:rFonts w:ascii="宋体" w:hAnsi="宋体" w:cs="宋体" w:eastAsia="宋体"/>
                <w:sz w:val="24"/>
              </w:rPr>
              <w:t>）；</w:t>
            </w:r>
            <w:r>
              <w:rPr>
                <w:rFonts w:ascii="宋体" w:hAnsi="宋体" w:cs="宋体" w:eastAsia="宋体"/>
                <w:sz w:val="24"/>
              </w:rPr>
              <w:t>新建下河踏步</w:t>
            </w:r>
            <w:r>
              <w:rPr>
                <w:rFonts w:ascii="&quot;times new roman&quot;" w:hAnsi="&quot;times new roman&quot;" w:cs="&quot;times new roman&quot;" w:eastAsia="&quot;times new roman&quot;"/>
                <w:sz w:val="24"/>
              </w:rPr>
              <w:t>18</w:t>
            </w:r>
            <w:r>
              <w:rPr>
                <w:rFonts w:ascii="宋体" w:hAnsi="宋体" w:cs="宋体" w:eastAsia="宋体"/>
                <w:sz w:val="24"/>
              </w:rPr>
              <w:t>座。</w:t>
            </w:r>
          </w:p>
          <w:p>
            <w:pPr>
              <w:pStyle w:val="null3"/>
              <w:ind w:firstLine="480"/>
              <w:jc w:val="both"/>
            </w:pPr>
            <w:r>
              <w:rPr>
                <w:rFonts w:ascii="宋体" w:hAnsi="宋体" w:cs="宋体" w:eastAsia="宋体"/>
                <w:sz w:val="24"/>
              </w:rPr>
              <w:t>二）、</w:t>
            </w:r>
            <w:r>
              <w:rPr>
                <w:rFonts w:ascii="宋体" w:hAnsi="宋体" w:cs="宋体" w:eastAsia="宋体"/>
                <w:sz w:val="24"/>
              </w:rPr>
              <w:t>标准</w:t>
            </w:r>
            <w:r>
              <w:rPr>
                <w:rFonts w:ascii="宋体" w:hAnsi="宋体" w:cs="宋体" w:eastAsia="宋体"/>
                <w:sz w:val="24"/>
              </w:rPr>
              <w:t>要求</w:t>
            </w:r>
          </w:p>
          <w:p>
            <w:pPr>
              <w:pStyle w:val="null3"/>
              <w:ind w:firstLine="480"/>
              <w:jc w:val="both"/>
            </w:pPr>
            <w:r>
              <w:rPr>
                <w:rFonts w:ascii="宋体" w:hAnsi="宋体" w:cs="宋体" w:eastAsia="宋体"/>
                <w:sz w:val="24"/>
              </w:rPr>
              <w:t>工程保护范围为后河村至荒地湾村桥，保护对象为河道沿线耕地及村庄</w:t>
            </w:r>
            <w:r>
              <w:rPr>
                <w:rFonts w:ascii="宋体" w:hAnsi="宋体" w:cs="宋体" w:eastAsia="宋体"/>
                <w:sz w:val="24"/>
              </w:rPr>
              <w:t>。</w:t>
            </w:r>
            <w:r>
              <w:rPr>
                <w:rFonts w:ascii="宋体" w:hAnsi="宋体" w:cs="宋体" w:eastAsia="宋体"/>
                <w:sz w:val="24"/>
              </w:rPr>
              <w:t>根据《防洪标准》</w:t>
            </w:r>
            <w:r>
              <w:rPr>
                <w:rFonts w:ascii="&quot;times new roman&quot;" w:hAnsi="&quot;times new roman&quot;" w:cs="&quot;times new roman&quot;" w:eastAsia="&quot;times new roman&quot;"/>
                <w:sz w:val="24"/>
              </w:rPr>
              <w:t>(GB50201-2014)</w:t>
            </w:r>
            <w:r>
              <w:rPr>
                <w:rFonts w:ascii="宋体" w:hAnsi="宋体" w:cs="宋体" w:eastAsia="宋体"/>
                <w:sz w:val="24"/>
              </w:rPr>
              <w:t>，结合保护对象的重要性及征占地等因素，确定该段防洪标准为防冲不防淹，防</w:t>
            </w:r>
            <w:r>
              <w:rPr>
                <w:rFonts w:ascii="宋体" w:hAnsi="宋体" w:cs="宋体" w:eastAsia="宋体"/>
                <w:sz w:val="24"/>
              </w:rPr>
              <w:t>冲</w:t>
            </w:r>
            <w:r>
              <w:rPr>
                <w:rFonts w:ascii="宋体" w:hAnsi="宋体" w:cs="宋体" w:eastAsia="宋体"/>
                <w:sz w:val="24"/>
              </w:rPr>
              <w:t>按</w:t>
            </w:r>
            <w:r>
              <w:rPr>
                <w:rFonts w:ascii="&quot;times new roman&quot;" w:hAnsi="&quot;times new roman&quot;" w:cs="&quot;times new roman&quot;" w:eastAsia="&quot;times new roman&quot;"/>
                <w:sz w:val="24"/>
              </w:rPr>
              <w:t>1</w:t>
            </w:r>
            <w:r>
              <w:rPr>
                <w:rFonts w:ascii="times new roman, times, serif" w:hAnsi="times new roman, times, serif" w:cs="times new roman, times, serif" w:eastAsia="times new roman, times, serif"/>
                <w:sz w:val="24"/>
              </w:rPr>
              <w:t>0</w:t>
            </w:r>
            <w:r>
              <w:rPr>
                <w:rFonts w:ascii="宋体" w:hAnsi="宋体" w:cs="宋体" w:eastAsia="宋体"/>
                <w:sz w:val="24"/>
              </w:rPr>
              <w:t>年一遇洪水设计</w:t>
            </w:r>
            <w:r>
              <w:rPr>
                <w:rFonts w:ascii="宋体" w:hAnsi="宋体" w:cs="宋体" w:eastAsia="宋体"/>
                <w:sz w:val="24"/>
              </w:rPr>
              <w:t>；</w:t>
            </w:r>
            <w:r>
              <w:rPr>
                <w:rFonts w:ascii="宋体" w:hAnsi="宋体" w:cs="宋体" w:eastAsia="宋体"/>
                <w:sz w:val="24"/>
              </w:rPr>
              <w:t>依据《堤防工程设计规范》</w:t>
            </w:r>
            <w:r>
              <w:rPr>
                <w:rFonts w:ascii="&quot;times new roman&quot;" w:hAnsi="&quot;times new roman&quot;" w:cs="&quot;times new roman&quot;" w:eastAsia="&quot;times new roman&quot;"/>
                <w:sz w:val="24"/>
              </w:rPr>
              <w:t>(GB50286-2013)</w:t>
            </w:r>
            <w:r>
              <w:rPr>
                <w:rFonts w:ascii="宋体" w:hAnsi="宋体" w:cs="宋体" w:eastAsia="宋体"/>
                <w:sz w:val="24"/>
              </w:rPr>
              <w:t>，确定护岸工程为</w:t>
            </w:r>
            <w:r>
              <w:rPr>
                <w:rFonts w:ascii="times new roman, times, serif" w:hAnsi="times new roman, times, serif" w:cs="times new roman, times, serif" w:eastAsia="times new roman, times, serif"/>
                <w:sz w:val="24"/>
              </w:rPr>
              <w:t>5</w:t>
            </w:r>
            <w:r>
              <w:rPr>
                <w:rFonts w:ascii="宋体" w:hAnsi="宋体" w:cs="宋体" w:eastAsia="宋体"/>
                <w:sz w:val="24"/>
              </w:rPr>
              <w:t>级</w:t>
            </w:r>
            <w:r>
              <w:rPr>
                <w:rFonts w:ascii="宋体" w:hAnsi="宋体" w:cs="宋体" w:eastAsia="宋体"/>
                <w:sz w:val="24"/>
              </w:rPr>
              <w:t>。</w:t>
            </w:r>
          </w:p>
          <w:p>
            <w:pPr>
              <w:pStyle w:val="null3"/>
              <w:jc w:val="both"/>
            </w:pPr>
            <w:r>
              <w:rPr>
                <w:rFonts w:ascii="宋体" w:hAnsi="宋体" w:cs="宋体" w:eastAsia="宋体"/>
                <w:sz w:val="24"/>
              </w:rPr>
              <w:t>三、本项目合同履行期限：自合同签订之日起</w:t>
            </w:r>
            <w:r>
              <w:rPr>
                <w:rFonts w:ascii="times new roman, times, serif" w:hAnsi="times new roman, times, serif" w:cs="times new roman, times, serif" w:eastAsia="times new roman, times, serif"/>
                <w:sz w:val="24"/>
              </w:rPr>
              <w:t>30</w:t>
            </w:r>
            <w:r>
              <w:rPr>
                <w:rFonts w:ascii="宋体" w:hAnsi="宋体" w:cs="宋体" w:eastAsia="宋体"/>
                <w:sz w:val="24"/>
              </w:rPr>
              <w:t>天内完成本项目的勘察设计工作。</w:t>
            </w:r>
          </w:p>
        </w:tc>
      </w:tr>
    </w:tbl>
    <w:p>
      <w:pPr>
        <w:pStyle w:val="null3"/>
        <w:outlineLvl w:val="3"/>
      </w:pPr>
      <w:r>
        <w:rPr>
          <w:sz w:val="24"/>
          <w:b/>
        </w:rPr>
        <w:t>3.2.3人员配置要求</w:t>
      </w:r>
    </w:p>
    <w:p>
      <w:pPr>
        <w:pStyle w:val="null3"/>
      </w:pPr>
      <w:r>
        <w:rPr/>
        <w:t>采购包1：</w:t>
      </w:r>
    </w:p>
    <w:p>
      <w:pPr>
        <w:pStyle w:val="null3"/>
      </w:pPr>
      <w:r>
        <w:rPr/>
        <w:t>满足采购人要求</w:t>
      </w:r>
    </w:p>
    <w:p>
      <w:pPr>
        <w:pStyle w:val="null3"/>
        <w:outlineLvl w:val="3"/>
      </w:pPr>
      <w:r>
        <w:rPr>
          <w:sz w:val="24"/>
          <w:b/>
        </w:rPr>
        <w:t>3.2.4设施设备配置要求</w:t>
      </w:r>
    </w:p>
    <w:p>
      <w:pPr>
        <w:pStyle w:val="null3"/>
      </w:pPr>
      <w:r>
        <w:rPr/>
        <w:t>采购包1：</w:t>
      </w:r>
    </w:p>
    <w:p>
      <w:pPr>
        <w:pStyle w:val="null3"/>
      </w:pPr>
      <w:r>
        <w:rPr/>
        <w:t>满足采购人要求</w:t>
      </w:r>
    </w:p>
    <w:p>
      <w:pPr>
        <w:pStyle w:val="null3"/>
        <w:outlineLvl w:val="3"/>
      </w:pPr>
      <w:r>
        <w:rPr>
          <w:sz w:val="24"/>
          <w:b/>
        </w:rPr>
        <w:t>3.2.5其他要求</w:t>
      </w:r>
    </w:p>
    <w:p>
      <w:pPr>
        <w:pStyle w:val="null3"/>
      </w:pPr>
      <w:r>
        <w:rPr/>
        <w:t>采购包1：</w:t>
      </w:r>
    </w:p>
    <w:p>
      <w:pPr>
        <w:pStyle w:val="null3"/>
      </w:pPr>
      <w:r>
        <w:rPr/>
        <w:t>满足采购人要求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30</w:t>
      </w:r>
    </w:p>
    <w:p>
      <w:pPr>
        <w:pStyle w:val="null3"/>
        <w:outlineLvl w:val="3"/>
      </w:pPr>
      <w:r>
        <w:rPr>
          <w:sz w:val="24"/>
          <w:b/>
        </w:rPr>
        <w:t>3.3.2服务地点</w:t>
      </w:r>
    </w:p>
    <w:p>
      <w:pPr>
        <w:pStyle w:val="null3"/>
      </w:pPr>
      <w:r>
        <w:rPr/>
        <w:t>采购包1：</w:t>
      </w:r>
    </w:p>
    <w:p>
      <w:pPr>
        <w:pStyle w:val="null3"/>
      </w:pPr>
      <w:r>
        <w:rPr/>
        <w:t>采购单位指定地点</w:t>
      </w:r>
    </w:p>
    <w:p>
      <w:pPr>
        <w:pStyle w:val="null3"/>
        <w:outlineLvl w:val="3"/>
      </w:pPr>
      <w:r>
        <w:rPr>
          <w:sz w:val="24"/>
          <w:b/>
        </w:rPr>
        <w:t>3.3.3考核（验收）标准和方法</w:t>
      </w:r>
    </w:p>
    <w:p>
      <w:pPr>
        <w:pStyle w:val="null3"/>
      </w:pPr>
      <w:r>
        <w:rPr/>
        <w:t>采购包1：</w:t>
      </w:r>
    </w:p>
    <w:p>
      <w:pPr>
        <w:pStyle w:val="null3"/>
      </w:pPr>
      <w:r>
        <w:rPr/>
        <w:t>详见采购文件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合同签订后，乙方完成勘察设计并向甲方提交勘察设计成果，并经审查批准后</w:t>
      </w:r>
      <w:r>
        <w:rPr/>
        <w:t xml:space="preserve"> ，达到付款条件起 </w:t>
      </w:r>
      <w:r>
        <w:rPr/>
        <w:t>10</w:t>
      </w:r>
      <w:r>
        <w:rPr/>
        <w:t xml:space="preserve"> 日内，支付合同总金额的 </w:t>
      </w:r>
      <w:r>
        <w:rPr/>
        <w:t>70.00</w:t>
      </w:r>
      <w:r>
        <w:rPr/>
        <w:t>%。</w:t>
      </w:r>
    </w:p>
    <w:p>
      <w:pPr>
        <w:pStyle w:val="null3"/>
      </w:pPr>
      <w:r>
        <w:rPr/>
        <w:t>采购包1：</w:t>
      </w:r>
      <w:r>
        <w:rPr/>
        <w:t xml:space="preserve"> 付款条件说明： </w:t>
      </w:r>
      <w:r>
        <w:rPr/>
        <w:t>乙方协助甲方完成工程竣工验收(合格)后，且完成审计后</w:t>
      </w:r>
      <w:r>
        <w:rPr/>
        <w:t xml:space="preserve"> ，达到付款条件起 </w:t>
      </w:r>
      <w:r>
        <w:rPr/>
        <w:t>10</w:t>
      </w:r>
      <w:r>
        <w:rPr/>
        <w:t xml:space="preserve"> 日内，支付合同总金额的 </w:t>
      </w:r>
      <w:r>
        <w:rPr/>
        <w:t>30.00</w:t>
      </w:r>
      <w:r>
        <w:rPr/>
        <w:t>%。</w:t>
      </w:r>
    </w:p>
    <w:p>
      <w:pPr>
        <w:pStyle w:val="null3"/>
        <w:outlineLvl w:val="3"/>
      </w:pPr>
      <w:r>
        <w:rPr>
          <w:sz w:val="24"/>
          <w:b/>
        </w:rPr>
        <w:t>3.3.6违约责任与解决争议的方法</w:t>
      </w:r>
    </w:p>
    <w:p>
      <w:pPr>
        <w:pStyle w:val="null3"/>
      </w:pPr>
      <w:r>
        <w:rPr/>
        <w:t>采购包1：</w:t>
      </w:r>
    </w:p>
    <w:p>
      <w:pPr>
        <w:pStyle w:val="null3"/>
      </w:pPr>
      <w:r>
        <w:rPr/>
        <w:t>详见采购文件</w:t>
      </w:r>
    </w:p>
    <w:p>
      <w:pPr>
        <w:pStyle w:val="null3"/>
        <w:jc w:val="left"/>
        <w:outlineLvl w:val="2"/>
      </w:pPr>
      <w:r>
        <w:rPr>
          <w:sz w:val="28"/>
          <w:b/>
        </w:rPr>
        <w:t>3.5其他要求</w:t>
      </w:r>
    </w:p>
    <w:p>
      <w:pPr>
        <w:pStyle w:val="null3"/>
      </w:pPr>
      <w:r>
        <w:rPr/>
        <w:t>满足采购人要求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t>投标函 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提供2023年度经审计的财务报告;成立时间至提交响应文件截止时间不足或基本存款账户开户银行出具的资信证明年的可提供成立后任意时段的资产负债表)(资信证明需提供 投标截止时间前6个月内)及基本存款账户开户许可证(基本账户信息)</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法定代表人授权委托书（附法定代表人、被授权人身份证复印件并加盖公章）和被授权人身份证原件。（法定代表人参加投标只须提供法定代表人身份证明书及身份证原件）；</w:t>
            </w:r>
          </w:p>
        </w:tc>
        <w:tc>
          <w:tcPr>
            <w:tcW w:type="dxa" w:w="1661"/>
          </w:tcPr>
          <w:p>
            <w:pPr>
              <w:pStyle w:val="null3"/>
            </w:pPr>
            <w:r>
              <w:rPr/>
              <w:t>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供应商须同时具备下列资质： （1）具备水利行业（河道整治）专业工程设计乙级及以上资质或水利行业工程设计乙级及以上资质或工程设计综合资质甲级； （2）具备工程勘察（工程测量）专业乙级及以上资质或工程勘察（水文地质勘察）专业乙级及以上资质或工程勘察综合资质。</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拟派项目负责人须具备注册土木工程师（水利水电工程）资格或水利相关专业中级及以上工程师证书；</w:t>
            </w:r>
          </w:p>
        </w:tc>
        <w:tc>
          <w:tcPr>
            <w:tcW w:type="dxa" w:w="1661"/>
          </w:tcPr>
          <w:p>
            <w:pPr>
              <w:pStyle w:val="null3"/>
            </w:pPr>
            <w:r>
              <w:rPr/>
              <w:t>相关资格证明材料</w:t>
            </w:r>
          </w:p>
        </w:tc>
      </w:tr>
      <w:tr>
        <w:tc>
          <w:tcPr>
            <w:tcW w:type="dxa" w:w="831"/>
          </w:tcPr>
          <w:p>
            <w:pPr>
              <w:pStyle w:val="null3"/>
            </w:pPr>
            <w:r>
              <w:rPr/>
              <w:t>4</w:t>
            </w:r>
          </w:p>
        </w:tc>
        <w:tc>
          <w:tcPr>
            <w:tcW w:type="dxa" w:w="2492"/>
          </w:tcPr>
          <w:p>
            <w:pPr>
              <w:pStyle w:val="null3"/>
            </w:pPr>
            <w:r>
              <w:rPr/>
              <w:t>企业信誉截图</w:t>
            </w:r>
          </w:p>
        </w:tc>
        <w:tc>
          <w:tcPr>
            <w:tcW w:type="dxa" w:w="3322"/>
          </w:tcPr>
          <w:p>
            <w:pPr>
              <w:pStyle w:val="null3"/>
            </w:pPr>
            <w:r>
              <w:rPr/>
              <w:t>供应商不得为“信用中国”网站（www.creditchina.gov.cn）中列入失信 被执行人和税收违法黑名单的供应商，不得为中国政府采购网（www.ccgp.gov.cn）政府采购严重违法失信行为记录名单中被财政部门禁止参加政府采购活动的供应商；</w:t>
            </w:r>
          </w:p>
        </w:tc>
        <w:tc>
          <w:tcPr>
            <w:tcW w:type="dxa" w:w="1661"/>
          </w:tcPr>
          <w:p>
            <w:pPr>
              <w:pStyle w:val="null3"/>
            </w:pPr>
            <w:r>
              <w:rPr/>
              <w:t>相关资格证明材料</w:t>
            </w:r>
          </w:p>
        </w:tc>
      </w:tr>
      <w:tr>
        <w:tc>
          <w:tcPr>
            <w:tcW w:type="dxa" w:w="831"/>
          </w:tcPr>
          <w:p>
            <w:pPr>
              <w:pStyle w:val="null3"/>
            </w:pPr>
            <w:r>
              <w:rPr/>
              <w:t>5</w:t>
            </w:r>
          </w:p>
        </w:tc>
        <w:tc>
          <w:tcPr>
            <w:tcW w:type="dxa" w:w="2492"/>
          </w:tcPr>
          <w:p>
            <w:pPr>
              <w:pStyle w:val="null3"/>
            </w:pPr>
            <w:r>
              <w:rPr/>
              <w:t>供应商关联关系声明</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相关资格证明材料</w:t>
            </w:r>
          </w:p>
        </w:tc>
      </w:tr>
      <w:tr>
        <w:tc>
          <w:tcPr>
            <w:tcW w:type="dxa" w:w="831"/>
          </w:tcPr>
          <w:p>
            <w:pPr>
              <w:pStyle w:val="null3"/>
            </w:pPr>
            <w:r>
              <w:rPr/>
              <w:t>6</w:t>
            </w:r>
          </w:p>
        </w:tc>
        <w:tc>
          <w:tcPr>
            <w:tcW w:type="dxa" w:w="2492"/>
          </w:tcPr>
          <w:p>
            <w:pPr>
              <w:pStyle w:val="null3"/>
            </w:pPr>
            <w:r>
              <w:rPr/>
              <w:t>非联合体声明</w:t>
            </w:r>
          </w:p>
        </w:tc>
        <w:tc>
          <w:tcPr>
            <w:tcW w:type="dxa" w:w="3322"/>
          </w:tcPr>
          <w:p>
            <w:pPr>
              <w:pStyle w:val="null3"/>
            </w:pPr>
            <w:r>
              <w:rPr/>
              <w:t>本次项目不接受联合体；（提供相关承诺）</w:t>
            </w:r>
          </w:p>
        </w:tc>
        <w:tc>
          <w:tcPr>
            <w:tcW w:type="dxa" w:w="1661"/>
          </w:tcPr>
          <w:p>
            <w:pPr>
              <w:pStyle w:val="null3"/>
            </w:pPr>
            <w:r>
              <w:rPr/>
              <w:t>相关资格证明材料</w:t>
            </w:r>
          </w:p>
        </w:tc>
      </w:tr>
      <w:tr>
        <w:tc>
          <w:tcPr>
            <w:tcW w:type="dxa" w:w="831"/>
          </w:tcPr>
          <w:p>
            <w:pPr>
              <w:pStyle w:val="null3"/>
            </w:pPr>
            <w:r>
              <w:rPr/>
              <w:t>7</w:t>
            </w:r>
          </w:p>
        </w:tc>
        <w:tc>
          <w:tcPr>
            <w:tcW w:type="dxa" w:w="2492"/>
          </w:tcPr>
          <w:p>
            <w:pPr>
              <w:pStyle w:val="null3"/>
            </w:pPr>
            <w:r>
              <w:rPr/>
              <w:t>中小企业申明</w:t>
            </w:r>
          </w:p>
        </w:tc>
        <w:tc>
          <w:tcPr>
            <w:tcW w:type="dxa" w:w="3322"/>
          </w:tcPr>
          <w:p>
            <w:pPr>
              <w:pStyle w:val="null3"/>
            </w:pPr>
            <w:r>
              <w:rPr/>
              <w:t>本项目专门面向中小企业采购；（提供中小企业申明函）</w:t>
            </w:r>
          </w:p>
        </w:tc>
        <w:tc>
          <w:tcPr>
            <w:tcW w:type="dxa" w:w="1661"/>
          </w:tcPr>
          <w:p>
            <w:pPr>
              <w:pStyle w:val="null3"/>
            </w:pPr>
            <w:r>
              <w:rPr/>
              <w:t>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符合招标文件要求</w:t>
            </w:r>
          </w:p>
        </w:tc>
        <w:tc>
          <w:tcPr>
            <w:tcW w:type="dxa" w:w="1661"/>
          </w:tcPr>
          <w:p>
            <w:pPr>
              <w:pStyle w:val="null3"/>
            </w:pPr>
            <w:r>
              <w:rPr/>
              <w:t>开标一览表 服务内容及服务邀请应答表 中小企业声明函 商务应答表 相关资格证明材料 项目管理机构人员表 响应方案说明 类似项目业绩表 投标函 残疾人福利性单位声明函 标的清单 投标文件封面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符合招标文件格式要求</w:t>
            </w:r>
          </w:p>
        </w:tc>
        <w:tc>
          <w:tcPr>
            <w:tcW w:type="dxa" w:w="1661"/>
          </w:tcPr>
          <w:p>
            <w:pPr>
              <w:pStyle w:val="null3"/>
            </w:pPr>
            <w:r>
              <w:rPr/>
              <w:t>开标一览表 服务内容及服务邀请应答表 中小企业声明函 商务应答表 相关资格证明材料 项目管理机构人员表 响应方案说明 类似项目业绩表 投标函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服务期</w:t>
            </w:r>
          </w:p>
        </w:tc>
        <w:tc>
          <w:tcPr>
            <w:tcW w:type="dxa" w:w="3322"/>
          </w:tcPr>
          <w:p>
            <w:pPr>
              <w:pStyle w:val="null3"/>
            </w:pPr>
            <w:r>
              <w:rPr/>
              <w:t>符合招标文件要求</w:t>
            </w:r>
          </w:p>
        </w:tc>
        <w:tc>
          <w:tcPr>
            <w:tcW w:type="dxa" w:w="1661"/>
          </w:tcPr>
          <w:p>
            <w:pPr>
              <w:pStyle w:val="null3"/>
            </w:pPr>
            <w:r>
              <w:rPr/>
              <w:t>标的清单</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符合招标文件要求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按招标文件要求报价，不得提交选择性报价，且每轮报价不超过采购预算金额或最高限价。</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勘察设计方案</w:t>
            </w:r>
          </w:p>
        </w:tc>
        <w:tc>
          <w:tcPr>
            <w:tcW w:type="dxa" w:w="2492"/>
          </w:tcPr>
          <w:p>
            <w:pPr>
              <w:pStyle w:val="null3"/>
            </w:pPr>
            <w:r>
              <w:rPr/>
              <w:t>勘察设计依据是否符合理；工作目标、说明是否清晰 明确；范围是否符合规划要求及规范要点提出的指标要求；内容是否完整，合理，满足勘察设计要求。评标委员会根据勘察设计方案的完整性、科学性、合理性、有效性进 行综合评估，各评标专家进行横向对比，优于文件要求得 (10-15]分；符合文件要求得（5-10]分；基本满足文件得[0-5]分。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进度控制措施</w:t>
            </w:r>
          </w:p>
        </w:tc>
        <w:tc>
          <w:tcPr>
            <w:tcW w:type="dxa" w:w="2492"/>
          </w:tcPr>
          <w:p>
            <w:pPr>
              <w:pStyle w:val="null3"/>
            </w:pPr>
            <w:r>
              <w:rPr/>
              <w:t>进度明确，节点清晰，在保证质量的前提下按期完成所有内容等方面进行综合评定。优于文件要求得 (7-10]分；符合文件要求得（3-7]分；基本满足文件得 [0-3]分。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限额设计控制措施</w:t>
            </w:r>
          </w:p>
        </w:tc>
        <w:tc>
          <w:tcPr>
            <w:tcW w:type="dxa" w:w="2492"/>
          </w:tcPr>
          <w:p>
            <w:pPr>
              <w:pStyle w:val="null3"/>
            </w:pPr>
            <w:r>
              <w:rPr/>
              <w:t>限额设计控制措施科学、合理、具有可操作性，各评标专家进行横向对比，优秀得 (7-10]分；较好得 (3-7]分；一般得[0-3]分。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组织 、配合及协调措施</w:t>
            </w:r>
          </w:p>
        </w:tc>
        <w:tc>
          <w:tcPr>
            <w:tcW w:type="dxa" w:w="2492"/>
          </w:tcPr>
          <w:p>
            <w:pPr>
              <w:pStyle w:val="null3"/>
            </w:pPr>
            <w:r>
              <w:rPr/>
              <w:t>组织、配合及协调措施，各评标专家进行横向对比，优秀得 (7-10]分；较好得 (3-7]分；一般得[0-3]分。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服务保证措施及承诺</w:t>
            </w:r>
          </w:p>
        </w:tc>
        <w:tc>
          <w:tcPr>
            <w:tcW w:type="dxa" w:w="2492"/>
          </w:tcPr>
          <w:p>
            <w:pPr>
              <w:pStyle w:val="null3"/>
            </w:pPr>
            <w:r>
              <w:rPr/>
              <w:t>依据相关工作内容及后续服务承诺及措施的合理性，各评标专家进行横向对比，优秀得 (7-10]分；较好得 (3-7]分；一般得[0-3]分。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重点难点分析及创新设计</w:t>
            </w:r>
          </w:p>
        </w:tc>
        <w:tc>
          <w:tcPr>
            <w:tcW w:type="dxa" w:w="2492"/>
          </w:tcPr>
          <w:p>
            <w:pPr>
              <w:pStyle w:val="null3"/>
            </w:pPr>
            <w:r>
              <w:rPr/>
              <w:t>重点、难点介绍全面、分析透彻，创新实用性强，各评标专家进行横向对比，优秀得 (7-10]分；较好得 (3-7]分；一般得[0-3]分。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对于工程设计 、造价等建议</w:t>
            </w:r>
          </w:p>
        </w:tc>
        <w:tc>
          <w:tcPr>
            <w:tcW w:type="dxa" w:w="2492"/>
          </w:tcPr>
          <w:p>
            <w:pPr>
              <w:pStyle w:val="null3"/>
            </w:pPr>
            <w:r>
              <w:rPr/>
              <w:t>科学、合理、具有可操作性，各评标专家进行横向对比，优秀得 (7-10]分；较好得 (3-7]分；一般得[0-3]分。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组织机构设置及主要人员安排</w:t>
            </w:r>
          </w:p>
        </w:tc>
        <w:tc>
          <w:tcPr>
            <w:tcW w:type="dxa" w:w="2492"/>
          </w:tcPr>
          <w:p>
            <w:pPr>
              <w:pStyle w:val="null3"/>
            </w:pPr>
            <w:r>
              <w:rPr/>
              <w:t>项目组成员具有中级及以上职称或注册建筑工程师的，每有一个得2分 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项目管理机构人员表</w:t>
            </w:r>
          </w:p>
        </w:tc>
      </w:tr>
      <w:tr>
        <w:tc>
          <w:tcPr>
            <w:tcW w:type="dxa" w:w="831"/>
            <w:vMerge/>
          </w:tcPr>
          <w:p/>
        </w:tc>
        <w:tc>
          <w:tcPr>
            <w:tcW w:type="dxa" w:w="1661"/>
          </w:tcPr>
          <w:p>
            <w:pPr>
              <w:pStyle w:val="null3"/>
            </w:pPr>
            <w:r>
              <w:rPr/>
              <w:t>业绩</w:t>
            </w:r>
          </w:p>
        </w:tc>
        <w:tc>
          <w:tcPr>
            <w:tcW w:type="dxa" w:w="2492"/>
          </w:tcPr>
          <w:p>
            <w:pPr>
              <w:pStyle w:val="null3"/>
            </w:pPr>
            <w:r>
              <w:rPr/>
              <w:t>近年类似项目业绩，提供一个类似业绩合同得3分，最高得9分。(类似业绩以合同复印件为准，时间以合同签订时间为准)。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类似项目业绩表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 投标供应商的价格分统一按照下列公式计算：投标报价得分=（评标基准价/投标报价 ）×价格权值%×100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详见附件：类似项目业绩表</w:t>
      </w:r>
    </w:p>
    <w:p>
      <w:pPr>
        <w:pStyle w:val="null3"/>
        <w:ind w:firstLine="960"/>
      </w:pPr>
      <w:r>
        <w:rPr/>
        <w:t>详见附件：响应方案说明</w:t>
      </w:r>
    </w:p>
    <w:p>
      <w:pPr>
        <w:pStyle w:val="null3"/>
        <w:ind w:firstLine="960"/>
      </w:pPr>
      <w:r>
        <w:rPr/>
        <w:t>详见附件：项目管理机构人员表</w:t>
      </w:r>
    </w:p>
    <w:p>
      <w:pPr>
        <w:pStyle w:val="null3"/>
        <w:ind w:firstLine="960"/>
      </w:pPr>
      <w:r>
        <w:rPr/>
        <w:t>详见附件：相关资格证明材料</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详见附件：勘察设计服务合同(1).docx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