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版本号：XBZB-SE20251016-30120251016001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宜君县2025年高素质农民培育项目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XBZB-SE20251016-301</w:t>
      </w:r>
      <w:r>
        <w:br/>
      </w:r>
      <w:r>
        <w:br/>
      </w:r>
      <w:r>
        <w:br/>
      </w:r>
    </w:p>
    <w:p>
      <w:pPr>
        <w:pStyle w:val="null3"/>
        <w:jc w:val="center"/>
        <w:outlineLvl w:val="2"/>
      </w:pPr>
      <w:r>
        <w:rPr>
          <w:rFonts w:ascii="仿宋_GB2312" w:hAnsi="仿宋_GB2312" w:cs="仿宋_GB2312" w:eastAsia="仿宋_GB2312"/>
          <w:sz w:val="28"/>
          <w:b/>
        </w:rPr>
        <w:t>宜君县农业实用技术培训中心</w:t>
      </w:r>
    </w:p>
    <w:p>
      <w:pPr>
        <w:pStyle w:val="null3"/>
        <w:jc w:val="center"/>
        <w:outlineLvl w:val="2"/>
      </w:pPr>
      <w:r>
        <w:rPr>
          <w:rFonts w:ascii="仿宋_GB2312" w:hAnsi="仿宋_GB2312" w:cs="仿宋_GB2312" w:eastAsia="仿宋_GB2312"/>
          <w:sz w:val="28"/>
          <w:b/>
        </w:rPr>
        <w:t>西北国际（陕西）造价管理集团有限公司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西北国际（陕西）造价管理集团有限公司</w:t>
      </w:r>
      <w:r>
        <w:rPr>
          <w:rFonts w:ascii="仿宋_GB2312" w:hAnsi="仿宋_GB2312" w:cs="仿宋_GB2312" w:eastAsia="仿宋_GB2312"/>
        </w:rPr>
        <w:t>（以下简称“代理机构”）受</w:t>
      </w:r>
      <w:r>
        <w:rPr>
          <w:rFonts w:ascii="仿宋_GB2312" w:hAnsi="仿宋_GB2312" w:cs="仿宋_GB2312" w:eastAsia="仿宋_GB2312"/>
        </w:rPr>
        <w:t>宜君县农业实用技术培训中心</w:t>
      </w:r>
      <w:r>
        <w:rPr>
          <w:rFonts w:ascii="仿宋_GB2312" w:hAnsi="仿宋_GB2312" w:cs="仿宋_GB2312" w:eastAsia="仿宋_GB2312"/>
        </w:rPr>
        <w:t>委托，拟对</w:t>
      </w:r>
      <w:r>
        <w:rPr>
          <w:rFonts w:ascii="仿宋_GB2312" w:hAnsi="仿宋_GB2312" w:cs="仿宋_GB2312" w:eastAsia="仿宋_GB2312"/>
        </w:rPr>
        <w:t>宜君县2025年高素质农民培育项目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XBZB-SE20251016-301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宜君县2025年高素质农民培育项目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宜君县2025年高素质农民培育项目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采购包1（一标段）：属于专门面向中小企业采购。</w:t>
      </w:r>
    </w:p>
    <w:p>
      <w:pPr>
        <w:pStyle w:val="null3"/>
      </w:pPr>
      <w:r>
        <w:rPr>
          <w:rFonts w:ascii="仿宋_GB2312" w:hAnsi="仿宋_GB2312" w:cs="仿宋_GB2312" w:eastAsia="仿宋_GB2312"/>
        </w:rPr>
        <w:t>采购包2（二标段）：属于专门面向中小企业采购。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提供法人或者其他组织的营业执照等证明文件，自然人参与的提供其有效身份证明：具有独立承担民事责任的能力，提供法人或者其他组织的营业执照等证明文件，自然人参与的提供其有效身份证明。</w:t>
      </w:r>
    </w:p>
    <w:p>
      <w:pPr>
        <w:pStyle w:val="null3"/>
      </w:pPr>
      <w:r>
        <w:rPr>
          <w:rFonts w:ascii="仿宋_GB2312" w:hAnsi="仿宋_GB2312" w:cs="仿宋_GB2312" w:eastAsia="仿宋_GB2312"/>
        </w:rPr>
        <w:t>2、具有履行合同所必需的设备和专业技术能力（提供承诺函）：具有履行合同所必需的设备和专业技术能力（提供承诺函）。</w:t>
      </w:r>
    </w:p>
    <w:p>
      <w:pPr>
        <w:pStyle w:val="null3"/>
      </w:pPr>
      <w:r>
        <w:rPr>
          <w:rFonts w:ascii="仿宋_GB2312" w:hAnsi="仿宋_GB2312" w:cs="仿宋_GB2312" w:eastAsia="仿宋_GB2312"/>
        </w:rPr>
        <w:t>3、依法缴纳税收和社会保障资金相关材料（磋商截止日前六个月内任意一个月）：依法缴纳税收和社会保障资金相关材料（磋商截止日前六个月内任意一个月）。</w:t>
      </w:r>
    </w:p>
    <w:p>
      <w:pPr>
        <w:pStyle w:val="null3"/>
      </w:pPr>
      <w:r>
        <w:rPr>
          <w:rFonts w:ascii="仿宋_GB2312" w:hAnsi="仿宋_GB2312" w:cs="仿宋_GB2312" w:eastAsia="仿宋_GB2312"/>
        </w:rPr>
        <w:t>4、供应商需提供2024年度财务审计报告或提供文件递交截止日前三个月内从基本户银行开具的资信证明：供应商需提供2024年度财务审计报告或提供文件递交截止日前三个月内从基本户银行开具的资信证明。</w:t>
      </w:r>
    </w:p>
    <w:p>
      <w:pPr>
        <w:pStyle w:val="null3"/>
      </w:pPr>
      <w:r>
        <w:rPr>
          <w:rFonts w:ascii="仿宋_GB2312" w:hAnsi="仿宋_GB2312" w:cs="仿宋_GB2312" w:eastAsia="仿宋_GB2312"/>
        </w:rPr>
        <w:t>5、法定代表人直接参加磋商的，须出具法人身份证；授权代表参加磋商的，须出具授权书及授权代表身份证：法定代表人直接参加磋商的，须出具法人身份证；授权代表参加磋商的，须出具授权书及授权代表身份证。</w:t>
      </w:r>
    </w:p>
    <w:p>
      <w:pPr>
        <w:pStyle w:val="null3"/>
      </w:pPr>
      <w:r>
        <w:rPr>
          <w:rFonts w:ascii="仿宋_GB2312" w:hAnsi="仿宋_GB2312" w:cs="仿宋_GB2312" w:eastAsia="仿宋_GB2312"/>
        </w:rPr>
        <w:t>6、供应商出具本企业参加政府采购活动前三年内经营活动中没有重大违法记录的书面声明：供应商出具本企业参加政府采购活动前三年内经营活动中没有重大违法记录的书面声明。</w:t>
      </w:r>
    </w:p>
    <w:p>
      <w:pPr>
        <w:pStyle w:val="null3"/>
      </w:pPr>
      <w:r>
        <w:rPr>
          <w:rFonts w:ascii="仿宋_GB2312" w:hAnsi="仿宋_GB2312" w:cs="仿宋_GB2312" w:eastAsia="仿宋_GB2312"/>
        </w:rPr>
        <w:t>7、供应商不得为“信用中国”中列入失信被执行人和重大税收违法案件当事人名单的供应商，不得为“中国政府采购网”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宜君县农业实用技术培训中心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宜君县宜阳北街28号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寇先生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0919-5281706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西北国际（陕西）造价管理集团有限公司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西安市未央区大明宫街道问学路西派中心C座写字楼10楼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17691298175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p>
          <w:p>
            <w:pPr>
              <w:pStyle w:val="null3"/>
            </w:pPr>
            <w:r>
              <w:rPr>
                <w:rFonts w:ascii="仿宋_GB2312" w:hAnsi="仿宋_GB2312" w:cs="仿宋_GB2312" w:eastAsia="仿宋_GB2312"/>
              </w:rPr>
              <w:t>采购包2：700,000.00元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机构参照国家计委关于印发《招标代理服务收费管理暂行办法》的通知（计价格〔2002〕1980号）、《国家发展和改革委员会办公厅关于招标代理服务收费有关问题的通知》（发改办价格〔2003〕857号）规定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宜君县农业实用技术培训中心</w:t>
      </w:r>
      <w:r>
        <w:rPr>
          <w:rFonts w:ascii="仿宋_GB2312" w:hAnsi="仿宋_GB2312" w:cs="仿宋_GB2312" w:eastAsia="仿宋_GB2312"/>
        </w:rPr>
        <w:t>和</w:t>
      </w:r>
      <w:r>
        <w:rPr>
          <w:rFonts w:ascii="仿宋_GB2312" w:hAnsi="仿宋_GB2312" w:cs="仿宋_GB2312" w:eastAsia="仿宋_GB2312"/>
        </w:rPr>
        <w:t>西北国际（陕西）造价管理集团有限公司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宜君县农业实用技术培训中心</w:t>
      </w:r>
      <w:r>
        <w:rPr>
          <w:rFonts w:ascii="仿宋_GB2312" w:hAnsi="仿宋_GB2312" w:cs="仿宋_GB2312" w:eastAsia="仿宋_GB2312"/>
        </w:rPr>
        <w:t>负责解释。除上述磋商文件内容，其他内容由</w:t>
      </w:r>
      <w:r>
        <w:rPr>
          <w:rFonts w:ascii="仿宋_GB2312" w:hAnsi="仿宋_GB2312" w:cs="仿宋_GB2312" w:eastAsia="仿宋_GB2312"/>
        </w:rPr>
        <w:t>西北国际（陕西）造价管理集团有限公司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宜君县农业实用技术培训中心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西北国际（陕西）造价管理集团有限公司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满足采购人需求，达到合格标准。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满足采购人需求，达到合格标准。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西北国际（陕西）造价管理集团有限公司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联系人：王龙</w:t>
      </w:r>
    </w:p>
    <w:p>
      <w:pPr>
        <w:pStyle w:val="null3"/>
      </w:pPr>
      <w:r>
        <w:rPr>
          <w:rFonts w:ascii="仿宋_GB2312" w:hAnsi="仿宋_GB2312" w:cs="仿宋_GB2312" w:eastAsia="仿宋_GB2312"/>
        </w:rPr>
        <w:t>联系电话：17691298175</w:t>
      </w:r>
    </w:p>
    <w:p>
      <w:pPr>
        <w:pStyle w:val="null3"/>
      </w:pPr>
      <w:r>
        <w:rPr>
          <w:rFonts w:ascii="仿宋_GB2312" w:hAnsi="仿宋_GB2312" w:cs="仿宋_GB2312" w:eastAsia="仿宋_GB2312"/>
        </w:rPr>
        <w:t>地址：西安市未央区大明宫街道问学路西派中心C座写字楼10楼</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宜君县2025年高素质农民培育项目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一标段（预算金额：35万元）：粮油农作物产能提升（玉米单产提升专题班1个）50人，植保无人机操作技能班1个50人。</w:t>
            </w:r>
          </w:p>
          <w:p>
            <w:pPr>
              <w:pStyle w:val="null3"/>
              <w:ind w:firstLine="480"/>
              <w:jc w:val="both"/>
            </w:pPr>
            <w:r>
              <w:rPr>
                <w:rFonts w:ascii="仿宋_GB2312" w:hAnsi="仿宋_GB2312" w:cs="仿宋_GB2312" w:eastAsia="仿宋_GB2312"/>
                <w:sz w:val="21"/>
              </w:rPr>
              <w:t>开展粮油产能提升主体培育。围绕保障国家粮食安全，以玉米新品种、新技术、新装备应用等为主要内容，组织开展玉米产能提升主体培育。开展全产业链技术、单项关键技术培训，普及水肥一体化技术，推进良田、良种、良法、良机融合，提升新型农业经营主体和服务主体的技术技能水平。</w:t>
            </w:r>
          </w:p>
          <w:p>
            <w:pPr>
              <w:pStyle w:val="null3"/>
              <w:ind w:firstLine="480"/>
              <w:jc w:val="both"/>
            </w:pPr>
            <w:r>
              <w:rPr>
                <w:rFonts w:ascii="仿宋_GB2312" w:hAnsi="仿宋_GB2312" w:cs="仿宋_GB2312" w:eastAsia="仿宋_GB2312"/>
                <w:sz w:val="21"/>
              </w:rPr>
              <w:t>开展植保无人机操作技能培育。围绕玉米、小麦等农作物开展无人机基础知识、操作规范流程、安全操作规范、维护保养飞行技能、及飞防知识等培训,提升其现代化生产经营能力水平</w:t>
            </w:r>
          </w:p>
          <w:p>
            <w:pPr>
              <w:pStyle w:val="null3"/>
              <w:ind w:firstLine="480"/>
              <w:jc w:val="both"/>
            </w:pPr>
            <w:r>
              <w:rPr>
                <w:rFonts w:ascii="仿宋_GB2312" w:hAnsi="仿宋_GB2312" w:cs="仿宋_GB2312" w:eastAsia="仿宋_GB2312"/>
                <w:sz w:val="21"/>
              </w:rPr>
              <w:t>技术要求：</w:t>
            </w:r>
          </w:p>
          <w:p>
            <w:pPr>
              <w:pStyle w:val="null3"/>
              <w:ind w:firstLine="480"/>
              <w:jc w:val="both"/>
            </w:pPr>
            <w:r>
              <w:rPr>
                <w:rFonts w:ascii="仿宋_GB2312" w:hAnsi="仿宋_GB2312" w:cs="仿宋_GB2312" w:eastAsia="仿宋_GB2312"/>
                <w:sz w:val="21"/>
              </w:rPr>
              <w:t>（一）遴选培育对象。培育对象为正在从事或有意愿从事农业农村领域生产、经营、服务的农民和返乡人员，年龄在16至55周岁，以乡村产业带头人、新型农业经营主体负责人或骨干、涉农企业经营者、种植大户、电商积极分子、社会化服务组织为主，确保培育的针对性。</w:t>
            </w:r>
          </w:p>
          <w:p>
            <w:pPr>
              <w:pStyle w:val="null3"/>
              <w:ind w:firstLine="480"/>
              <w:jc w:val="both"/>
            </w:pPr>
            <w:r>
              <w:rPr>
                <w:rFonts w:ascii="仿宋_GB2312" w:hAnsi="仿宋_GB2312" w:cs="仿宋_GB2312" w:eastAsia="仿宋_GB2312"/>
                <w:sz w:val="21"/>
              </w:rPr>
              <w:t>（二）优选培育机构。按照公开、公平、公正的原则，2025年高素质农民培育项目以竞争性立项的方式精准遴选培育机构。承担培育任务的培育机构经确定后，按规定履行公开公示程序。与培育机构签订培育合同，明确培育的目标任务、完成期限、培训方式、质量要求和绩效目标等。培育机构按照方案要求分层、分级、分类组织开展培训工作，确保培训质量。</w:t>
            </w:r>
          </w:p>
          <w:p>
            <w:pPr>
              <w:pStyle w:val="null3"/>
              <w:ind w:firstLine="480"/>
              <w:jc w:val="both"/>
            </w:pPr>
            <w:r>
              <w:rPr>
                <w:rFonts w:ascii="仿宋_GB2312" w:hAnsi="仿宋_GB2312" w:cs="仿宋_GB2312" w:eastAsia="仿宋_GB2312"/>
                <w:sz w:val="21"/>
              </w:rPr>
              <w:t>（三）保证培育时间。按照高素质农民培育规范（修订），建立模块化课程体系，合理设计综合素养课、专业技能课、能力拓展课。每期培训班总学时为80学时，1学时为45分钟，每天不超过8个学时。其中：综合素养课不低于总学时的10%，专业技能课不低于总学时的70%，能力拓展课不高于总学时的20%。线上学习不高于总学时的15%，实践教学不低于专业课时的50%。</w:t>
            </w:r>
          </w:p>
          <w:p>
            <w:pPr>
              <w:pStyle w:val="null3"/>
              <w:ind w:firstLine="480"/>
              <w:jc w:val="both"/>
            </w:pPr>
            <w:r>
              <w:rPr>
                <w:rFonts w:ascii="仿宋_GB2312" w:hAnsi="仿宋_GB2312" w:cs="仿宋_GB2312" w:eastAsia="仿宋_GB2312"/>
                <w:sz w:val="21"/>
              </w:rPr>
              <w:t>（四）合理设置课程。综合素养课要将新时代中国特色社会主义思想、社会主义核心价值观教育，以及党的“三农”路线、方针、政策等作为首要内容，包括思想政治、政策法规、职业素养和文化素养等课程，上好“开班第一课”，“开班第一课”应包括当年中央一号文件和农业农村部相关部署要求等内容；专业技能课应根据培育对象、培训班次，紧紧围绕培育主题开设；能力拓展课根据培育对象和培育目标进行设计；培训结束开展线上评价。</w:t>
            </w:r>
          </w:p>
          <w:p>
            <w:pPr>
              <w:pStyle w:val="null3"/>
              <w:ind w:firstLine="480"/>
              <w:jc w:val="both"/>
            </w:pPr>
            <w:r>
              <w:rPr>
                <w:rFonts w:ascii="仿宋_GB2312" w:hAnsi="仿宋_GB2312" w:cs="仿宋_GB2312" w:eastAsia="仿宋_GB2312"/>
                <w:sz w:val="21"/>
              </w:rPr>
              <w:t>（五）丰富培育方式。培育主要通过课堂教学（包含线上线下）、实践教学、观摩交流、跟踪服务等形式进行。按照综合素养课、专业技能课、能力拓展课等分类建立模块化课程体系，综合考虑农时农事特点和人才培养规律，合理设计课程，选择集中或分开时开展。</w:t>
            </w:r>
          </w:p>
          <w:p>
            <w:pPr>
              <w:pStyle w:val="null3"/>
              <w:ind w:firstLine="480"/>
              <w:jc w:val="both"/>
            </w:pPr>
            <w:r>
              <w:rPr>
                <w:rFonts w:ascii="仿宋_GB2312" w:hAnsi="仿宋_GB2312" w:cs="仿宋_GB2312" w:eastAsia="仿宋_GB2312"/>
                <w:sz w:val="21"/>
              </w:rPr>
              <w:t>1.课堂教学。主要以集中授课、典型介绍、案例分享、小组讨论等培训为主，把优质教学资源引进课堂，充分调动学员的学习主动性、课堂互动性，引导学员相互学习，不仅接受新知识和技术，还要会应用知识技术。</w:t>
            </w:r>
          </w:p>
          <w:p>
            <w:pPr>
              <w:pStyle w:val="null3"/>
              <w:ind w:firstLine="480"/>
              <w:jc w:val="both"/>
            </w:pPr>
            <w:r>
              <w:rPr>
                <w:rFonts w:ascii="仿宋_GB2312" w:hAnsi="仿宋_GB2312" w:cs="仿宋_GB2312" w:eastAsia="仿宋_GB2312"/>
                <w:sz w:val="21"/>
              </w:rPr>
              <w:t>2.实操实践。以组织学员到实践场所实地体验、动手操作、现场交流等形式开展，配备教辅人员，明确教学目标，完善教学流程。</w:t>
            </w:r>
          </w:p>
          <w:p>
            <w:pPr>
              <w:pStyle w:val="null3"/>
              <w:ind w:firstLine="480"/>
              <w:jc w:val="both"/>
            </w:pPr>
            <w:r>
              <w:rPr>
                <w:rFonts w:ascii="仿宋_GB2312" w:hAnsi="仿宋_GB2312" w:cs="仿宋_GB2312" w:eastAsia="仿宋_GB2312"/>
                <w:sz w:val="21"/>
              </w:rPr>
              <w:t>3.观摩交流。加大实地案例教学，开展现场学习交流，带领学员“走出去”学习产业发展经验，拓宽发展思路，提升发展能力。</w:t>
            </w:r>
          </w:p>
          <w:p>
            <w:pPr>
              <w:pStyle w:val="null3"/>
              <w:ind w:firstLine="480"/>
              <w:jc w:val="both"/>
            </w:pPr>
            <w:r>
              <w:rPr>
                <w:rFonts w:ascii="仿宋_GB2312" w:hAnsi="仿宋_GB2312" w:cs="仿宋_GB2312" w:eastAsia="仿宋_GB2312"/>
                <w:sz w:val="21"/>
              </w:rPr>
              <w:t>4.线上学习。充分利用“全国农业科教云平台”“云上智农APP”、微信群等开展网络直播、课件学习、线上辅导，确保线上培训质量。</w:t>
            </w:r>
          </w:p>
          <w:p>
            <w:pPr>
              <w:pStyle w:val="null3"/>
              <w:ind w:firstLine="480"/>
              <w:jc w:val="both"/>
            </w:pPr>
            <w:r>
              <w:rPr>
                <w:rFonts w:ascii="仿宋_GB2312" w:hAnsi="仿宋_GB2312" w:cs="仿宋_GB2312" w:eastAsia="仿宋_GB2312"/>
                <w:sz w:val="21"/>
              </w:rPr>
              <w:t>（六）确定培训教材。按照“规范、先进、实用”的原则，免费为每一位培育对象筛选征订3本教材，同时，组织高素质农民及相关专家编印一批具备地域特色、操作性、实用性较强的技术指导手册、宣传资料，免费提供给培育对象参考学习，确保培训效果。</w:t>
            </w:r>
          </w:p>
          <w:p>
            <w:pPr>
              <w:pStyle w:val="null3"/>
              <w:ind w:firstLine="480"/>
              <w:jc w:val="both"/>
            </w:pPr>
            <w:r>
              <w:rPr>
                <w:rFonts w:ascii="仿宋_GB2312" w:hAnsi="仿宋_GB2312" w:cs="仿宋_GB2312" w:eastAsia="仿宋_GB2312"/>
                <w:sz w:val="21"/>
              </w:rPr>
              <w:t>（七）遴选优秀师资。高素质农民培育师资优先从师资库遴选确定，遴选专业理论水平高、实践经验和教学经验丰富、语言表达能力强、深受农民欢迎的专家、教授、农技推广人员，以及新型农业经营主体的优秀管理者和技术人才、“土专家”为授课教师，每期培训班至少聘请1名以上的省级专家。根据培训具体内容，确定开展理论、实习、实践教学活动等，专业技能实训实践同理论教学相结合，交叉进行。</w:t>
            </w:r>
          </w:p>
          <w:p>
            <w:pPr>
              <w:pStyle w:val="null3"/>
              <w:ind w:firstLine="480"/>
              <w:jc w:val="both"/>
            </w:pPr>
            <w:r>
              <w:rPr>
                <w:rFonts w:ascii="仿宋_GB2312" w:hAnsi="仿宋_GB2312" w:cs="仿宋_GB2312" w:eastAsia="仿宋_GB2312"/>
                <w:sz w:val="21"/>
              </w:rPr>
              <w:t>（八）做好跟踪服务。在课堂教学、实践教学和交流观摩全部完成后对学员开展跟踪服务，时长不超过1年，次数不少于2次。跟踪服务人数不少于参训学员的30%，跟踪服务形式包括技术指导、政策推介、发展帮扶、组织交流互助、参加技能大赛、展会、农产品交易活动等。</w:t>
            </w:r>
          </w:p>
          <w:p>
            <w:pPr>
              <w:pStyle w:val="null3"/>
              <w:ind w:firstLine="480"/>
              <w:jc w:val="both"/>
            </w:pP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jc w:val="both"/>
            </w:pPr>
            <w:r>
              <w:rPr>
                <w:rFonts w:ascii="仿宋_GB2312" w:hAnsi="仿宋_GB2312" w:cs="仿宋_GB2312" w:eastAsia="仿宋_GB2312"/>
                <w:sz w:val="21"/>
              </w:rPr>
              <w:t>二标段（预算金额：70万元）：特色产业经营主体能力提升班2个100人，新型农业经营主体数字化技能应用能力提升专题班1个50人。</w:t>
            </w:r>
          </w:p>
          <w:p>
            <w:pPr>
              <w:pStyle w:val="null3"/>
              <w:ind w:firstLine="480"/>
              <w:jc w:val="both"/>
            </w:pPr>
            <w:r>
              <w:rPr>
                <w:rFonts w:ascii="仿宋_GB2312" w:hAnsi="仿宋_GB2312" w:cs="仿宋_GB2312" w:eastAsia="仿宋_GB2312"/>
                <w:sz w:val="21"/>
              </w:rPr>
              <w:t>开展重要农产品生产经营主体能力提升培育。围绕经济作物苹果等特色产业为主，以种植理论、生产技术、质量安全和绿色发展为主要内容，提升其生产经营能力水平。</w:t>
            </w:r>
          </w:p>
          <w:p>
            <w:pPr>
              <w:pStyle w:val="null3"/>
              <w:ind w:firstLine="480"/>
              <w:jc w:val="both"/>
            </w:pPr>
            <w:r>
              <w:rPr>
                <w:rFonts w:ascii="仿宋_GB2312" w:hAnsi="仿宋_GB2312" w:cs="仿宋_GB2312" w:eastAsia="仿宋_GB2312"/>
                <w:sz w:val="21"/>
              </w:rPr>
              <w:t>开展新型农业经营主体数字化技能应用能力提升专题培育围绕农村一二三产业融合发展和乡村新产业、新业态的人才需求，开展数字经济时代下的 AI+农村电商、农产品品牌打造、农产品销售等为主要内容,培养一批具有长期发展带动能力的青年带头人。</w:t>
            </w:r>
          </w:p>
          <w:p>
            <w:pPr>
              <w:pStyle w:val="null3"/>
              <w:ind w:firstLine="480"/>
              <w:jc w:val="both"/>
            </w:pPr>
            <w:r>
              <w:rPr>
                <w:rFonts w:ascii="仿宋_GB2312" w:hAnsi="仿宋_GB2312" w:cs="仿宋_GB2312" w:eastAsia="仿宋_GB2312"/>
                <w:sz w:val="21"/>
              </w:rPr>
              <w:t>技术要求：</w:t>
            </w:r>
          </w:p>
          <w:p>
            <w:pPr>
              <w:pStyle w:val="null3"/>
              <w:ind w:firstLine="480"/>
              <w:jc w:val="both"/>
            </w:pPr>
            <w:r>
              <w:rPr>
                <w:rFonts w:ascii="仿宋_GB2312" w:hAnsi="仿宋_GB2312" w:cs="仿宋_GB2312" w:eastAsia="仿宋_GB2312"/>
                <w:sz w:val="21"/>
              </w:rPr>
              <w:t>（一）遴选培育对象。培育对象为正在从事或有意愿从事农业农村领域生产、经营、服务的农民和返乡人员，年龄在16至55周岁，以乡村产业带头人、新型农业经营主体负责人或骨干、涉农企业经营者、种植大户、电商积极分子、社会化服务组织为主，确保培育的针对性。</w:t>
            </w:r>
          </w:p>
          <w:p>
            <w:pPr>
              <w:pStyle w:val="null3"/>
              <w:ind w:firstLine="480"/>
              <w:jc w:val="both"/>
            </w:pPr>
            <w:r>
              <w:rPr>
                <w:rFonts w:ascii="仿宋_GB2312" w:hAnsi="仿宋_GB2312" w:cs="仿宋_GB2312" w:eastAsia="仿宋_GB2312"/>
                <w:sz w:val="21"/>
              </w:rPr>
              <w:t>（二）优选培育机构。按照公开、公平、公正的原则，2025年高素质农民培育项目以竞争性立项的方式精准遴选培育机构。承担培育任务的培育机构经确定后，按规定履行公开公示程序。与培育机构签订培育合同，明确培育的目标任务、完成期限、培训方式、质量要求和绩效目标等。培育机构按照方案要求分层、分级、分类组织开展培训工作，确保培训质量。</w:t>
            </w:r>
          </w:p>
          <w:p>
            <w:pPr>
              <w:pStyle w:val="null3"/>
              <w:ind w:firstLine="480"/>
              <w:jc w:val="both"/>
            </w:pPr>
            <w:r>
              <w:rPr>
                <w:rFonts w:ascii="仿宋_GB2312" w:hAnsi="仿宋_GB2312" w:cs="仿宋_GB2312" w:eastAsia="仿宋_GB2312"/>
                <w:sz w:val="21"/>
              </w:rPr>
              <w:t>（三）保证培育时间。按照高素质农民培育规范（修订），建立模块化课程体系，合理设计综合素养课、专业技能课、能力拓展课。每期培训班总学时为80学时，1学时为45分钟，每天不超过8个学时。其中：综合素养课不低于总学时的10%，专业技能课不低于总学时的70%，能力拓展课不高于总学时的20%。线上学习不高于总学时的15%，实践教学不低于专业课时的50%。</w:t>
            </w:r>
          </w:p>
          <w:p>
            <w:pPr>
              <w:pStyle w:val="null3"/>
              <w:ind w:firstLine="480"/>
              <w:jc w:val="both"/>
            </w:pPr>
            <w:r>
              <w:rPr>
                <w:rFonts w:ascii="仿宋_GB2312" w:hAnsi="仿宋_GB2312" w:cs="仿宋_GB2312" w:eastAsia="仿宋_GB2312"/>
                <w:sz w:val="21"/>
              </w:rPr>
              <w:t>（四）合理设置课程。综合素养课要将新时代中国特色社会主义思想、社会主义核心价值观教育，以及党的“三农”路线、方针、政策等作为首要内容，包括思想政治、政策法规、职业素养和文化素养等课程，上好“开班第一课”，“开班第一课”应包括当年中央一号文件和农业农村部相关部署要求等内容；专业技能课应根据培育对象、培训班次，紧紧围绕培育主题开设；能力拓展课根据培育对象和培育目标进行设计；培训结束开展线上评价。</w:t>
            </w:r>
          </w:p>
          <w:p>
            <w:pPr>
              <w:pStyle w:val="null3"/>
              <w:ind w:firstLine="480"/>
              <w:jc w:val="both"/>
            </w:pPr>
            <w:r>
              <w:rPr>
                <w:rFonts w:ascii="仿宋_GB2312" w:hAnsi="仿宋_GB2312" w:cs="仿宋_GB2312" w:eastAsia="仿宋_GB2312"/>
                <w:sz w:val="21"/>
              </w:rPr>
              <w:t>（五）丰富培育方式。培育主要通过课堂教学（包含线上线下）、实践教学、观摩交流、跟踪服务等形式进行。按照综合素养课、专业技能课、能力拓展课等分类建立模块化课程体系，综合考虑农时农事特点和人才培养规律，合理设计课程，选择集中或分开时开展。</w:t>
            </w:r>
          </w:p>
          <w:p>
            <w:pPr>
              <w:pStyle w:val="null3"/>
              <w:ind w:firstLine="480"/>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课堂教学。主要以集中授课、典型介绍、案例分享、小组讨论等培训为主，把优质教学资源引进课堂，充分调动学员的学习主动性、课堂互动性，引导学员相互学习，不仅接受新知识和技术，还要会应用知识技术。</w:t>
            </w:r>
          </w:p>
          <w:p>
            <w:pPr>
              <w:pStyle w:val="null3"/>
              <w:ind w:firstLine="480"/>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实操实践。以组织学员到实践场所实地体验、动手操作、现场交流等形式开展，配备教辅人员，明确教学目标，完善教学流程。</w:t>
            </w:r>
          </w:p>
          <w:p>
            <w:pPr>
              <w:pStyle w:val="null3"/>
              <w:ind w:firstLine="480"/>
              <w:jc w:val="both"/>
            </w:pPr>
            <w:r>
              <w:rPr>
                <w:rFonts w:ascii="仿宋_GB2312" w:hAnsi="仿宋_GB2312" w:cs="仿宋_GB2312" w:eastAsia="仿宋_GB2312"/>
                <w:sz w:val="21"/>
              </w:rPr>
              <w:t>3.观摩交流。加大实地案例教学，开展现场学习交流，带领学员“走出去”学习产业发展经验，拓宽发展思路，提升发展能力。</w:t>
            </w:r>
          </w:p>
          <w:p>
            <w:pPr>
              <w:pStyle w:val="null3"/>
              <w:ind w:firstLine="480"/>
              <w:jc w:val="both"/>
            </w:pPr>
            <w:r>
              <w:rPr>
                <w:rFonts w:ascii="仿宋_GB2312" w:hAnsi="仿宋_GB2312" w:cs="仿宋_GB2312" w:eastAsia="仿宋_GB2312"/>
                <w:sz w:val="21"/>
              </w:rPr>
              <w:t>4.线上学习。充分利用“全国农业科教云平台”“云上智农APP”、微信群等开展网络直播、课件学习、线上辅导，确保线上培训质量。</w:t>
            </w:r>
          </w:p>
          <w:p>
            <w:pPr>
              <w:pStyle w:val="null3"/>
              <w:ind w:firstLine="480"/>
              <w:jc w:val="both"/>
            </w:pPr>
            <w:r>
              <w:rPr>
                <w:rFonts w:ascii="仿宋_GB2312" w:hAnsi="仿宋_GB2312" w:cs="仿宋_GB2312" w:eastAsia="仿宋_GB2312"/>
                <w:sz w:val="21"/>
              </w:rPr>
              <w:t>（六）确定培训教材。按照“规范、先进、实用”的原则，免费为每一位培育对象筛选征订3本教材，同时，组织高素质农民及相关专家编印一批具备地域特色、操作性、实用性较强的技术指导手册、宣传资料，免费提供给培育对象参考学习，确保培训效果。</w:t>
            </w:r>
          </w:p>
          <w:p>
            <w:pPr>
              <w:pStyle w:val="null3"/>
              <w:ind w:firstLine="480"/>
              <w:jc w:val="both"/>
            </w:pPr>
            <w:r>
              <w:rPr>
                <w:rFonts w:ascii="仿宋_GB2312" w:hAnsi="仿宋_GB2312" w:cs="仿宋_GB2312" w:eastAsia="仿宋_GB2312"/>
                <w:sz w:val="21"/>
              </w:rPr>
              <w:t>（七）遴选优秀师资。高素质农民培育师资优先从师资库遴选确定，遴选专业理论水平高、实践经验和教学经验丰富、语言表达能力强、深受农民欢迎的专家、教授、农技推广人员，以及新型农业经营主体的优秀管理者和技术人才、“土专家”为授课教师，每期培训班至少聘请1名以上的省级专家。根据培训具体内容，确定开展理论、实习、实践教学活动等，专业技能实训实践同理论教学相结合，交叉进行。</w:t>
            </w:r>
          </w:p>
          <w:p>
            <w:pPr>
              <w:pStyle w:val="null3"/>
              <w:ind w:firstLine="480"/>
              <w:jc w:val="both"/>
            </w:pPr>
            <w:r>
              <w:rPr>
                <w:rFonts w:ascii="仿宋_GB2312" w:hAnsi="仿宋_GB2312" w:cs="仿宋_GB2312" w:eastAsia="仿宋_GB2312"/>
                <w:sz w:val="21"/>
              </w:rPr>
              <w:t>（八）做好跟踪服务。在课堂教学、实践教学和交流观摩全部完成后对学员开展跟踪服务，时长不超过1年，次数不少于2次。跟踪服务人数不少于参训学员的</w:t>
            </w:r>
            <w:r>
              <w:rPr>
                <w:rFonts w:ascii="仿宋_GB2312" w:hAnsi="仿宋_GB2312" w:cs="仿宋_GB2312" w:eastAsia="仿宋_GB2312"/>
                <w:sz w:val="21"/>
              </w:rPr>
              <w:t>3</w:t>
            </w:r>
            <w:r>
              <w:rPr>
                <w:rFonts w:ascii="仿宋_GB2312" w:hAnsi="仿宋_GB2312" w:cs="仿宋_GB2312" w:eastAsia="仿宋_GB2312"/>
                <w:sz w:val="21"/>
              </w:rPr>
              <w:t>0%，跟踪服务形式包括技术指导、政策推介、发展帮扶、组织交流互助、参加技能大赛、展会、农产品交易活动等。</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具有专业项目人员配置。</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具有专业项目人员配置。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双方签订合同时具体约定。</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合同签订之日起240日历天。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合同签订之日起240日历天。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本项目由采购单位相关部门对项目进行验收。②验收标准：按响应文件及澄清函、项目检查情况等综合指标进行验收；各项指标均应符合验收标准及要求。③验收依据（包括，合同文本；采购文件及澄清函、响应文件；国家和行业制定的相应的标准和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①本项目由采购单位相关部门对项目进行验收。②验收标准：按响应文件及澄清函、项目检查情况等综合指标进行验收；各项指标均应符合验收标准及要求。③验收依据（包括，合同文本；采购文件及澄清函、响应文件；国家和行业制定的相应的标准和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满足采购人要求，达到合格标准（支付方式双方合同签订时具体约定）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满足采购人要求，达到合格标准（支付方式双方合同签订时具体约定）</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同执行中发生争议的，当事人双方应协商解决。协商达不成一致时，可向同级行政仲裁机关申请仲裁。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同执行中发生争议的，当事人双方应协商解决。协商达不成一致时，可向同级行政仲裁机关申请仲裁。</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双方签订合同时具体约定。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具有独立承担民事责任的能力，提供法人或者其他组织的营业执照等证明文件，自然人参与的提供其有效身份证明。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具有履行合同所必需的设备和专业技术能力（提供承诺函）</w:t>
            </w:r>
          </w:p>
        </w:tc>
        <w:tc>
          <w:tcPr>
            <w:tcW w:type="dxa" w:w="3322"/>
          </w:tcPr>
          <w:p>
            <w:pPr>
              <w:pStyle w:val="null3"/>
            </w:pPr>
            <w:r>
              <w:rPr>
                <w:rFonts w:ascii="仿宋_GB2312" w:hAnsi="仿宋_GB2312" w:cs="仿宋_GB2312" w:eastAsia="仿宋_GB2312"/>
              </w:rPr>
              <w:t>具有履行合同所必需的设备和专业技术能力（提供承诺函）。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依法缴纳税收和社会保障资金相关材料（磋商截止日前六个月内任意一个月）</w:t>
            </w:r>
          </w:p>
        </w:tc>
        <w:tc>
          <w:tcPr>
            <w:tcW w:type="dxa" w:w="3322"/>
          </w:tcPr>
          <w:p>
            <w:pPr>
              <w:pStyle w:val="null3"/>
            </w:pPr>
            <w:r>
              <w:rPr>
                <w:rFonts w:ascii="仿宋_GB2312" w:hAnsi="仿宋_GB2312" w:cs="仿宋_GB2312" w:eastAsia="仿宋_GB2312"/>
              </w:rPr>
              <w:t>依法缴纳税收和社会保障资金相关材料（磋商截止日前六个月内任意一个月）。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3322"/>
          </w:tcPr>
          <w:p>
            <w:pPr>
              <w:pStyle w:val="null3"/>
            </w:pPr>
            <w:r>
              <w:rPr>
                <w:rFonts w:ascii="仿宋_GB2312" w:hAnsi="仿宋_GB2312" w:cs="仿宋_GB2312" w:eastAsia="仿宋_GB2312"/>
              </w:rPr>
              <w:t>供应商需提供2024年度财务审计报告或提供文件递交截止日前三个月内从基本户银行开具的资信证明。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3322"/>
          </w:tcPr>
          <w:p>
            <w:pPr>
              <w:pStyle w:val="null3"/>
            </w:pPr>
            <w:r>
              <w:rPr>
                <w:rFonts w:ascii="仿宋_GB2312" w:hAnsi="仿宋_GB2312" w:cs="仿宋_GB2312" w:eastAsia="仿宋_GB2312"/>
              </w:rPr>
              <w:t>法定代表人直接参加磋商的，须出具法人身份证；授权代表参加磋商的，须出具授权书及授权代表身份证。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3322"/>
          </w:tcPr>
          <w:p>
            <w:pPr>
              <w:pStyle w:val="null3"/>
            </w:pPr>
            <w:r>
              <w:rPr>
                <w:rFonts w:ascii="仿宋_GB2312" w:hAnsi="仿宋_GB2312" w:cs="仿宋_GB2312" w:eastAsia="仿宋_GB2312"/>
              </w:rPr>
              <w:t>供应商出具本企业参加政府采购活动前三年内经营活动中没有重大违法记录的书面声明。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3322"/>
          </w:tcPr>
          <w:p>
            <w:pPr>
              <w:pStyle w:val="null3"/>
            </w:pPr>
            <w:r>
              <w:rPr>
                <w:rFonts w:ascii="仿宋_GB2312" w:hAnsi="仿宋_GB2312" w:cs="仿宋_GB2312" w:eastAsia="仿宋_GB2312"/>
              </w:rPr>
              <w:t>供应商不得为“信用中国”中列入失信被执行人和重大税收违法案件当事人名单的供应商，不得为“中国政府采购网” 政府采购严重违法失信行为记录名单中被财政部门禁止参加政府采购活动的供应商（必备资格，以评审现场查询结果为准，达不到要求，视为无效）。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符合“磋商响应文件格式”要求。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pPr>
      <w:r>
        <w:rPr>
          <w:rFonts w:ascii="仿宋_GB2312" w:hAnsi="仿宋_GB2312" w:cs="仿宋_GB2312" w:eastAsia="仿宋_GB2312"/>
        </w:rPr>
        <w:t>采购包2：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评审内容：供应商针对本次培训制定进度计划方案，内容包括：①项目实施②工作内容安排③进度保障措施。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评审内容：供应商提供针对本项目所配备的人员，内容包括：①服务团队 ②内部职责分工③培训管理制度。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评审内容：供应商提供针对本次培训组织管理安排，内容包括：①培训组织管理安排实施方案②学员考勤制度、结业安排③培训现场安全及秩序维护。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评审内容：供应商具有针对本项目的安全及突发性事件的处理，内容包括：①学员安全保障措施②应急突发事件的保障措施。 评审标准：各部分内容全面详细、阐述条理清晰详尽、符合本项目采购需求，能保障本项目实施得6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供应商提供2022年至今（以合同签订日期为准）类似项目业绩，以合同复印件为准，每一份计0.5分，最多计2分。评审标准： 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评审内容：供应商对本次培训的理解、内容包括：①项目背景的解读与分析②培训内容③培训目标④培训思路。 评审标准：各部分内容全面详细、阐述条理清晰详尽、符合本项目采购需求，能保障本项目实施得10分；评审内容每缺一项扣2.5分，评审内容有缺陷未完全响应评审标准的每有一项缺陷扣0.5分，扣完为止。 (“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评审内容：供应商针对本次培训提供具体详细可行的服务方案，内容包括：①整体培训方案②培训大纲③培训人数、培训时长、培训方式④课程设置。 评审标准：各部分内容全面详细、阐述条理清晰详尽、符合本项目采购需求，能保障本项目实施得12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实施进度计划</w:t>
            </w:r>
          </w:p>
        </w:tc>
        <w:tc>
          <w:tcPr>
            <w:tcW w:type="dxa" w:w="2492"/>
          </w:tcPr>
          <w:p>
            <w:pPr>
              <w:pStyle w:val="null3"/>
            </w:pPr>
            <w:r>
              <w:rPr>
                <w:rFonts w:ascii="仿宋_GB2312" w:hAnsi="仿宋_GB2312" w:cs="仿宋_GB2312" w:eastAsia="仿宋_GB2312"/>
              </w:rPr>
              <w:t>评审内容：供应商针对本次培训制定进度计划方案，内容包括：①项目实施②工作内容安排③进度保障措施。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服务团队配备</w:t>
            </w:r>
          </w:p>
        </w:tc>
        <w:tc>
          <w:tcPr>
            <w:tcW w:type="dxa" w:w="2492"/>
          </w:tcPr>
          <w:p>
            <w:pPr>
              <w:pStyle w:val="null3"/>
            </w:pPr>
            <w:r>
              <w:rPr>
                <w:rFonts w:ascii="仿宋_GB2312" w:hAnsi="仿宋_GB2312" w:cs="仿宋_GB2312" w:eastAsia="仿宋_GB2312"/>
              </w:rPr>
              <w:t>评审内容：供应商提供针对本项目所配备的人员，内容包括：①服务团队 ②内部职责分工③培训管理制度。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评审内容：供应商提供针对本次培训组织管理安排，内容包括：①培训组织管理安排实施方案②学员考勤制度、结业安排③培训现场安全及秩序维护。 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评审内容：供应商提供针对本次培训考核及评价，内容报告：①制定学员培训考核办法②培训考核及评价建设方案③提供项目绩效评估相关资料。评审标准：各部分内容全面详细、阐述条理清晰详尽、符合本项目采购需求，能保障本项目实施得12分；评审内容每缺一项扣4分，评审内容有缺陷未完全响应评审标准的每有一项缺陷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质量控制措施</w:t>
            </w:r>
          </w:p>
        </w:tc>
        <w:tc>
          <w:tcPr>
            <w:tcW w:type="dxa" w:w="2492"/>
          </w:tcPr>
          <w:p>
            <w:pPr>
              <w:pStyle w:val="null3"/>
            </w:pPr>
            <w:r>
              <w:rPr>
                <w:rFonts w:ascii="仿宋_GB2312" w:hAnsi="仿宋_GB2312" w:cs="仿宋_GB2312" w:eastAsia="仿宋_GB2312"/>
              </w:rPr>
              <w:t>评审内容：供应商应针对本项目提供完善的服务质量保证措施。内容报告： ①质量管理体系②质量保障措施③服务承诺； 评审标准：各部分内容全面详细、阐述条理清晰详尽、符合本项目采购需求，能保障本项目实施得12分；评审内容每缺一项扣4分，评审内容有缺陷未完全响应评审标准的每有一项扣1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安全管理措施</w:t>
            </w:r>
          </w:p>
        </w:tc>
        <w:tc>
          <w:tcPr>
            <w:tcW w:type="dxa" w:w="2492"/>
          </w:tcPr>
          <w:p>
            <w:pPr>
              <w:pStyle w:val="null3"/>
            </w:pPr>
            <w:r>
              <w:rPr>
                <w:rFonts w:ascii="仿宋_GB2312" w:hAnsi="仿宋_GB2312" w:cs="仿宋_GB2312" w:eastAsia="仿宋_GB2312"/>
              </w:rPr>
              <w:t>评审内容：供应商具有针对本项目的安全及突发性事件的处理，内容包括：①学员安全保障措施②应急突发事件的保障措施。 评审标准：各部分内容全面详细、阐述条理清晰详尽、符合本项目采购需求，能保障本项目实施得6分；评审内容每缺一项扣3分，评审内容有缺陷未完全响应评审标准的每有一项缺陷扣0.5分，扣完为止。(“缺陷”是指：内容描述过于简单没有关键点；条理不清晰；与项目内容不匹配、非专门针对本项目或不适用本项目特性；凭空编造，存在逻辑漏洞，出现常识性错误；不可能实现的夸大情形、存在不适用项目实际情况的情形等。)</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评审内容： 供应商提供2022年至今（以合同签订日期为准）类似项目业绩，以合同复印件为准，每一份计0.5分，最多计2分。评审标准： 业绩证明材料（以磋商响应文件中提供的合同复印件为准）。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采用低价优先法计算，即满足磋商文件要求且投标价格最低的投标报价为评标基准价，按照下列公式计算： 投标报价得分=（评标基准价/投标报价）×价格权值（即10%）×100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 府 采 购 合 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