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版本号：SXBH-ZFCG-2025-009.1B220251021001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宜君县210国道至城区排水防涝治理项目一标段设备(三次)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SXBH-ZFCG-2025-009.1B2</w:t>
      </w:r>
      <w:r>
        <w:br/>
      </w:r>
      <w:r>
        <w:br/>
      </w:r>
      <w:r>
        <w:br/>
      </w:r>
    </w:p>
    <w:p>
      <w:pPr>
        <w:pStyle w:val="null3"/>
        <w:jc w:val="center"/>
        <w:outlineLvl w:val="2"/>
      </w:pPr>
      <w:r>
        <w:rPr>
          <w:rFonts w:ascii="仿宋_GB2312" w:hAnsi="仿宋_GB2312" w:cs="仿宋_GB2312" w:eastAsia="仿宋_GB2312"/>
          <w:sz w:val="28"/>
          <w:b/>
        </w:rPr>
        <w:t>宜君县城乡建设和交通运输局</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宜君县城乡建设和交通运输局</w:t>
      </w:r>
      <w:r>
        <w:rPr>
          <w:rFonts w:ascii="仿宋_GB2312" w:hAnsi="仿宋_GB2312" w:cs="仿宋_GB2312" w:eastAsia="仿宋_GB2312"/>
        </w:rPr>
        <w:t>委托，拟对</w:t>
      </w:r>
      <w:r>
        <w:rPr>
          <w:rFonts w:ascii="仿宋_GB2312" w:hAnsi="仿宋_GB2312" w:cs="仿宋_GB2312" w:eastAsia="仿宋_GB2312"/>
        </w:rPr>
        <w:t>宜君县210国道至城区排水防涝治理项目一标段设备(三次)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SXBH-ZFCG-2025-009.1B2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宜君县210国道至城区排水防涝治理项目一标段设备(三次)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宜君县210国道至城区排水防涝治理项目一标段设备采购。具体详见招标文件采购内容。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采购包1（宜君县210国道至城区排水防涝治理项目一标段设备）：属于专门面向中小企业采购。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4、供应商应提供健全的财务会计制度的证明材料：供应商应具有良好的财务状况，须提供2021、2022、2023年经会计师事务所或审计机构审计的财务会计报表，包括报告正文、资产负债表、利润表、现金流量表及所有者权益变动表(无所有者权益表的提供书面说明)、附注和会计师事务所营业执照等，成立时间至提交投标文件截止时间不足一年的可提供成立后任意时段的资产负债表，或提交开标前六个月内其基本存款账户开户银行出具的资信证明及基本存款账户信息。供应商需在项目电子化交易系统中按要求上传相应证明文件并进行电子签章；</w:t>
      </w:r>
    </w:p>
    <w:p>
      <w:pPr>
        <w:pStyle w:val="null3"/>
      </w:pPr>
      <w:r>
        <w:rPr>
          <w:rFonts w:ascii="仿宋_GB2312" w:hAnsi="仿宋_GB2312" w:cs="仿宋_GB2312" w:eastAsia="仿宋_GB2312"/>
        </w:rPr>
        <w:t>5、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6、具有良好的商业信誉：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不得在“某内部采购网(www.plap.mil.cn)”某内部采购暂停名单处罚范围内或某内部采购失信名单禁入处罚期和处罚范围内；供应商为企业的，不得被列入“国家企业信用信息公示系统(http://www.gsxt.gov.cn/index.html)”行政处罚信息、经营异常名录信息及严重违法失信名单，除公司外其他主体不要求此条内容查询；（提供查询截图及承诺）供应商需在项目电子化交易系统中按要求上传相应证明文件并进行电子签章；</w:t>
      </w:r>
    </w:p>
    <w:p>
      <w:pPr>
        <w:pStyle w:val="null3"/>
      </w:pPr>
      <w:r>
        <w:rPr>
          <w:rFonts w:ascii="仿宋_GB2312" w:hAnsi="仿宋_GB2312" w:cs="仿宋_GB2312" w:eastAsia="仿宋_GB2312"/>
        </w:rPr>
        <w:t>7、法定代表人证明书或法定代表人授权书：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8、单位负责人为同一人或存在直接控股或管理关系的不同供应商，不得同时参加同一包的采购活动。生产场经营地址或注册登记地址为同一地址的不同生产型企业，股东和管理人员(法定代表人、董事或监事)之间存在近亲属或相互占股等关联关系的不同非国有销售型企业，也不得同时参加同一包的采购活动。近亲属指夫妻、直系血亲、三代以内旁系血亲或近姻亲关系；：单位负责人为同一人或存在直接控股或管理关系的不同供应商，不得同时参加同一包的采购活动。生产场经营地址或注册登记地址为同一地址的不同生产型企业，股东和管理人员(法定代表人、董事或监事)之间存在近亲属或相互占股等关联关系的不同非国有销售型企业，也不得同时参加同一包的采购活动。近亲属指夫妻、直系血亲、三代以内旁系血亲或近姻亲关系；（提供声明）供应商需在项目电子化交易系统中按要求上传相应证明文件并进行电子签章；</w:t>
      </w:r>
    </w:p>
    <w:p>
      <w:pPr>
        <w:pStyle w:val="null3"/>
      </w:pPr>
      <w:r>
        <w:rPr>
          <w:rFonts w:ascii="仿宋_GB2312" w:hAnsi="仿宋_GB2312" w:cs="仿宋_GB2312" w:eastAsia="仿宋_GB2312"/>
        </w:rPr>
        <w:t>9、具有履行合同所必需的设备和专业技术能力：具有履行合同所必需的设备和专业技术能力；（提供声明）供应商需在项目电子化交易系统中按要求上传相应证明文件并进行电子签章；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10、非联合体投标：本项目不接受联合体投标。（提供声明）供应商需在项目电子化交易系统中按要求上传相应证明文件并进行电子签章；</w:t>
      </w:r>
    </w:p>
    <w:p>
      <w:pPr>
        <w:pStyle w:val="null3"/>
      </w:pPr>
      <w:r>
        <w:rPr>
          <w:rFonts w:ascii="仿宋_GB2312" w:hAnsi="仿宋_GB2312" w:cs="仿宋_GB2312" w:eastAsia="仿宋_GB2312"/>
        </w:rPr>
        <w:t>11、供应商近三年(投标截止时间)没有因骗取中标、严重违约(包括但不限于)等不良或行为被处禁止投标：供应商近三年(投标截止时间)没有因骗取中标、严重违约(包括但不限于)等不良或行为被处禁止投标；（提供声明）供应商需在项目电子化交易系统中按要求上传相应证明文件并进行电子签章；</w:t>
      </w:r>
    </w:p>
    <w:p>
      <w:pPr>
        <w:pStyle w:val="null3"/>
      </w:pPr>
      <w:r>
        <w:rPr>
          <w:rFonts w:ascii="仿宋_GB2312" w:hAnsi="仿宋_GB2312" w:cs="仿宋_GB2312" w:eastAsia="仿宋_GB2312"/>
        </w:rPr>
        <w:t>12、供应商需具备环保工程专业承包三级及以上资质：供应商需具备环保工程专业承包三级及以上资质。（提供资质证书）供应商需在项目电子化交易系统中按要求上传相应证明文件并进行电子签章；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宜君县城乡建设和交通运输局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13992987918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陕西省铜川市印台区城关街道办事处南苑社区惠民佳苑8号楼2楼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王欢乐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13119219360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采购包1：2,949,800.00元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中标单位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宜君县城乡建设和交通运输局</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宜君县城乡建设和交通运输局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宜君县城乡建设和交通运输局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联系人：王欢乐</w:t>
      </w:r>
    </w:p>
    <w:p>
      <w:pPr>
        <w:pStyle w:val="null3"/>
      </w:pPr>
      <w:r>
        <w:rPr>
          <w:rFonts w:ascii="仿宋_GB2312" w:hAnsi="仿宋_GB2312" w:cs="仿宋_GB2312" w:eastAsia="仿宋_GB2312"/>
        </w:rPr>
        <w:t>联系电话：13119219360</w:t>
      </w:r>
    </w:p>
    <w:p>
      <w:pPr>
        <w:pStyle w:val="null3"/>
      </w:pPr>
      <w:r>
        <w:rPr>
          <w:rFonts w:ascii="仿宋_GB2312" w:hAnsi="仿宋_GB2312" w:cs="仿宋_GB2312" w:eastAsia="仿宋_GB2312"/>
        </w:rPr>
        <w:t>地址：惠民佳苑八号楼二楼会议室（住房公积金隔壁楼梯间上二楼）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宜君县210国道至城区排水防涝治理项目一标段设备采购。具体详见招标文件采购内容。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2,949,800.00</w:t>
      </w:r>
    </w:p>
    <w:p>
      <w:pPr>
        <w:pStyle w:val="null3"/>
      </w:pPr>
      <w:r>
        <w:rPr>
          <w:rFonts w:ascii="仿宋_GB2312" w:hAnsi="仿宋_GB2312" w:cs="仿宋_GB2312" w:eastAsia="仿宋_GB2312"/>
        </w:rPr>
        <w:t>采购包最高限价（元）: 2,949,800.00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排水防涝治理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标的名称：排水防涝治理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31"/>
              <w:gridCol w:w="422"/>
              <w:gridCol w:w="1096"/>
              <w:gridCol w:w="302"/>
              <w:gridCol w:w="197"/>
              <w:gridCol w:w="299"/>
            </w:tblGrid>
            <w:tr>
              <w:tc>
                <w:tcPr>
                  <w:tcW w:type="dxa" w:w="231"/>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422"/>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设备项目</w:t>
                  </w:r>
                </w:p>
              </w:tc>
              <w:tc>
                <w:tcPr>
                  <w:tcW w:type="dxa" w:w="1096"/>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规格参数</w:t>
                  </w:r>
                </w:p>
              </w:tc>
              <w:tc>
                <w:tcPr>
                  <w:tcW w:type="dxa" w:w="302"/>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97"/>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299"/>
                  <w:tcBorders>
                    <w:top w:val="single" w:color="000000" w:sz="4"/>
                    <w:left w:val="single" w:color="000000" w:sz="4"/>
                    <w:bottom w:val="single" w:color="000000" w:sz="4"/>
                    <w:right w:val="single" w:color="000000" w:sz="4"/>
                  </w:tcBorders>
                  <w:shd w:fill="B8CCE4"/>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材质</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主体设备</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L×B×H=8500×3000×3000</w:t>
                  </w:r>
                  <w:r>
                    <w:br/>
                  </w:r>
                  <w:r>
                    <w:rPr>
                      <w:rFonts w:ascii="仿宋_GB2312" w:hAnsi="仿宋_GB2312" w:cs="仿宋_GB2312" w:eastAsia="仿宋_GB2312"/>
                      <w:sz w:val="22"/>
                      <w:color w:val="000000"/>
                    </w:rPr>
                    <w:t xml:space="preserve"> 底板≥6mm，侧板≥6mm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座</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碳钢防腐</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主体设备</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L×B×H=6000×3000×3000</w:t>
                  </w:r>
                  <w:r>
                    <w:br/>
                  </w:r>
                  <w:r>
                    <w:rPr>
                      <w:rFonts w:ascii="仿宋_GB2312" w:hAnsi="仿宋_GB2312" w:cs="仿宋_GB2312" w:eastAsia="仿宋_GB2312"/>
                      <w:sz w:val="22"/>
                      <w:color w:val="000000"/>
                    </w:rPr>
                    <w:t xml:space="preserve"> 底板≥6mm，侧板≥6mm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座</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碳钢防腐</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主体设备</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L×B×H=7000×3000×3000</w:t>
                  </w:r>
                  <w:r>
                    <w:br/>
                  </w:r>
                  <w:r>
                    <w:rPr>
                      <w:rFonts w:ascii="仿宋_GB2312" w:hAnsi="仿宋_GB2312" w:cs="仿宋_GB2312" w:eastAsia="仿宋_GB2312"/>
                      <w:sz w:val="22"/>
                      <w:color w:val="000000"/>
                    </w:rPr>
                    <w:t xml:space="preserve"> 底板≥6mm，侧板≥6mm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座</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碳钢防腐</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提篮格栅</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500×500×500mm，B=5mm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座</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304</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提升泵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Q=15m³/h</w:t>
                  </w:r>
                  <w:r>
                    <w:rPr>
                      <w:rFonts w:ascii="仿宋_GB2312" w:hAnsi="仿宋_GB2312" w:cs="仿宋_GB2312" w:eastAsia="仿宋_GB2312"/>
                      <w:sz w:val="22"/>
                      <w:color w:val="000000"/>
                    </w:rPr>
                    <w:t>，</w:t>
                  </w:r>
                  <w:r>
                    <w:rPr>
                      <w:rFonts w:ascii="仿宋_GB2312" w:hAnsi="仿宋_GB2312" w:cs="仿宋_GB2312" w:eastAsia="仿宋_GB2312"/>
                      <w:sz w:val="22"/>
                      <w:color w:val="000000"/>
                    </w:rPr>
                    <w:t>H=10m</w:t>
                  </w:r>
                  <w:r>
                    <w:rPr>
                      <w:rFonts w:ascii="仿宋_GB2312" w:hAnsi="仿宋_GB2312" w:cs="仿宋_GB2312" w:eastAsia="仿宋_GB2312"/>
                      <w:sz w:val="22"/>
                      <w:color w:val="000000"/>
                    </w:rPr>
                    <w:t>，</w:t>
                  </w:r>
                  <w:r>
                    <w:rPr>
                      <w:rFonts w:ascii="仿宋_GB2312" w:hAnsi="仿宋_GB2312" w:cs="仿宋_GB2312" w:eastAsia="仿宋_GB2312"/>
                      <w:sz w:val="22"/>
                      <w:color w:val="000000"/>
                    </w:rPr>
                    <w:t>N≤1.5kw</w:t>
                  </w:r>
                  <w:r>
                    <w:br/>
                  </w:r>
                  <w:r>
                    <w:rPr>
                      <w:rFonts w:ascii="仿宋_GB2312" w:hAnsi="仿宋_GB2312" w:cs="仿宋_GB2312" w:eastAsia="仿宋_GB2312"/>
                      <w:sz w:val="22"/>
                      <w:color w:val="000000"/>
                    </w:rPr>
                    <w:t>切割式潜水泵</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超声波液位计</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分体式；测量范围：0-5m；带modbus通信接口，电源：220V</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电磁流量计</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分体式；DN50,供电：AC220V；输出：4～20mA；数据接口：RS485；</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潜水搅拌机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叶轮直径D=220mm，N≤0.55kw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水下304</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回转风机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Q=3.38m³/min，H=3m,N≤5.5kw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曝气盘</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Φ215，材质：EPDM、曝气盘直径：215mm、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EPDM</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硝化液回流泵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Q=35m³/h</w:t>
                  </w:r>
                  <w:r>
                    <w:rPr>
                      <w:rFonts w:ascii="仿宋_GB2312" w:hAnsi="仿宋_GB2312" w:cs="仿宋_GB2312" w:eastAsia="仿宋_GB2312"/>
                      <w:sz w:val="22"/>
                      <w:color w:val="000000"/>
                    </w:rPr>
                    <w:t>，</w:t>
                  </w:r>
                  <w:r>
                    <w:rPr>
                      <w:rFonts w:ascii="仿宋_GB2312" w:hAnsi="仿宋_GB2312" w:cs="仿宋_GB2312" w:eastAsia="仿宋_GB2312"/>
                      <w:sz w:val="22"/>
                      <w:color w:val="000000"/>
                    </w:rPr>
                    <w:t>H=8m</w:t>
                  </w:r>
                  <w:r>
                    <w:rPr>
                      <w:rFonts w:ascii="仿宋_GB2312" w:hAnsi="仿宋_GB2312" w:cs="仿宋_GB2312" w:eastAsia="仿宋_GB2312"/>
                      <w:sz w:val="22"/>
                      <w:color w:val="000000"/>
                    </w:rPr>
                    <w:t>，</w:t>
                  </w:r>
                  <w:r>
                    <w:rPr>
                      <w:rFonts w:ascii="仿宋_GB2312" w:hAnsi="仿宋_GB2312" w:cs="仿宋_GB2312" w:eastAsia="仿宋_GB2312"/>
                      <w:sz w:val="22"/>
                      <w:color w:val="000000"/>
                    </w:rPr>
                    <w:t>N≤2.2kw</w:t>
                  </w:r>
                  <w:r>
                    <w:br/>
                  </w:r>
                  <w:r>
                    <w:rPr>
                      <w:rFonts w:ascii="仿宋_GB2312" w:hAnsi="仿宋_GB2312" w:cs="仿宋_GB2312" w:eastAsia="仿宋_GB2312"/>
                      <w:sz w:val="22"/>
                      <w:color w:val="000000"/>
                    </w:rPr>
                    <w:t>潜水泵</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污泥回流泵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Q=15m³/h</w:t>
                  </w:r>
                  <w:r>
                    <w:rPr>
                      <w:rFonts w:ascii="仿宋_GB2312" w:hAnsi="仿宋_GB2312" w:cs="仿宋_GB2312" w:eastAsia="仿宋_GB2312"/>
                      <w:sz w:val="22"/>
                      <w:color w:val="000000"/>
                    </w:rPr>
                    <w:t>，</w:t>
                  </w:r>
                  <w:r>
                    <w:rPr>
                      <w:rFonts w:ascii="仿宋_GB2312" w:hAnsi="仿宋_GB2312" w:cs="仿宋_GB2312" w:eastAsia="仿宋_GB2312"/>
                      <w:sz w:val="22"/>
                      <w:color w:val="000000"/>
                    </w:rPr>
                    <w:t>H=10m</w:t>
                  </w:r>
                  <w:r>
                    <w:rPr>
                      <w:rFonts w:ascii="仿宋_GB2312" w:hAnsi="仿宋_GB2312" w:cs="仿宋_GB2312" w:eastAsia="仿宋_GB2312"/>
                      <w:sz w:val="22"/>
                      <w:color w:val="000000"/>
                    </w:rPr>
                    <w:t>，</w:t>
                  </w:r>
                  <w:r>
                    <w:rPr>
                      <w:rFonts w:ascii="仿宋_GB2312" w:hAnsi="仿宋_GB2312" w:cs="仿宋_GB2312" w:eastAsia="仿宋_GB2312"/>
                      <w:sz w:val="22"/>
                      <w:color w:val="000000"/>
                    </w:rPr>
                    <w:t>N≤1.1kw</w:t>
                  </w:r>
                  <w:r>
                    <w:br/>
                  </w:r>
                  <w:r>
                    <w:rPr>
                      <w:rFonts w:ascii="仿宋_GB2312" w:hAnsi="仿宋_GB2312" w:cs="仿宋_GB2312" w:eastAsia="仿宋_GB2312"/>
                      <w:sz w:val="22"/>
                      <w:color w:val="000000"/>
                    </w:rPr>
                    <w:t>潜水泵</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溶解氧检测仪</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0-12mg/L</w:t>
                  </w:r>
                  <w:r>
                    <w:rPr>
                      <w:rFonts w:ascii="仿宋_GB2312" w:hAnsi="仿宋_GB2312" w:cs="仿宋_GB2312" w:eastAsia="仿宋_GB2312"/>
                      <w:sz w:val="22"/>
                      <w:color w:val="000000"/>
                    </w:rPr>
                    <w:t>；带</w:t>
                  </w:r>
                  <w:r>
                    <w:rPr>
                      <w:rFonts w:ascii="仿宋_GB2312" w:hAnsi="仿宋_GB2312" w:cs="仿宋_GB2312" w:eastAsia="仿宋_GB2312"/>
                      <w:sz w:val="22"/>
                      <w:color w:val="000000"/>
                    </w:rPr>
                    <w:t>modbus</w:t>
                  </w:r>
                  <w:r>
                    <w:rPr>
                      <w:rFonts w:ascii="仿宋_GB2312" w:hAnsi="仿宋_GB2312" w:cs="仿宋_GB2312" w:eastAsia="仿宋_GB2312"/>
                      <w:sz w:val="22"/>
                      <w:color w:val="000000"/>
                    </w:rPr>
                    <w:t>通信接口</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帘式膜</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浸没式MBR膜、膜平均孔径小于0.1</w:t>
                  </w:r>
                  <w:r>
                    <w:rPr>
                      <w:rFonts w:ascii="仿宋_GB2312" w:hAnsi="仿宋_GB2312" w:cs="仿宋_GB2312" w:eastAsia="仿宋_GB2312"/>
                      <w:sz w:val="22"/>
                      <w:color w:val="000000"/>
                    </w:rPr>
                    <w:t>μ</w:t>
                  </w:r>
                  <w:r>
                    <w:rPr>
                      <w:rFonts w:ascii="仿宋_GB2312" w:hAnsi="仿宋_GB2312" w:cs="仿宋_GB2312" w:eastAsia="仿宋_GB2312"/>
                      <w:sz w:val="22"/>
                      <w:color w:val="000000"/>
                    </w:rPr>
                    <w:t>m；平均膜通量≥15L/h/m2（中空纤维膜）</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1760</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2</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产水泵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自吸泵，Q=15m³/h，H=15m，N≤4kw，吸程4m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反洗泵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卧式泵，Q=35m³/h，H=13m,N≤4kw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膜清洗柠檬酸</w:t>
                  </w:r>
                  <w:r>
                    <w:br/>
                  </w:r>
                  <w:r>
                    <w:rPr>
                      <w:rFonts w:ascii="仿宋_GB2312" w:hAnsi="仿宋_GB2312" w:cs="仿宋_GB2312" w:eastAsia="仿宋_GB2312"/>
                      <w:sz w:val="22"/>
                      <w:color w:val="000000"/>
                    </w:rPr>
                    <w:t xml:space="preserve"> 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加药桶搅拌机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1.5kw，R=90rpm，</w:t>
                  </w:r>
                  <w:r>
                    <w:br/>
                  </w:r>
                  <w:r>
                    <w:rPr>
                      <w:rFonts w:ascii="仿宋_GB2312" w:hAnsi="仿宋_GB2312" w:cs="仿宋_GB2312" w:eastAsia="仿宋_GB2312"/>
                      <w:sz w:val="22"/>
                      <w:color w:val="000000"/>
                    </w:rPr>
                    <w:t xml:space="preserve"> 搭配1000L加药桶使用</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柠檬酸加药泵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85L/h，7bar，0.37kw,带背压阀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PVDF泵头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膜清洗碱加药桶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加药桶搅拌机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1.5kw，R=90rpm，</w:t>
                  </w:r>
                  <w:r>
                    <w:br/>
                  </w:r>
                  <w:r>
                    <w:rPr>
                      <w:rFonts w:ascii="仿宋_GB2312" w:hAnsi="仿宋_GB2312" w:cs="仿宋_GB2312" w:eastAsia="仿宋_GB2312"/>
                      <w:sz w:val="22"/>
                      <w:color w:val="000000"/>
                    </w:rPr>
                    <w:t xml:space="preserve"> 搭配1000L加药桶使用</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碱加药泵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50L/h，10bar，0.37kw,带背压阀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PVDF泵头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碱加药泵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170L/h，7bar，0.37kw,带背压阀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PVDF泵头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PAC加药桶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PAC加药泵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24L/h，7bar，0.25kw,带背压阀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加药桶搅拌机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0.37kw，R=50rpm，</w:t>
                  </w:r>
                  <w:r>
                    <w:br/>
                  </w:r>
                  <w:r>
                    <w:rPr>
                      <w:rFonts w:ascii="仿宋_GB2312" w:hAnsi="仿宋_GB2312" w:cs="仿宋_GB2312" w:eastAsia="仿宋_GB2312"/>
                      <w:sz w:val="22"/>
                      <w:color w:val="000000"/>
                    </w:rPr>
                    <w:t xml:space="preserve"> 搭配300L加药桶使用</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碳源加药桶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碳源加药泵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24L/h，7bar，0.25kw，带背压阀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加药桶搅拌机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0.37kw，R=50rpm，</w:t>
                  </w:r>
                  <w:r>
                    <w:br/>
                  </w:r>
                  <w:r>
                    <w:rPr>
                      <w:rFonts w:ascii="仿宋_GB2312" w:hAnsi="仿宋_GB2312" w:cs="仿宋_GB2312" w:eastAsia="仿宋_GB2312"/>
                      <w:sz w:val="22"/>
                      <w:color w:val="000000"/>
                    </w:rPr>
                    <w:t xml:space="preserve"> 搭配200L加药桶使用</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膜池、清水池</w:t>
                  </w:r>
                  <w:r>
                    <w:br/>
                  </w:r>
                  <w:r>
                    <w:rPr>
                      <w:rFonts w:ascii="仿宋_GB2312" w:hAnsi="仿宋_GB2312" w:cs="仿宋_GB2312" w:eastAsia="仿宋_GB2312"/>
                      <w:sz w:val="22"/>
                      <w:color w:val="000000"/>
                    </w:rPr>
                    <w:t xml:space="preserve"> 液位计</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分体式；测量范围：0-5m；带modbus通信接口，电源：220V</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电接点真空表</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量程：-0.1-0.1Mpa，电压24V</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膜清洗柠檬酸</w:t>
                  </w:r>
                  <w:r>
                    <w:br/>
                  </w:r>
                  <w:r>
                    <w:rPr>
                      <w:rFonts w:ascii="仿宋_GB2312" w:hAnsi="仿宋_GB2312" w:cs="仿宋_GB2312" w:eastAsia="仿宋_GB2312"/>
                      <w:sz w:val="22"/>
                      <w:color w:val="000000"/>
                    </w:rPr>
                    <w:t xml:space="preserve"> 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次氯酸钠加药泵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13L/h，10bar，0.25kw,带背压阀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PVDF泵头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叠螺机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DS处理量5kg/h；N=0.36kw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螺杆泵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Q=0.8m³/h</w:t>
                  </w:r>
                  <w:r>
                    <w:rPr>
                      <w:rFonts w:ascii="仿宋_GB2312" w:hAnsi="仿宋_GB2312" w:cs="仿宋_GB2312" w:eastAsia="仿宋_GB2312"/>
                      <w:sz w:val="22"/>
                      <w:color w:val="000000"/>
                    </w:rPr>
                    <w:t>，</w:t>
                  </w:r>
                  <w:r>
                    <w:rPr>
                      <w:rFonts w:ascii="仿宋_GB2312" w:hAnsi="仿宋_GB2312" w:cs="仿宋_GB2312" w:eastAsia="仿宋_GB2312"/>
                      <w:sz w:val="22"/>
                      <w:color w:val="000000"/>
                    </w:rPr>
                    <w:t>H=60m</w:t>
                  </w:r>
                  <w:r>
                    <w:rPr>
                      <w:rFonts w:ascii="仿宋_GB2312" w:hAnsi="仿宋_GB2312" w:cs="仿宋_GB2312" w:eastAsia="仿宋_GB2312"/>
                      <w:sz w:val="22"/>
                      <w:color w:val="000000"/>
                    </w:rPr>
                    <w:t>，</w:t>
                  </w:r>
                  <w:r>
                    <w:rPr>
                      <w:rFonts w:ascii="仿宋_GB2312" w:hAnsi="仿宋_GB2312" w:cs="仿宋_GB2312" w:eastAsia="仿宋_GB2312"/>
                      <w:sz w:val="22"/>
                      <w:color w:val="000000"/>
                    </w:rPr>
                    <w:t>N≤1.1kw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PAM(阳）加药桶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1000L，PE</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PAM(阳）加药泵</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59L/h，10bar，0.2kw,带背压阀</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PVC泵头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加药桶搅拌机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1.5kw，R=50rpm，</w:t>
                  </w:r>
                  <w:r>
                    <w:br/>
                  </w:r>
                  <w:r>
                    <w:rPr>
                      <w:rFonts w:ascii="仿宋_GB2312" w:hAnsi="仿宋_GB2312" w:cs="仿宋_GB2312" w:eastAsia="仿宋_GB2312"/>
                      <w:sz w:val="22"/>
                      <w:color w:val="000000"/>
                    </w:rPr>
                    <w:t xml:space="preserve"> 搭配1000L加药桶使用</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设备间轴流风机</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0.12kw</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设备保温</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聚氨酯保温，厚度≥50mm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603</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电控系统</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含自控一体机，主要电器元器件：施耐德/ABB，变频器：施耐德/ABB，碳钢喷漆配电箱</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管道及配件</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含管道、阀门、管件等</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4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电线电缆</w:t>
                  </w:r>
                </w:p>
              </w:tc>
              <w:tc>
                <w:tcPr>
                  <w:tcW w:type="dxa" w:w="109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99"/>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jc w:val="both"/>
            </w:pPr>
            <w:r>
              <w:rPr>
                <w:rFonts w:ascii="仿宋_GB2312" w:hAnsi="仿宋_GB2312" w:cs="仿宋_GB2312" w:eastAsia="仿宋_GB2312"/>
                <w:sz w:val="21"/>
              </w:rPr>
              <w:t>注：1、此次招标只采购设备，不含安装及辅材、吊装及配套等。2、本项目核心产品为提升泵、超声波液位计。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设备供货完成并验收合格后一次性付清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楼，联系人：王欢乐，联系电话：0919-2700992）。3、若电子投标文件与纸质投标文件不一致的，以电子投标文件为准。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财务状况，须提供2021、2022、2023年经会计师事务所或审计机构审计的财务会计报表，包括报告正文、资产负债表、利润表、现金流量表及所有者权益变动表(无所有者权益表的提供书面说明)、附注和会计师事务所营业执照等，成立时间至提交投标文件截止时间不足一年的可提供成立后任意时段的资产负债表，或提交开标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财务状况，须提供2021、2022、2023年经会计师事务所或审计机构审计的财务会计报表，包括报告正文、资产负债表、利润表、现金流量表及所有者权益变动表(无所有者权益表的提供书面说明)、附注和会计师事务所营业执照等，成立时间至提交投标文件截止时间不足一年的可提供成立后任意时段的资产负债表，或提交开标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不得在“某内部采购网(www.plap.mil.cn)”某内部采购暂停名单处罚范围内或某内部采购失信名单禁入处罚期和处罚范围内；供应商为企业的，不得被列入“国家企业信用信息公示系统(http://www.gsxt.gov.cn/index.html)”行政处罚信息、经营异常名录信息及严重违法失信名单，除公司外其他主体不要求此条内容查询；（提供查询截图及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存在直接控股或管理关系的不同供应商，不得同时参加同一包的采购活动。生产场经营地址或注册登记地址为同一地址的不同生产型企业，股东和管理人员(法定代表人、董事或监事)之间存在近亲属或相互占股等关联关系的不同非国有销售型企业，也不得同时参加同一包的采购活动。近亲属指夫妻、直系血亲、三代以内旁系血亲或近姻亲关系；</w:t>
            </w:r>
          </w:p>
        </w:tc>
        <w:tc>
          <w:tcPr>
            <w:tcW w:type="dxa" w:w="3322"/>
          </w:tcPr>
          <w:p>
            <w:pPr>
              <w:pStyle w:val="null3"/>
            </w:pPr>
            <w:r>
              <w:rPr>
                <w:rFonts w:ascii="仿宋_GB2312" w:hAnsi="仿宋_GB2312" w:cs="仿宋_GB2312" w:eastAsia="仿宋_GB2312"/>
              </w:rPr>
              <w:t>单位负责人为同一人或存在直接控股或管理关系的不同供应商，不得同时参加同一包的采购活动。生产场经营地址或注册登记地址为同一地址的不同生产型企业，股东和管理人员(法定代表人、董事或监事)之间存在近亲属或相互占股等关联关系的不同非国有销售型企业，也不得同时参加同一包的采购活动。近亲属指夫妻、直系血亲、三代以内旁系血亲或近姻亲关系；（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供应商近三年(投标截止时间)没有因骗取中标、严重违约(包括但不限于)等不良或行为被处禁止投标</w:t>
            </w:r>
          </w:p>
        </w:tc>
        <w:tc>
          <w:tcPr>
            <w:tcW w:type="dxa" w:w="3322"/>
          </w:tcPr>
          <w:p>
            <w:pPr>
              <w:pStyle w:val="null3"/>
            </w:pPr>
            <w:r>
              <w:rPr>
                <w:rFonts w:ascii="仿宋_GB2312" w:hAnsi="仿宋_GB2312" w:cs="仿宋_GB2312" w:eastAsia="仿宋_GB2312"/>
              </w:rPr>
              <w:t>供应商近三年(投标截止时间)没有因骗取中标、严重违约(包括但不限于)等不良或行为被处禁止投标；（提供声明）供应商需在项目电子化交易系统中按要求上传相应证明文件并进行电子签章；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供应商需具备环保工程专业承包三级及以上资质</w:t>
            </w:r>
          </w:p>
        </w:tc>
        <w:tc>
          <w:tcPr>
            <w:tcW w:type="dxa" w:w="3322"/>
          </w:tcPr>
          <w:p>
            <w:pPr>
              <w:pStyle w:val="null3"/>
            </w:pPr>
            <w:r>
              <w:rPr>
                <w:rFonts w:ascii="仿宋_GB2312" w:hAnsi="仿宋_GB2312" w:cs="仿宋_GB2312" w:eastAsia="仿宋_GB2312"/>
              </w:rPr>
              <w:t>供应商需具备环保工程专业承包三级及以上资质。（提供资质证书）供应商需在项目电子化交易系统中按要求上传相应证明文件并进行电子签章；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技术方案.docx 开标一览表 法人证明书.docx 供应商类似项目业绩一览表.docx 中小企业声明函 商务应答表 投标人应提交的相关资格证明材料 法人授权书.docx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不得超过60日历天</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A、供应商的响应报价有选择性报价或者响应报价重新计算后超过本项目采购预算或者最高限价的； B、供应商未经过正常渠道领取招标文件，或供应商名称与领取招标文件时登记的供应商名称不符的；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分项报价表.docx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投标人具有由国家认证认可监督管理部门批准设立的认证机构颁发并在有效期内的质量管理体系认证、环境管理体系认证、职业健康安全管理体系认证、知识产权管理体系认证，每提供一项得1分，最高得4分。（须提供证书扫描件、中国国家认证认可监督管理委员会网上查询网址链接并提供截图。） 2、投标人具有银行或相关评估机构颁发的有效的AAA（或以上）信用等级证书的得1分。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拟安排的项目主要团队成员情况</w:t>
            </w:r>
          </w:p>
        </w:tc>
        <w:tc>
          <w:tcPr>
            <w:tcW w:type="dxa" w:w="2492"/>
          </w:tcPr>
          <w:p>
            <w:pPr>
              <w:pStyle w:val="null3"/>
            </w:pPr>
            <w:r>
              <w:rPr>
                <w:rFonts w:ascii="仿宋_GB2312" w:hAnsi="仿宋_GB2312" w:cs="仿宋_GB2312" w:eastAsia="仿宋_GB2312"/>
              </w:rPr>
              <w:t>1、项目负责人：具有环境类高级工程师职称或以上的得2分，其它情况不得分。 2、技术负责人：具有环境类工程师职称或以上的得1分，其它情况不得分。 3、拟安排的项目主要团队成员具低压电工作业（须取得职业资格证书）的得1分。其它情况不得分。 4、拟安排的项目主要团队成员具有中级机电工程师职称或以上的得1分，其它情况不得分。 注：同一人不重复得分，须提供以上人员相关证书复印件加盖公章以及距开标前3个月（不含开标当月）投标人为其缴纳的载有社保部门公章的社保缴交证明材料复印件加盖投标人公章，否则不得分。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对本项目的规划，计0.1-2.5分，未提供不得分。2、提供项目组织实施情况，计0.1-2.5分，未提供不得分。3、提供项目验收方案，计0.1-2.5分，未提供不得分。4、提供投入人力、财力，物力调配及保障措施，计0.1-2.5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项目供货方案</w:t>
            </w:r>
          </w:p>
        </w:tc>
        <w:tc>
          <w:tcPr>
            <w:tcW w:type="dxa" w:w="2492"/>
          </w:tcPr>
          <w:p>
            <w:pPr>
              <w:pStyle w:val="null3"/>
            </w:pPr>
            <w:r>
              <w:rPr>
                <w:rFonts w:ascii="仿宋_GB2312" w:hAnsi="仿宋_GB2312" w:cs="仿宋_GB2312" w:eastAsia="仿宋_GB2312"/>
              </w:rPr>
              <w:t>1、提供具体的备货方案，计0.1-2.5分，未提供不得分。2、提供供货安排方案，计0.1-2.5分，未提供不得分。3、提供供货进度保证措施，计0.1-2.5分，未提供不得分。4、提供货物安全保障措施，计0.1-2.5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1、针对本项目提供故障突发事件的处理方案，计0.1-2.5分，未提供不得分。2、针对本项目提供故障响应的时效性保证措施，计0.1-2.5分，未提供不得分。3、提供可能发生的应急事故情况分析，计0.1-2.5分，未提供不得分。4、提供紧急安全保障措施，计0.1-2.5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提供培训方案，计0.1-2.5分，未提供不得分。2、提供培训计划，计0.1-2.5分，未提供不得分。3、提供培训方式，计0.1-2.5分，未提供不得分。4、提供计划培训时间、地点、人员，计2.5分，未完全提供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拟投入售后服务人员配置情况，计0.1-2.5分，未提供不得分。2、提供项目交付用户后出现问题响应时间及措施，计0.1-2.5分，未提供不得分。3、提供售后服务保障措施及承诺，计0.1-2.5分，未提供不得分。4、提供质量保证措施，计0.1-2.5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1、提供投入本项目相关人员，提供五个人或以上计1.5分；未完全提供或未提供不得分。2、提供投入本项目相关人员，提供八个人或以上计3分。未完全提供或未提供不得分。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1、提供重点问题解决方案，计0.1-1.5分，未提供不得分。2、提供根据现有重点难点问题，提出可操作性的对策建议，计0.1-1.5分，未提供不得分。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以合同或成交通知书的形式提供投标人近三年（2022年至今）同类业绩，每一份计1分，计满4分为止。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 准价／投标评审价)×100×价格权值 注：符合招标文件规定的中小企业、监狱企业、 残疾人福利性单位优惠条件的投标人，价格给予10%的扣除，用扣除后的价格参与评审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