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B7B8F"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 w14:paraId="5BE3456C"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 w14:paraId="72A0DD3F"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 w14:paraId="7A4E4F10"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陕西北衡全项目咨询有限公司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进行竞争性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 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61AB5806"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竞争性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2F8ECE09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93126879"/>
      <w:bookmarkStart w:id="4" w:name="_Toc194663916"/>
      <w:bookmarkStart w:id="5" w:name="_Toc193187095"/>
      <w:bookmarkStart w:id="6" w:name="_Toc18880883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 w14:paraId="4242CD7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 w14:paraId="5395599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 w14:paraId="74B4A0DB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 w14:paraId="0204001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 w14:paraId="235064E8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 w14:paraId="5AD3D162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 w14:paraId="40ED2DB3">
      <w:pPr>
        <w:spacing w:line="460" w:lineRule="exact"/>
        <w:ind w:firstLine="720" w:firstLineChars="3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技术方案</w:t>
      </w:r>
    </w:p>
    <w:p w14:paraId="692E1962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 w14:paraId="30D0291D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 w14:paraId="50A40EB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</w:p>
    <w:p w14:paraId="7B19BA2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 w14:paraId="154F229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 w14:paraId="533AECBD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 w14:paraId="762B16D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4D509085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供货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7500916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60A2D2CF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 w14:paraId="5CCAB46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 w14:paraId="302D6F9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 w14:paraId="494BBEC2"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47A026DC"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69E3EA80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 w14:paraId="1F65C71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5BE7C09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 w14:paraId="768BF96D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 w14:paraId="6CE0BDF3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 w14:paraId="7019CF1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22DBACE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6E11C6E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 w14:paraId="3134F21B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29A245D0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 w14:paraId="4221E6A9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125A7747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 w14:paraId="6D26E93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53034C1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 w14:paraId="190F0DF1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 w14:paraId="0C9E1C00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 w14:paraId="242EF651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599442EB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 w14:paraId="0E9F373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 w14:paraId="52A66271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000FF111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 w14:paraId="70A77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 w14:paraId="13CD0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与采购单位在签订合同时具体商定。</w:t>
      </w:r>
    </w:p>
    <w:bookmarkEnd w:id="1"/>
    <w:bookmarkEnd w:id="2"/>
    <w:p w14:paraId="55443DD5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 w14:paraId="03BB1947"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26779"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77B57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77B57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746B17"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1746B17"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17CA39B1"/>
    <w:rsid w:val="28E07F22"/>
    <w:rsid w:val="2EEF6277"/>
    <w:rsid w:val="4F974AAE"/>
    <w:rsid w:val="5B754A5D"/>
    <w:rsid w:val="796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643</Characters>
  <Lines>0</Lines>
  <Paragraphs>0</Paragraphs>
  <TotalTime>2</TotalTime>
  <ScaleCrop>false</ScaleCrop>
  <LinksUpToDate>false</LinksUpToDate>
  <CharactersWithSpaces>818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雨隹</cp:lastModifiedBy>
  <dcterms:modified xsi:type="dcterms:W3CDTF">2025-05-08T05:19:25Z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0F2B1D2303C147A1B5A075DBE699CC6B_12</vt:lpwstr>
  </property>
  <property fmtid="{D5CDD505-2E9C-101B-9397-08002B2CF9AE}" pid="4" name="KSOTemplateDocerSaveRecord">
    <vt:lpwstr>eyJoZGlkIjoiYjVlMmU2YjkxYmI0YjRiOTJmZjlmNGI1YWY0NmIwZDAiLCJ1c2VySWQiOiI0NzM4NTEyNjkifQ==</vt:lpwstr>
  </property>
</Properties>
</file>