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版本号：HGMHCG-2025-9020251110001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2024年宜君县玉米单产提升工程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HGMHCG-2025-90</w:t>
      </w:r>
      <w:r>
        <w:br/>
      </w:r>
      <w:r>
        <w:br/>
      </w:r>
      <w:r>
        <w:br/>
      </w:r>
    </w:p>
    <w:p>
      <w:pPr>
        <w:pStyle w:val="null3"/>
        <w:jc w:val="center"/>
        <w:outlineLvl w:val="2"/>
      </w:pPr>
      <w:r>
        <w:rPr>
          <w:rFonts w:ascii="仿宋_GB2312" w:hAnsi="仿宋_GB2312" w:cs="仿宋_GB2312" w:eastAsia="仿宋_GB2312"/>
          <w:sz w:val="28"/>
          <w:b/>
        </w:rPr>
        <w:t>宜君县农业技术服务中心</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宜君县农业技术服务中心</w:t>
      </w:r>
      <w:r>
        <w:rPr>
          <w:rFonts w:ascii="仿宋_GB2312" w:hAnsi="仿宋_GB2312" w:cs="仿宋_GB2312" w:eastAsia="仿宋_GB2312"/>
        </w:rPr>
        <w:t>委托，拟对</w:t>
      </w:r>
      <w:r>
        <w:rPr>
          <w:rFonts w:ascii="仿宋_GB2312" w:hAnsi="仿宋_GB2312" w:cs="仿宋_GB2312" w:eastAsia="仿宋_GB2312"/>
        </w:rPr>
        <w:t>2024年宜君县玉米单产提升工程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2024年宜君县玉米单产提升工程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宜君县玉米单产提升工程节水灌溉配套设施设备可移动式施肥设备机组等。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采购包1（2024年宜君县玉米单产提升工程）：属于专门面向中小企业采购。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2、财务状况报表：提供2024年度经审计的财务报告或提交投标截止时间之前六个月基本开户银行出具的资信证明。</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5、承诺说明及声明书：1、提供具有履行本合同所必需的设备和专业技术能力的承诺及说明； 2、出具参加政府采购活动前3年内在经营活动中没有重大违法记录的书面声明；</w:t>
      </w:r>
    </w:p>
    <w:p>
      <w:pPr>
        <w:pStyle w:val="null3"/>
      </w:pPr>
      <w:r>
        <w:rPr>
          <w:rFonts w:ascii="仿宋_GB2312" w:hAnsi="仿宋_GB2312" w:cs="仿宋_GB2312" w:eastAsia="仿宋_GB2312"/>
        </w:rPr>
        <w:t>6、法定代表人授权书：法定代表人授权书及被授权人身份证(法定代表人直接参加投标，须提交其身份证复印件及法定代表人身份证明)；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7、信用截图：供应商不得为“信用中国”网站(www.creditchina.gov.cn)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宜君县农业技术服务中心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宜君县农业技术服务中心经办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13571402932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陕西省铜川市市本级陕西省铜川市新区长虹南路山水雅庭3幢1单元10901室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采购包1：6,520,700.00元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宜君县农业技术服务中心</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宜君县农业技术服务中心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宜君县农业技术服务中心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应分批次进行供货安装，在供货前，应作出详尽方案，其中包括但不限于货物清单、产品的合格证明资料，检测检验报告等由采购人确认审批通过后进行供货安装。2.初验：货物到达交货地点后，由使用 单位根据合同对货物的名称、品种、规格、产地、数量进行检查。3.终验：所有货物交货完毕，由采购人进行终验（最终验收）。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宜君县玉米单产提升工程节水灌溉配套设施设备可移动式施肥设备机组采购。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6,520,700.00</w:t>
      </w:r>
    </w:p>
    <w:p>
      <w:pPr>
        <w:pStyle w:val="null3"/>
      </w:pPr>
      <w:r>
        <w:rPr>
          <w:rFonts w:ascii="仿宋_GB2312" w:hAnsi="仿宋_GB2312" w:cs="仿宋_GB2312" w:eastAsia="仿宋_GB2312"/>
        </w:rPr>
        <w:t>采购包最高限价（元）: 6,520,700.00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可移动式施肥设备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6,520,700.00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标的名称：可移动式施肥设备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5"/>
              <w:gridCol w:w="473"/>
              <w:gridCol w:w="1481"/>
              <w:gridCol w:w="374"/>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采购标的名称</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主要技术指标规格及要求</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/单位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一、可移动施肥设备</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柴油发电机</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30kw柴油发电机</w:t>
                  </w:r>
                  <w:r>
                    <w:br/>
                  </w:r>
                  <w:r>
                    <w:rPr>
                      <w:rFonts w:ascii="仿宋_GB2312" w:hAnsi="仿宋_GB2312" w:cs="仿宋_GB2312" w:eastAsia="仿宋_GB2312"/>
                      <w:sz w:val="21"/>
                      <w:color w:val="000000"/>
                    </w:rPr>
                    <w:t>1、尺寸：长×宽×高≤1600×600×1100</w:t>
                  </w:r>
                </w:p>
                <w:p>
                  <w:pPr>
                    <w:pStyle w:val="null3"/>
                    <w:jc w:val="left"/>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≤530KG</w:t>
                  </w:r>
                  <w:r>
                    <w:br/>
                  </w:r>
                  <w:r>
                    <w:rPr>
                      <w:rFonts w:ascii="仿宋_GB2312" w:hAnsi="仿宋_GB2312" w:cs="仿宋_GB2312" w:eastAsia="仿宋_GB2312"/>
                      <w:sz w:val="21"/>
                      <w:color w:val="000000"/>
                    </w:rPr>
                    <w:t>2、启动方式：电启动</w:t>
                  </w:r>
                  <w:r>
                    <w:br/>
                  </w:r>
                  <w:r>
                    <w:rPr>
                      <w:rFonts w:ascii="仿宋_GB2312" w:hAnsi="仿宋_GB2312" w:cs="仿宋_GB2312" w:eastAsia="仿宋_GB2312"/>
                      <w:sz w:val="21"/>
                      <w:color w:val="000000"/>
                    </w:rPr>
                    <w:t>3、蓄电池额定容量不小于（AH）：100AH</w:t>
                  </w:r>
                  <w:r>
                    <w:br/>
                  </w:r>
                  <w:r>
                    <w:rPr>
                      <w:rFonts w:ascii="仿宋_GB2312" w:hAnsi="仿宋_GB2312" w:cs="仿宋_GB2312" w:eastAsia="仿宋_GB2312"/>
                      <w:sz w:val="21"/>
                      <w:color w:val="000000"/>
                    </w:rPr>
                    <w:t>4、稳态电压调整率：≤0.5%</w:t>
                  </w:r>
                  <w:r>
                    <w:br/>
                  </w:r>
                  <w:r>
                    <w:rPr>
                      <w:rFonts w:ascii="仿宋_GB2312" w:hAnsi="仿宋_GB2312" w:cs="仿宋_GB2312" w:eastAsia="仿宋_GB2312"/>
                      <w:sz w:val="21"/>
                      <w:color w:val="000000"/>
                    </w:rPr>
                    <w:t>5、稳态频率调整率：≤0.5%</w:t>
                  </w:r>
                  <w:r>
                    <w:br/>
                  </w:r>
                  <w:r>
                    <w:rPr>
                      <w:rFonts w:ascii="仿宋_GB2312" w:hAnsi="仿宋_GB2312" w:cs="仿宋_GB2312" w:eastAsia="仿宋_GB2312"/>
                      <w:sz w:val="21"/>
                      <w:color w:val="000000"/>
                    </w:rPr>
                    <w:t>6、瞬态电压调整率：≤15%</w:t>
                  </w:r>
                  <w:r>
                    <w:br/>
                  </w:r>
                  <w:r>
                    <w:rPr>
                      <w:rFonts w:ascii="仿宋_GB2312" w:hAnsi="仿宋_GB2312" w:cs="仿宋_GB2312" w:eastAsia="仿宋_GB2312"/>
                      <w:sz w:val="21"/>
                      <w:color w:val="000000"/>
                    </w:rPr>
                    <w:t>7、瞬态频率调整率：≤5%</w:t>
                  </w:r>
                  <w:r>
                    <w:br/>
                  </w:r>
                  <w:r>
                    <w:rPr>
                      <w:rFonts w:ascii="仿宋_GB2312" w:hAnsi="仿宋_GB2312" w:cs="仿宋_GB2312" w:eastAsia="仿宋_GB2312"/>
                      <w:sz w:val="21"/>
                      <w:color w:val="000000"/>
                    </w:rPr>
                    <w:t xml:space="preserve">8、电压波动率： ≤0.5%  </w:t>
                  </w:r>
                  <w:r>
                    <w:br/>
                  </w:r>
                  <w:r>
                    <w:rPr>
                      <w:rFonts w:ascii="仿宋_GB2312" w:hAnsi="仿宋_GB2312" w:cs="仿宋_GB2312" w:eastAsia="仿宋_GB2312"/>
                      <w:sz w:val="21"/>
                      <w:color w:val="000000"/>
                    </w:rPr>
                    <w:t xml:space="preserve">9、频率波动率：≤0.5% </w:t>
                  </w:r>
                  <w:r>
                    <w:br/>
                  </w:r>
                  <w:r>
                    <w:rPr>
                      <w:rFonts w:ascii="仿宋_GB2312" w:hAnsi="仿宋_GB2312" w:cs="仿宋_GB2312" w:eastAsia="仿宋_GB2312"/>
                      <w:sz w:val="21"/>
                      <w:color w:val="000000"/>
                    </w:rPr>
                    <w:t>10、噪    音：空旷处7米≤102db</w:t>
                  </w:r>
                  <w:r>
                    <w:br/>
                  </w:r>
                  <w:r>
                    <w:rPr>
                      <w:rFonts w:ascii="仿宋_GB2312" w:hAnsi="仿宋_GB2312" w:cs="仿宋_GB2312" w:eastAsia="仿宋_GB2312"/>
                      <w:sz w:val="21"/>
                      <w:color w:val="000000"/>
                    </w:rPr>
                    <w:t>11、要求：采购后安装至配肥房内指定位置，并与配肥房设备调试运行。</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柴油发电机</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20kw柴油发电机</w:t>
                  </w:r>
                  <w:r>
                    <w:br/>
                  </w:r>
                  <w:r>
                    <w:rPr>
                      <w:rFonts w:ascii="仿宋_GB2312" w:hAnsi="仿宋_GB2312" w:cs="仿宋_GB2312" w:eastAsia="仿宋_GB2312"/>
                      <w:sz w:val="22"/>
                      <w:color w:val="000000"/>
                    </w:rPr>
                    <w:t>1、尺寸：长×宽×高≤1100×600×1300</w:t>
                  </w:r>
                </w:p>
                <w:p>
                  <w:pPr>
                    <w:pStyle w:val="null3"/>
                    <w:jc w:val="left"/>
                  </w:pPr>
                  <w:r>
                    <w:rPr>
                      <w:rFonts w:ascii="仿宋_GB2312" w:hAnsi="仿宋_GB2312" w:cs="仿宋_GB2312" w:eastAsia="仿宋_GB2312"/>
                      <w:sz w:val="22"/>
                      <w:color w:val="000000"/>
                    </w:rPr>
                    <w:t>重量</w:t>
                  </w:r>
                  <w:r>
                    <w:rPr>
                      <w:rFonts w:ascii="仿宋_GB2312" w:hAnsi="仿宋_GB2312" w:cs="仿宋_GB2312" w:eastAsia="仿宋_GB2312"/>
                      <w:sz w:val="22"/>
                      <w:color w:val="000000"/>
                    </w:rPr>
                    <w:t>≤400KG</w:t>
                  </w:r>
                  <w:r>
                    <w:br/>
                  </w:r>
                  <w:r>
                    <w:rPr>
                      <w:rFonts w:ascii="仿宋_GB2312" w:hAnsi="仿宋_GB2312" w:cs="仿宋_GB2312" w:eastAsia="仿宋_GB2312"/>
                      <w:sz w:val="22"/>
                      <w:color w:val="000000"/>
                    </w:rPr>
                    <w:t>2、启动方式：电启动</w:t>
                  </w:r>
                  <w:r>
                    <w:br/>
                  </w:r>
                  <w:r>
                    <w:rPr>
                      <w:rFonts w:ascii="仿宋_GB2312" w:hAnsi="仿宋_GB2312" w:cs="仿宋_GB2312" w:eastAsia="仿宋_GB2312"/>
                      <w:sz w:val="22"/>
                      <w:color w:val="000000"/>
                    </w:rPr>
                    <w:t>3、蓄电池额定容量（AH）：≥100AH</w:t>
                  </w:r>
                  <w:r>
                    <w:br/>
                  </w:r>
                  <w:r>
                    <w:rPr>
                      <w:rFonts w:ascii="仿宋_GB2312" w:hAnsi="仿宋_GB2312" w:cs="仿宋_GB2312" w:eastAsia="仿宋_GB2312"/>
                      <w:sz w:val="22"/>
                      <w:color w:val="000000"/>
                    </w:rPr>
                    <w:t>4、稳态电压调整率：≤0.5%</w:t>
                  </w:r>
                  <w:r>
                    <w:br/>
                  </w:r>
                  <w:r>
                    <w:rPr>
                      <w:rFonts w:ascii="仿宋_GB2312" w:hAnsi="仿宋_GB2312" w:cs="仿宋_GB2312" w:eastAsia="仿宋_GB2312"/>
                      <w:sz w:val="22"/>
                      <w:color w:val="000000"/>
                    </w:rPr>
                    <w:t>5、稳态频率调整率：≤0.5%</w:t>
                  </w:r>
                  <w:r>
                    <w:br/>
                  </w:r>
                  <w:r>
                    <w:rPr>
                      <w:rFonts w:ascii="仿宋_GB2312" w:hAnsi="仿宋_GB2312" w:cs="仿宋_GB2312" w:eastAsia="仿宋_GB2312"/>
                      <w:sz w:val="22"/>
                      <w:color w:val="000000"/>
                    </w:rPr>
                    <w:t>6、瞬态电压调整率：≤15%</w:t>
                  </w:r>
                  <w:r>
                    <w:br/>
                  </w:r>
                  <w:r>
                    <w:rPr>
                      <w:rFonts w:ascii="仿宋_GB2312" w:hAnsi="仿宋_GB2312" w:cs="仿宋_GB2312" w:eastAsia="仿宋_GB2312"/>
                      <w:sz w:val="22"/>
                      <w:color w:val="000000"/>
                    </w:rPr>
                    <w:t>7、瞬态频率调整率：≤5%</w:t>
                  </w:r>
                  <w:r>
                    <w:br/>
                  </w:r>
                  <w:r>
                    <w:rPr>
                      <w:rFonts w:ascii="仿宋_GB2312" w:hAnsi="仿宋_GB2312" w:cs="仿宋_GB2312" w:eastAsia="仿宋_GB2312"/>
                      <w:sz w:val="22"/>
                      <w:color w:val="000000"/>
                    </w:rPr>
                    <w:t xml:space="preserve">8、电压波动率： ≤0.5%  </w:t>
                  </w:r>
                  <w:r>
                    <w:br/>
                  </w:r>
                  <w:r>
                    <w:rPr>
                      <w:rFonts w:ascii="仿宋_GB2312" w:hAnsi="仿宋_GB2312" w:cs="仿宋_GB2312" w:eastAsia="仿宋_GB2312"/>
                      <w:sz w:val="22"/>
                      <w:color w:val="000000"/>
                    </w:rPr>
                    <w:t xml:space="preserve">9、频率波动率：≤0.5% </w:t>
                  </w:r>
                  <w:r>
                    <w:br/>
                  </w:r>
                  <w:r>
                    <w:rPr>
                      <w:rFonts w:ascii="仿宋_GB2312" w:hAnsi="仿宋_GB2312" w:cs="仿宋_GB2312" w:eastAsia="仿宋_GB2312"/>
                      <w:sz w:val="22"/>
                      <w:color w:val="000000"/>
                    </w:rPr>
                    <w:t>10、噪    音：空旷处7米≤102db</w:t>
                  </w:r>
                  <w:r>
                    <w:br/>
                  </w:r>
                  <w:r>
                    <w:rPr>
                      <w:rFonts w:ascii="仿宋_GB2312" w:hAnsi="仿宋_GB2312" w:cs="仿宋_GB2312" w:eastAsia="仿宋_GB2312"/>
                      <w:sz w:val="22"/>
                      <w:color w:val="000000"/>
                    </w:rPr>
                    <w:t>11、要求：安装至可移动施肥设备内，并与其他设备调试运行</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潜水泵</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规格：功率</w:t>
                  </w:r>
                  <w:r>
                    <w:rPr>
                      <w:rFonts w:ascii="仿宋_GB2312" w:hAnsi="仿宋_GB2312" w:cs="仿宋_GB2312" w:eastAsia="仿宋_GB2312"/>
                      <w:sz w:val="22"/>
                      <w:color w:val="000000"/>
                    </w:rPr>
                    <w:t>7.5KW，380V 供电；</w:t>
                  </w:r>
                  <w:r>
                    <w:br/>
                  </w:r>
                  <w:r>
                    <w:rPr>
                      <w:rFonts w:ascii="仿宋_GB2312" w:hAnsi="仿宋_GB2312" w:cs="仿宋_GB2312" w:eastAsia="仿宋_GB2312"/>
                      <w:sz w:val="22"/>
                      <w:color w:val="000000"/>
                    </w:rPr>
                    <w:t>要求：流量</w:t>
                  </w:r>
                  <w:r>
                    <w:rPr>
                      <w:rFonts w:ascii="仿宋_GB2312" w:hAnsi="仿宋_GB2312" w:cs="仿宋_GB2312" w:eastAsia="仿宋_GB2312"/>
                      <w:sz w:val="22"/>
                      <w:color w:val="000000"/>
                    </w:rPr>
                    <w:t>≥40m³/h，扬程≥40m；安装至水源地与可移动施肥设备连接。</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39台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变频恒压控制柜</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规格：功率</w:t>
                  </w:r>
                  <w:r>
                    <w:rPr>
                      <w:rFonts w:ascii="仿宋_GB2312" w:hAnsi="仿宋_GB2312" w:cs="仿宋_GB2312" w:eastAsia="仿宋_GB2312"/>
                      <w:sz w:val="21"/>
                      <w:color w:val="000000"/>
                    </w:rPr>
                    <w:t>11KW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电压等级：电压允许波动范围为</w:t>
                  </w:r>
                  <w:r>
                    <w:rPr>
                      <w:rFonts w:ascii="仿宋_GB2312" w:hAnsi="仿宋_GB2312" w:cs="仿宋_GB2312" w:eastAsia="仿宋_GB2312"/>
                      <w:sz w:val="21"/>
                      <w:color w:val="000000"/>
                    </w:rPr>
                    <w:t>±15%</w:t>
                  </w:r>
                  <w:r>
                    <w:br/>
                  </w:r>
                  <w:r>
                    <w:rPr>
                      <w:rFonts w:ascii="仿宋_GB2312" w:hAnsi="仿宋_GB2312" w:cs="仿宋_GB2312" w:eastAsia="仿宋_GB2312"/>
                      <w:sz w:val="21"/>
                      <w:color w:val="000000"/>
                    </w:rPr>
                    <w:t>调速范围：</w:t>
                  </w:r>
                  <w:r>
                    <w:rPr>
                      <w:rFonts w:ascii="仿宋_GB2312" w:hAnsi="仿宋_GB2312" w:cs="仿宋_GB2312" w:eastAsia="仿宋_GB2312"/>
                      <w:sz w:val="21"/>
                      <w:color w:val="000000"/>
                    </w:rPr>
                    <w:t>1:100（SVC）</w:t>
                  </w:r>
                  <w:r>
                    <w:br/>
                  </w:r>
                  <w:r>
                    <w:rPr>
                      <w:rFonts w:ascii="仿宋_GB2312" w:hAnsi="仿宋_GB2312" w:cs="仿宋_GB2312" w:eastAsia="仿宋_GB2312"/>
                      <w:sz w:val="21"/>
                      <w:color w:val="000000"/>
                    </w:rPr>
                    <w:t>稳速精度：</w:t>
                  </w:r>
                  <w:r>
                    <w:rPr>
                      <w:rFonts w:ascii="仿宋_GB2312" w:hAnsi="仿宋_GB2312" w:cs="仿宋_GB2312" w:eastAsia="仿宋_GB2312"/>
                      <w:sz w:val="21"/>
                      <w:color w:val="000000"/>
                    </w:rPr>
                    <w:t>±0.5%（SVC）</w:t>
                  </w:r>
                  <w:r>
                    <w:br/>
                  </w:r>
                  <w:r>
                    <w:rPr>
                      <w:rFonts w:ascii="仿宋_GB2312" w:hAnsi="仿宋_GB2312" w:cs="仿宋_GB2312" w:eastAsia="仿宋_GB2312"/>
                      <w:sz w:val="21"/>
                      <w:color w:val="000000"/>
                    </w:rPr>
                    <w:t>转矩控制精度：</w:t>
                  </w:r>
                  <w:r>
                    <w:rPr>
                      <w:rFonts w:ascii="仿宋_GB2312" w:hAnsi="仿宋_GB2312" w:cs="仿宋_GB2312" w:eastAsia="仿宋_GB2312"/>
                      <w:sz w:val="21"/>
                      <w:color w:val="000000"/>
                    </w:rPr>
                    <w:t>±5%（VC）</w:t>
                  </w:r>
                  <w:r>
                    <w:br/>
                  </w:r>
                  <w:r>
                    <w:rPr>
                      <w:rFonts w:ascii="仿宋_GB2312" w:hAnsi="仿宋_GB2312" w:cs="仿宋_GB2312" w:eastAsia="仿宋_GB2312"/>
                      <w:sz w:val="21"/>
                      <w:color w:val="000000"/>
                    </w:rPr>
                    <w:t>频率范围：输出频率范围为</w:t>
                  </w:r>
                  <w:r>
                    <w:rPr>
                      <w:rFonts w:ascii="仿宋_GB2312" w:hAnsi="仿宋_GB2312" w:cs="仿宋_GB2312" w:eastAsia="仿宋_GB2312"/>
                      <w:sz w:val="21"/>
                      <w:color w:val="000000"/>
                    </w:rPr>
                    <w:t>0-600Hz，精度可达±0.05Hz。</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≥IP20</w:t>
                  </w:r>
                  <w:r>
                    <w:br/>
                  </w:r>
                  <w:r>
                    <w:rPr>
                      <w:rFonts w:ascii="仿宋_GB2312" w:hAnsi="仿宋_GB2312" w:cs="仿宋_GB2312" w:eastAsia="仿宋_GB2312"/>
                      <w:sz w:val="21"/>
                      <w:color w:val="000000"/>
                    </w:rPr>
                    <w:t>最高频率：</w:t>
                  </w:r>
                  <w:r>
                    <w:rPr>
                      <w:rFonts w:ascii="仿宋_GB2312" w:hAnsi="仿宋_GB2312" w:cs="仿宋_GB2312" w:eastAsia="仿宋_GB2312"/>
                      <w:sz w:val="21"/>
                      <w:color w:val="000000"/>
                    </w:rPr>
                    <w:t>V/F控制0~2000Hz或者矢量控制0~500Hz</w:t>
                  </w:r>
                  <w:r>
                    <w:br/>
                  </w:r>
                  <w:r>
                    <w:rPr>
                      <w:rFonts w:ascii="仿宋_GB2312" w:hAnsi="仿宋_GB2312" w:cs="仿宋_GB2312" w:eastAsia="仿宋_GB2312"/>
                      <w:sz w:val="21"/>
                      <w:color w:val="000000"/>
                    </w:rPr>
                    <w:t>工作环境：</w:t>
                  </w:r>
                  <w:r>
                    <w:rPr>
                      <w:rFonts w:ascii="仿宋_GB2312" w:hAnsi="仿宋_GB2312" w:cs="仿宋_GB2312" w:eastAsia="仿宋_GB2312"/>
                      <w:sz w:val="21"/>
                      <w:color w:val="000000"/>
                    </w:rPr>
                    <w:t>-20℃≤环境温度≤50℃，5%≤湿度≤85%.</w:t>
                  </w:r>
                  <w:r>
                    <w:br/>
                  </w:r>
                  <w:r>
                    <w:rPr>
                      <w:rFonts w:ascii="仿宋_GB2312" w:hAnsi="仿宋_GB2312" w:cs="仿宋_GB2312" w:eastAsia="仿宋_GB2312"/>
                      <w:sz w:val="21"/>
                      <w:color w:val="000000"/>
                    </w:rPr>
                    <w:t>要求：包含含远传压力表等，安装至可移动施肥设备内，并与其他设备调试运行。</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39个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可移动施肥机组</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1、旋钮式定时器                                 </w:t>
                  </w:r>
                  <w:r>
                    <w:br/>
                  </w:r>
                  <w:r>
                    <w:rPr>
                      <w:rFonts w:ascii="仿宋_GB2312" w:hAnsi="仿宋_GB2312" w:cs="仿宋_GB2312" w:eastAsia="仿宋_GB2312"/>
                      <w:sz w:val="22"/>
                      <w:color w:val="000000"/>
                    </w:rPr>
                    <w:t>2、1.5KW不锈钢施肥泵。</w:t>
                  </w:r>
                  <w:r>
                    <w:br/>
                  </w:r>
                  <w:r>
                    <w:rPr>
                      <w:rFonts w:ascii="仿宋_GB2312" w:hAnsi="仿宋_GB2312" w:cs="仿宋_GB2312" w:eastAsia="仿宋_GB2312"/>
                      <w:sz w:val="22"/>
                      <w:color w:val="000000"/>
                    </w:rPr>
                    <w:t>3、注肥压力 1.5kg</w:t>
                  </w:r>
                  <w:r>
                    <w:br/>
                  </w:r>
                  <w:r>
                    <w:rPr>
                      <w:rFonts w:ascii="仿宋_GB2312" w:hAnsi="仿宋_GB2312" w:cs="仿宋_GB2312" w:eastAsia="仿宋_GB2312"/>
                      <w:sz w:val="22"/>
                      <w:color w:val="000000"/>
                    </w:rPr>
                    <w:t>4、单通道吸肥口 300L/H</w:t>
                  </w:r>
                  <w:r>
                    <w:br/>
                  </w:r>
                  <w:r>
                    <w:rPr>
                      <w:rFonts w:ascii="仿宋_GB2312" w:hAnsi="仿宋_GB2312" w:cs="仿宋_GB2312" w:eastAsia="仿宋_GB2312"/>
                      <w:sz w:val="22"/>
                      <w:color w:val="000000"/>
                    </w:rPr>
                    <w:t>5、旋钮开关，控制注肥和搅拌</w:t>
                  </w:r>
                  <w:r>
                    <w:br/>
                  </w:r>
                  <w:r>
                    <w:rPr>
                      <w:rFonts w:ascii="仿宋_GB2312" w:hAnsi="仿宋_GB2312" w:cs="仿宋_GB2312" w:eastAsia="仿宋_GB2312"/>
                      <w:sz w:val="22"/>
                      <w:color w:val="000000"/>
                    </w:rPr>
                    <w:t>6、吸肥泵和搅拌电机故障报警</w:t>
                  </w:r>
                  <w:r>
                    <w:br/>
                  </w:r>
                  <w:r>
                    <w:rPr>
                      <w:rFonts w:ascii="仿宋_GB2312" w:hAnsi="仿宋_GB2312" w:cs="仿宋_GB2312" w:eastAsia="仿宋_GB2312"/>
                      <w:sz w:val="22"/>
                      <w:color w:val="000000"/>
                    </w:rPr>
                    <w:t>7、施肥桶500L、380V、0.75KW搅拌电机</w:t>
                  </w:r>
                  <w:r>
                    <w:br/>
                  </w:r>
                  <w:r>
                    <w:rPr>
                      <w:rFonts w:ascii="仿宋_GB2312" w:hAnsi="仿宋_GB2312" w:cs="仿宋_GB2312" w:eastAsia="仿宋_GB2312"/>
                      <w:sz w:val="22"/>
                      <w:color w:val="000000"/>
                    </w:rPr>
                    <w:t>8、可移动式车架，承载发电机、控制柜、混肥桶、水肥机、过滤器</w:t>
                  </w:r>
                  <w:r>
                    <w:br/>
                  </w:r>
                  <w:r>
                    <w:rPr>
                      <w:rFonts w:ascii="仿宋_GB2312" w:hAnsi="仿宋_GB2312" w:cs="仿宋_GB2312" w:eastAsia="仿宋_GB2312"/>
                      <w:sz w:val="22"/>
                      <w:color w:val="000000"/>
                    </w:rPr>
                    <w:t>9、高精度文丘里混合器，吸肥更加稳定，混肥更加充分。</w:t>
                  </w:r>
                  <w:r>
                    <w:br/>
                  </w:r>
                  <w:r>
                    <w:rPr>
                      <w:rFonts w:ascii="仿宋_GB2312" w:hAnsi="仿宋_GB2312" w:cs="仿宋_GB2312" w:eastAsia="仿宋_GB2312"/>
                      <w:sz w:val="22"/>
                      <w:color w:val="000000"/>
                    </w:rPr>
                    <w:t>10、可扩展无电定位模块，一键防盗报警。</w:t>
                  </w:r>
                  <w:r>
                    <w:br/>
                  </w:r>
                  <w:r>
                    <w:rPr>
                      <w:rFonts w:ascii="仿宋_GB2312" w:hAnsi="仿宋_GB2312" w:cs="仿宋_GB2312" w:eastAsia="仿宋_GB2312"/>
                      <w:sz w:val="22"/>
                      <w:color w:val="000000"/>
                    </w:rPr>
                    <w:t>11、移动车具备驻车功能、刹车功能。</w:t>
                  </w:r>
                  <w:r>
                    <w:br/>
                  </w:r>
                  <w:r>
                    <w:rPr>
                      <w:rFonts w:ascii="仿宋_GB2312" w:hAnsi="仿宋_GB2312" w:cs="仿宋_GB2312" w:eastAsia="仿宋_GB2312"/>
                      <w:sz w:val="22"/>
                      <w:color w:val="000000"/>
                    </w:rPr>
                    <w:t>12、要求：安装至可移动施肥设备内，并与其他设备调试运行</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39台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w:t>
                  </w:r>
                  <w:r>
                    <w:rPr>
                      <w:rFonts w:ascii="仿宋_GB2312" w:hAnsi="仿宋_GB2312" w:cs="仿宋_GB2312" w:eastAsia="仿宋_GB2312"/>
                      <w:sz w:val="21"/>
                      <w:color w:val="000000"/>
                    </w:rPr>
                    <w:t>+</w:t>
                  </w:r>
                  <w:r>
                    <w:rPr>
                      <w:rFonts w:ascii="仿宋_GB2312" w:hAnsi="仿宋_GB2312" w:cs="仿宋_GB2312" w:eastAsia="仿宋_GB2312"/>
                      <w:sz w:val="21"/>
                      <w:color w:val="000000"/>
                    </w:rPr>
                    <w:t>双网式过滤器</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DN100（4 寸） ，Q≥50m³/h,Q235 碳钢材质内外静电喷粉防腐处理，进出水管口径DN100，要求：安装至可移动施肥设备内，并与其他设备调试运行</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39个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农用三轮机载式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吨</w:t>
                  </w:r>
                  <w:r>
                    <w:rPr>
                      <w:rFonts w:ascii="仿宋_GB2312" w:hAnsi="仿宋_GB2312" w:cs="仿宋_GB2312" w:eastAsia="仿宋_GB2312"/>
                      <w:sz w:val="21"/>
                      <w:color w:val="000000"/>
                    </w:rPr>
                    <w:t>卧式塑料储水罐</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规格：卧式</w:t>
                  </w:r>
                  <w:r>
                    <w:rPr>
                      <w:rFonts w:ascii="仿宋_GB2312" w:hAnsi="仿宋_GB2312" w:cs="仿宋_GB2312" w:eastAsia="仿宋_GB2312"/>
                      <w:sz w:val="22"/>
                      <w:color w:val="000000"/>
                    </w:rPr>
                    <w:t>1.5吨储水罐；PE材质，6mm≤罐体壁厚≤7mm；可与农用三轮机配套使用；罐体尺寸（单位mm）：长×宽×高为1800±50*1060±50*980±50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144个</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二、田间管网材料</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滴灌带</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管径</w:t>
                  </w:r>
                  <w:r>
                    <w:rPr>
                      <w:rFonts w:ascii="仿宋_GB2312" w:hAnsi="仿宋_GB2312" w:cs="仿宋_GB2312" w:eastAsia="仿宋_GB2312"/>
                      <w:sz w:val="22"/>
                      <w:color w:val="000000"/>
                    </w:rPr>
                    <w:t>φ16mm；pe材质；壁厚≥0.2mm；25cm≤单孔孔距≤30cm</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7686227米</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三寸水带</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管径</w:t>
                  </w:r>
                  <w:r>
                    <w:rPr>
                      <w:rFonts w:ascii="仿宋_GB2312" w:hAnsi="仿宋_GB2312" w:cs="仿宋_GB2312" w:eastAsia="仿宋_GB2312"/>
                      <w:sz w:val="22"/>
                      <w:color w:val="000000"/>
                    </w:rPr>
                    <w:t>75mm；pe材质,壁厚≥1.0mm</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276257米</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软带旁通阀（</w:t>
                  </w:r>
                  <w:r>
                    <w:rPr>
                      <w:rFonts w:ascii="仿宋_GB2312" w:hAnsi="仿宋_GB2312" w:cs="仿宋_GB2312" w:eastAsia="仿宋_GB2312"/>
                      <w:sz w:val="21"/>
                      <w:color w:val="000000"/>
                    </w:rPr>
                    <w:t>Φ</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PP材质；连接水带与滴灌带，带独立开关</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412410个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软带打孔器（</w:t>
                  </w:r>
                  <w:r>
                    <w:rPr>
                      <w:rFonts w:ascii="仿宋_GB2312" w:hAnsi="仿宋_GB2312" w:cs="仿宋_GB2312" w:eastAsia="仿宋_GB2312"/>
                      <w:sz w:val="21"/>
                      <w:color w:val="000000"/>
                    </w:rPr>
                    <w:t>Φ</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PP材质；水带打孔用安装旁通阀</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21926个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合同签订后100天内完成供货、安装、调试。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完成供货，满足采购人需求（支付方式双方合同签订时具体约定）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满足采购人需求，达到国家及行业现行技术规范标准，符合国家及行业验收合格标准。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合同签订后100天内完成供货、安装、调试。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承诺说明及声明书</w:t>
            </w:r>
          </w:p>
        </w:tc>
        <w:tc>
          <w:tcPr>
            <w:tcW w:type="dxa" w:w="3322"/>
          </w:tcPr>
          <w:p>
            <w:pPr>
              <w:pStyle w:val="null3"/>
            </w:pPr>
            <w:r>
              <w:rPr>
                <w:rFonts w:ascii="仿宋_GB2312" w:hAnsi="仿宋_GB2312" w:cs="仿宋_GB2312" w:eastAsia="仿宋_GB2312"/>
              </w:rPr>
              <w:t>1、提供具有履行本合同所必需的设备和专业技术能力的承诺及说明； 2、出具参加政府采购活动前3年内在经营活动中没有重大违法记录的书面声明；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法定代表人身份证明及授权委托书.docx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完整无缺项，未超过采购预算（最高限价），无选择性报价。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投标文件的签字盖章完整并合格有效。</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分项报价表.docx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完全响应招标文件商务要求、技术服务要求。</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3分，扣完为止；评审内容有一项内容缺陷（缺陷是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产品标准及合法来源</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证明文件指：销售协议、代理协议、原厂授权等。评审标准:每项证明文件齐全无遗漏并完全满足本项目采购需求得10分，若提供每项证明文件不齐全、不符合或有遗漏根据提供情况进行扣分（0.5-9.5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根据供应商针对本项目的①质量保证措施②物流保障措施③安装调试方案④管理制度和协调方案⑤项目验收方案⑥项目团队配备方案；评审标准：方案各部分内容全面详细、阐述条理清晰详 尽、符合本项目采购需求得18分；评审内容每缺一项扣3分，扣完为止；评审内容有一项内容缺陷（缺陷是 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3分，扣完为止；评审内容有一项内容缺陷（缺陷是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项扣2.5分，扣完为止；评审内容有一项内容缺陷（缺陷是指：内容描述过于简单、条理不清晰、与项目内容不匹配、凭空编造、出现常识性错误、不可能实现的夸大情形、存在不适用项目实际情况的情形等）扣0.1-2.4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供应商近3年(自2022年1月1日至今以合同签订日期为准)类似项目业绩，每提供一个业绩得0.5分，最多得2分；（须附类似项目业绩合同的复印件或扫描件，并加盖公章）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投标报价采用低价优先法计算，即满足招标文件要求且报价最低的报价为评审基准价，其价格分为满分。其他供应商的价格分统一按照下列公式计算：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