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版本号：JXZB2025-03820251030001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宜君县镇区（街道、小区）生活垃圾处理项目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JXZB2025-038</w:t>
      </w:r>
      <w:r>
        <w:br/>
      </w:r>
      <w:r>
        <w:br/>
      </w:r>
      <w:r>
        <w:br/>
      </w:r>
    </w:p>
    <w:p>
      <w:pPr>
        <w:pStyle w:val="null3"/>
        <w:jc w:val="center"/>
        <w:outlineLvl w:val="2"/>
      </w:pPr>
      <w:r>
        <w:rPr>
          <w:rFonts w:ascii="仿宋_GB2312" w:hAnsi="仿宋_GB2312" w:cs="仿宋_GB2312" w:eastAsia="仿宋_GB2312"/>
          <w:sz w:val="28"/>
          <w:b/>
        </w:rPr>
        <w:t>宜君县城乡建设和交通运输局</w:t>
      </w:r>
    </w:p>
    <w:p>
      <w:pPr>
        <w:pStyle w:val="null3"/>
        <w:jc w:val="center"/>
        <w:outlineLvl w:val="2"/>
      </w:pPr>
      <w:r>
        <w:rPr>
          <w:rFonts w:ascii="仿宋_GB2312" w:hAnsi="仿宋_GB2312" w:cs="仿宋_GB2312" w:eastAsia="仿宋_GB2312"/>
          <w:sz w:val="28"/>
          <w:b/>
        </w:rPr>
        <w:t>嘉翔项目管理有限公司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嘉翔项目管理有限公司</w:t>
      </w:r>
      <w:r>
        <w:rPr>
          <w:rFonts w:ascii="仿宋_GB2312" w:hAnsi="仿宋_GB2312" w:cs="仿宋_GB2312" w:eastAsia="仿宋_GB2312"/>
        </w:rPr>
        <w:t>（以下简称“代理机构”）受</w:t>
      </w:r>
      <w:r>
        <w:rPr>
          <w:rFonts w:ascii="仿宋_GB2312" w:hAnsi="仿宋_GB2312" w:cs="仿宋_GB2312" w:eastAsia="仿宋_GB2312"/>
        </w:rPr>
        <w:t>宜君县城乡建设和交通运输局</w:t>
      </w:r>
      <w:r>
        <w:rPr>
          <w:rFonts w:ascii="仿宋_GB2312" w:hAnsi="仿宋_GB2312" w:cs="仿宋_GB2312" w:eastAsia="仿宋_GB2312"/>
        </w:rPr>
        <w:t>委托，拟对</w:t>
      </w:r>
      <w:r>
        <w:rPr>
          <w:rFonts w:ascii="仿宋_GB2312" w:hAnsi="仿宋_GB2312" w:cs="仿宋_GB2312" w:eastAsia="仿宋_GB2312"/>
        </w:rPr>
        <w:t>宜君县镇区（街道、小区）生活垃圾处理项目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JXZB2025-038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宜君县镇区（街道、小区）生活垃圾处理项目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宜君县镇区（街道、小区）生活垃圾处理项目，生活垃圾收集处理街道范围：包含宜君县8个乡镇及2个综合服务中心。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采购包1（宜君县镇区（街道、小区）生活垃圾处理项目）：属于专门面向中小企业采购。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事业单位法人证书等国家规定的相关证明，自然人参与的提供其身份证明：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w:t>
      </w:r>
    </w:p>
    <w:p>
      <w:pPr>
        <w:pStyle w:val="null3"/>
      </w:pPr>
      <w:r>
        <w:rPr>
          <w:rFonts w:ascii="仿宋_GB2312" w:hAnsi="仿宋_GB2312" w:cs="仿宋_GB2312" w:eastAsia="仿宋_GB2312"/>
        </w:rPr>
        <w:t>2、财务状况报表：提供2023年度或2024年度经审计的财务报告，或提交自2025年04月01日以来其基本开户银行出具的资信证明，或信用担保机构出具的投标担保函（以上三种形式的资料提供任何一种即可）；其他组织和自然人提供银行出具的资信证明或财务报表；</w:t>
      </w:r>
    </w:p>
    <w:p>
      <w:pPr>
        <w:pStyle w:val="null3"/>
      </w:pPr>
      <w:r>
        <w:rPr>
          <w:rFonts w:ascii="仿宋_GB2312" w:hAnsi="仿宋_GB2312" w:cs="仿宋_GB2312" w:eastAsia="仿宋_GB2312"/>
        </w:rPr>
        <w:t>3、税收缴纳证明：提供供应商2025年至今任意一个月已缴纳的完税凭证或税务机关开具的完税证明（任意税种），依法免税的单位应提供相关证明材料；</w:t>
      </w:r>
    </w:p>
    <w:p>
      <w:pPr>
        <w:pStyle w:val="null3"/>
      </w:pPr>
      <w:r>
        <w:rPr>
          <w:rFonts w:ascii="仿宋_GB2312" w:hAnsi="仿宋_GB2312" w:cs="仿宋_GB2312" w:eastAsia="仿宋_GB2312"/>
        </w:rPr>
        <w:t>4、社会保障资金缴纳证明：提供供应商2025年至今任意一个月的社会保障资金缴存单据或社保机构开具的社会保险参保缴费情况证明。依法不需要缴纳社会保障资金的供应商应提供相关证明文件；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5、声明书：提供具有履行本合同所必需的设备和专业技术能力的声明；</w:t>
      </w:r>
    </w:p>
    <w:p>
      <w:pPr>
        <w:pStyle w:val="null3"/>
      </w:pPr>
      <w:r>
        <w:rPr>
          <w:rFonts w:ascii="仿宋_GB2312" w:hAnsi="仿宋_GB2312" w:cs="仿宋_GB2312" w:eastAsia="仿宋_GB2312"/>
        </w:rPr>
        <w:t>6、声明书：出具参加政府采购活动前3年内在经营活动中没有重大违法记录的书面声明；</w:t>
      </w:r>
    </w:p>
    <w:p>
      <w:pPr>
        <w:pStyle w:val="null3"/>
      </w:pPr>
      <w:r>
        <w:rPr>
          <w:rFonts w:ascii="仿宋_GB2312" w:hAnsi="仿宋_GB2312" w:cs="仿宋_GB2312" w:eastAsia="仿宋_GB2312"/>
        </w:rPr>
        <w:t>7、法定代表人授权书：法定代表人授权书及被授权人身份证(法定代表人直接参加投标，须提交其身份证复印件及法定代表人身份证明)；</w:t>
      </w:r>
    </w:p>
    <w:p>
      <w:pPr>
        <w:pStyle w:val="null3"/>
      </w:pPr>
      <w:r>
        <w:rPr>
          <w:rFonts w:ascii="仿宋_GB2312" w:hAnsi="仿宋_GB2312" w:cs="仿宋_GB2312" w:eastAsia="仿宋_GB2312"/>
        </w:rPr>
        <w:t>8、信用截图：供应商不得为“信用中国”网站(www.creditchina.gov.cn) 中列入重大税收违法失信主体、供应商不得为中国执行信息公开网（http://zxgk.court.gov.cn/shixin/）中列入失信被执行人名单、不得为“中国政府采购网”（www.ccgp.gov.cn）政府采购严重违法失信行为记录名单中被财政部门禁止参加政府采购活动的供应商（处罚期限届满的除外，如相关失信记录已失效，供应商需提供相关证明资料）；</w:t>
      </w:r>
    </w:p>
    <w:p>
      <w:pPr>
        <w:pStyle w:val="null3"/>
      </w:pPr>
      <w:r>
        <w:rPr>
          <w:rFonts w:ascii="仿宋_GB2312" w:hAnsi="仿宋_GB2312" w:cs="仿宋_GB2312" w:eastAsia="仿宋_GB2312"/>
        </w:rPr>
        <w:t>9、联合体投标：本项目不接受联合体投标。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宜君县城乡建设和交通运输局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宜君县宜阳中街96号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727299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刘祖明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0919817298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嘉翔项目管理有限公司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西安曲江新区雁南五路曲江影视大厦19层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029-85495286 转 8009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宜君县政府采购管理股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蔡富春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0919-5996058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采购包1：1,350,500.00元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关于印发《招标代理服务收费管理暂行办法》的通知（计价格[2002]1980号）、国家发展改革委《关于降低部分建设项目收费标准规范收费行为等有关问题的通知》（发改价格[2011]534号）”规定收费标准收取。结算时以项目成交价为基数，按照合同签订收取比例计算招标代理服务费，代理费不足3000元的，按3000元收取。 招标代理服务费收款账户信息： 招标代理机构开户名称：嘉翔项目管理有限公司 开户行名称：中国建设银行股份有限公司西安八里村支行 账号：61050172370000000288 转账附言：JXZB2025-038代理服务费 注：成交人支付招标代理服务费后，请将转账凭证、单位开票信息、发票收件人地址信息发至3363927373@qq.com，如有疑问，可致电029-85495286 转 8009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宜君县城乡建设和交通运输局</w:t>
      </w:r>
      <w:r>
        <w:rPr>
          <w:rFonts w:ascii="仿宋_GB2312" w:hAnsi="仿宋_GB2312" w:cs="仿宋_GB2312" w:eastAsia="仿宋_GB2312"/>
        </w:rPr>
        <w:t>和</w:t>
      </w:r>
      <w:r>
        <w:rPr>
          <w:rFonts w:ascii="仿宋_GB2312" w:hAnsi="仿宋_GB2312" w:cs="仿宋_GB2312" w:eastAsia="仿宋_GB2312"/>
        </w:rPr>
        <w:t>嘉翔项目管理有限公司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宜君县城乡建设和交通运输局</w:t>
      </w:r>
      <w:r>
        <w:rPr>
          <w:rFonts w:ascii="仿宋_GB2312" w:hAnsi="仿宋_GB2312" w:cs="仿宋_GB2312" w:eastAsia="仿宋_GB2312"/>
        </w:rPr>
        <w:t>负责解释。除上述磋商文件内容，其他内容由</w:t>
      </w:r>
      <w:r>
        <w:rPr>
          <w:rFonts w:ascii="仿宋_GB2312" w:hAnsi="仿宋_GB2312" w:cs="仿宋_GB2312" w:eastAsia="仿宋_GB2312"/>
        </w:rPr>
        <w:t>嘉翔项目管理有限公司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宜君县城乡建设和交通运输局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嘉翔项目管理有限公司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服务标准：符合国家现行技术规范合格标准。组成验收组按照合同约定和有关要求进行验收。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嘉翔项目管理有限公司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嘉翔项目管理有限公司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嘉翔项目管理有限公司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联系人：田凯</w:t>
      </w:r>
    </w:p>
    <w:p>
      <w:pPr>
        <w:pStyle w:val="null3"/>
      </w:pPr>
      <w:r>
        <w:rPr>
          <w:rFonts w:ascii="仿宋_GB2312" w:hAnsi="仿宋_GB2312" w:cs="仿宋_GB2312" w:eastAsia="仿宋_GB2312"/>
        </w:rPr>
        <w:t>联系电话：029-85495286转8009</w:t>
      </w:r>
    </w:p>
    <w:p>
      <w:pPr>
        <w:pStyle w:val="null3"/>
      </w:pPr>
      <w:r>
        <w:rPr>
          <w:rFonts w:ascii="仿宋_GB2312" w:hAnsi="仿宋_GB2312" w:cs="仿宋_GB2312" w:eastAsia="仿宋_GB2312"/>
        </w:rPr>
        <w:t>地址：西安曲江新区雁南五路曲江影视大厦19层</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宜君县镇区（街道、小区）生活垃圾处理项目，生活垃圾收集处理街道范围：包含宜君县8个乡镇及2个综合服务中心。</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1,350,500.00</w:t>
      </w:r>
    </w:p>
    <w:p>
      <w:pPr>
        <w:pStyle w:val="null3"/>
      </w:pPr>
      <w:r>
        <w:rPr>
          <w:rFonts w:ascii="仿宋_GB2312" w:hAnsi="仿宋_GB2312" w:cs="仿宋_GB2312" w:eastAsia="仿宋_GB2312"/>
        </w:rPr>
        <w:t>采购包最高限价（元）: 1,350,500.00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生活垃圾拉运至耀州区凤凰沟海创垃圾焚烧厂同时定期对生活垃圾分类收集亭消杀4次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1,350,500.00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标的名称：生活垃圾拉运至耀州区凤凰沟海创垃圾焚烧厂同时定期对生活垃圾分类收集亭消杀4次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8"/>
                <w:b/>
              </w:rPr>
              <w:t>一、基本情况：</w:t>
            </w:r>
          </w:p>
          <w:p>
            <w:pPr>
              <w:pStyle w:val="null3"/>
              <w:jc w:val="both"/>
            </w:pPr>
            <w:r>
              <w:rPr>
                <w:rFonts w:ascii="仿宋_GB2312" w:hAnsi="仿宋_GB2312" w:cs="仿宋_GB2312" w:eastAsia="仿宋_GB2312"/>
                <w:sz w:val="18"/>
              </w:rPr>
              <w:t>1、项目基本原则：</w:t>
            </w:r>
          </w:p>
          <w:p>
            <w:pPr>
              <w:pStyle w:val="null3"/>
              <w:jc w:val="both"/>
            </w:pPr>
            <w:r>
              <w:rPr>
                <w:rFonts w:ascii="仿宋_GB2312" w:hAnsi="仿宋_GB2312" w:cs="仿宋_GB2312" w:eastAsia="仿宋_GB2312"/>
                <w:sz w:val="18"/>
              </w:rPr>
              <w:t>1）政府推动，企业运作。由县城交局、各镇区街道办、社区、小区和企业共同承担起镇区生活垃圾收集处理的职责，切实做好规划、建设和运行维护管理工作。</w:t>
            </w:r>
          </w:p>
          <w:p>
            <w:pPr>
              <w:pStyle w:val="null3"/>
              <w:jc w:val="both"/>
            </w:pPr>
            <w:r>
              <w:rPr>
                <w:rFonts w:ascii="仿宋_GB2312" w:hAnsi="仿宋_GB2312" w:cs="仿宋_GB2312" w:eastAsia="仿宋_GB2312"/>
                <w:sz w:val="18"/>
              </w:rPr>
              <w:t>2）因地制宜，科学布局。结合实际，因地制宜科学规划，合理布局。</w:t>
            </w:r>
          </w:p>
          <w:p>
            <w:pPr>
              <w:pStyle w:val="null3"/>
              <w:jc w:val="both"/>
            </w:pPr>
            <w:r>
              <w:rPr>
                <w:rFonts w:ascii="仿宋_GB2312" w:hAnsi="仿宋_GB2312" w:cs="仿宋_GB2312" w:eastAsia="仿宋_GB2312"/>
                <w:sz w:val="18"/>
              </w:rPr>
              <w:t>3）协同工作、规范管理。乡镇政府、社区、小区和运营企业是此项工作的责任主体，要充分发挥社会管理职能，规范居民养成良好的垃圾处理习惯，让人居环境达到洁、亮、净、绿、美的标准。</w:t>
            </w:r>
          </w:p>
          <w:p>
            <w:pPr>
              <w:pStyle w:val="null3"/>
              <w:jc w:val="both"/>
            </w:pPr>
            <w:r>
              <w:rPr>
                <w:rFonts w:ascii="仿宋_GB2312" w:hAnsi="仿宋_GB2312" w:cs="仿宋_GB2312" w:eastAsia="仿宋_GB2312"/>
                <w:sz w:val="18"/>
              </w:rPr>
              <w:t>2</w:t>
            </w:r>
            <w:r>
              <w:rPr>
                <w:rFonts w:ascii="仿宋_GB2312" w:hAnsi="仿宋_GB2312" w:cs="仿宋_GB2312" w:eastAsia="仿宋_GB2312"/>
                <w:sz w:val="18"/>
              </w:rPr>
              <w:t>、生活垃圾收集处理</w:t>
            </w:r>
            <w:r>
              <w:rPr>
                <w:rFonts w:ascii="仿宋_GB2312" w:hAnsi="仿宋_GB2312" w:cs="仿宋_GB2312" w:eastAsia="仿宋_GB2312"/>
                <w:sz w:val="18"/>
              </w:rPr>
              <w:t>街道</w:t>
            </w:r>
            <w:r>
              <w:rPr>
                <w:rFonts w:ascii="仿宋_GB2312" w:hAnsi="仿宋_GB2312" w:cs="仿宋_GB2312" w:eastAsia="仿宋_GB2312"/>
                <w:sz w:val="18"/>
              </w:rPr>
              <w:t>范围：</w:t>
            </w:r>
            <w:r>
              <w:rPr>
                <w:rFonts w:ascii="仿宋_GB2312" w:hAnsi="仿宋_GB2312" w:cs="仿宋_GB2312" w:eastAsia="仿宋_GB2312"/>
                <w:sz w:val="18"/>
              </w:rPr>
              <w:t>包含宜君县</w:t>
            </w:r>
            <w:r>
              <w:rPr>
                <w:rFonts w:ascii="仿宋_GB2312" w:hAnsi="仿宋_GB2312" w:cs="仿宋_GB2312" w:eastAsia="仿宋_GB2312"/>
                <w:sz w:val="18"/>
              </w:rPr>
              <w:t>8个乡镇及2个综合服务中心。</w:t>
            </w:r>
          </w:p>
          <w:p>
            <w:pPr>
              <w:pStyle w:val="null3"/>
              <w:jc w:val="both"/>
            </w:pPr>
            <w:r>
              <w:rPr>
                <w:rFonts w:ascii="仿宋_GB2312" w:hAnsi="仿宋_GB2312" w:cs="仿宋_GB2312" w:eastAsia="仿宋_GB2312"/>
                <w:sz w:val="18"/>
              </w:rPr>
              <w:t>3</w:t>
            </w:r>
            <w:r>
              <w:rPr>
                <w:rFonts w:ascii="仿宋_GB2312" w:hAnsi="仿宋_GB2312" w:cs="仿宋_GB2312" w:eastAsia="仿宋_GB2312"/>
                <w:sz w:val="18"/>
              </w:rPr>
              <w:t>、清理期：及时清理</w:t>
            </w:r>
          </w:p>
          <w:p>
            <w:pPr>
              <w:pStyle w:val="null3"/>
              <w:jc w:val="both"/>
            </w:pPr>
            <w:r>
              <w:rPr>
                <w:rFonts w:ascii="仿宋_GB2312" w:hAnsi="仿宋_GB2312" w:cs="仿宋_GB2312" w:eastAsia="仿宋_GB2312"/>
                <w:sz w:val="18"/>
              </w:rPr>
              <w:t>4</w:t>
            </w:r>
            <w:r>
              <w:rPr>
                <w:rFonts w:ascii="仿宋_GB2312" w:hAnsi="仿宋_GB2312" w:cs="仿宋_GB2312" w:eastAsia="仿宋_GB2312"/>
                <w:sz w:val="18"/>
              </w:rPr>
              <w:t>、服务期：依据项目采购需求，本项目服务期限自合同签订之日起</w:t>
            </w:r>
            <w:r>
              <w:rPr>
                <w:rFonts w:ascii="仿宋_GB2312" w:hAnsi="仿宋_GB2312" w:cs="仿宋_GB2312" w:eastAsia="仿宋_GB2312"/>
                <w:sz w:val="18"/>
              </w:rPr>
              <w:t>3</w:t>
            </w:r>
            <w:r>
              <w:rPr>
                <w:rFonts w:ascii="仿宋_GB2312" w:hAnsi="仿宋_GB2312" w:cs="仿宋_GB2312" w:eastAsia="仿宋_GB2312"/>
                <w:sz w:val="18"/>
              </w:rPr>
              <w:t>年，服务合同一年一签，服务合同一年服务期满后，经考核合格，续签第二年合同。</w:t>
            </w:r>
          </w:p>
          <w:p>
            <w:pPr>
              <w:pStyle w:val="null3"/>
              <w:spacing w:after="120"/>
              <w:jc w:val="both"/>
            </w:pPr>
            <w:r>
              <w:rPr>
                <w:rFonts w:ascii="仿宋_GB2312" w:hAnsi="仿宋_GB2312" w:cs="仿宋_GB2312" w:eastAsia="仿宋_GB2312"/>
                <w:sz w:val="18"/>
              </w:rPr>
              <w:t>5</w:t>
            </w:r>
            <w:r>
              <w:rPr>
                <w:rFonts w:ascii="仿宋_GB2312" w:hAnsi="仿宋_GB2312" w:cs="仿宋_GB2312" w:eastAsia="仿宋_GB2312"/>
                <w:sz w:val="18"/>
              </w:rPr>
              <w:t>、</w:t>
            </w:r>
            <w:r>
              <w:rPr>
                <w:rFonts w:ascii="仿宋_GB2312" w:hAnsi="仿宋_GB2312" w:cs="仿宋_GB2312" w:eastAsia="仿宋_GB2312"/>
                <w:sz w:val="18"/>
              </w:rPr>
              <w:t>年度</w:t>
            </w:r>
            <w:r>
              <w:rPr>
                <w:rFonts w:ascii="仿宋_GB2312" w:hAnsi="仿宋_GB2312" w:cs="仿宋_GB2312" w:eastAsia="仿宋_GB2312"/>
                <w:sz w:val="18"/>
              </w:rPr>
              <w:t>采购预算：</w:t>
            </w:r>
            <w:r>
              <w:rPr>
                <w:rFonts w:ascii="仿宋_GB2312" w:hAnsi="仿宋_GB2312" w:cs="仿宋_GB2312" w:eastAsia="仿宋_GB2312"/>
                <w:sz w:val="18"/>
              </w:rPr>
              <w:t>1350500</w:t>
            </w:r>
            <w:r>
              <w:rPr>
                <w:rFonts w:ascii="仿宋_GB2312" w:hAnsi="仿宋_GB2312" w:cs="仿宋_GB2312" w:eastAsia="仿宋_GB2312"/>
                <w:sz w:val="18"/>
              </w:rPr>
              <w:t>.00元</w:t>
            </w:r>
          </w:p>
          <w:p>
            <w:pPr>
              <w:pStyle w:val="null3"/>
              <w:jc w:val="both"/>
            </w:pPr>
            <w:r>
              <w:rPr>
                <w:rFonts w:ascii="仿宋_GB2312" w:hAnsi="仿宋_GB2312" w:cs="仿宋_GB2312" w:eastAsia="仿宋_GB2312"/>
                <w:sz w:val="18"/>
                <w:b/>
              </w:rPr>
              <w:t>二、工作任务及标准：</w:t>
            </w:r>
          </w:p>
          <w:p>
            <w:pPr>
              <w:pStyle w:val="null3"/>
              <w:jc w:val="both"/>
            </w:pPr>
            <w:r>
              <w:rPr>
                <w:rFonts w:ascii="仿宋_GB2312" w:hAnsi="仿宋_GB2312" w:cs="仿宋_GB2312" w:eastAsia="仿宋_GB2312"/>
                <w:sz w:val="18"/>
              </w:rPr>
              <w:t>1、垃圾清运公司负责对</w:t>
            </w:r>
            <w:r>
              <w:rPr>
                <w:rFonts w:ascii="仿宋_GB2312" w:hAnsi="仿宋_GB2312" w:cs="仿宋_GB2312" w:eastAsia="仿宋_GB2312"/>
                <w:sz w:val="18"/>
              </w:rPr>
              <w:t>宜君县</w:t>
            </w:r>
            <w:r>
              <w:rPr>
                <w:rFonts w:ascii="仿宋_GB2312" w:hAnsi="仿宋_GB2312" w:cs="仿宋_GB2312" w:eastAsia="仿宋_GB2312"/>
                <w:sz w:val="18"/>
              </w:rPr>
              <w:t>8个乡镇及2个综合服务中心</w:t>
            </w:r>
            <w:r>
              <w:rPr>
                <w:rFonts w:ascii="仿宋_GB2312" w:hAnsi="仿宋_GB2312" w:cs="仿宋_GB2312" w:eastAsia="仿宋_GB2312"/>
                <w:sz w:val="18"/>
              </w:rPr>
              <w:t>进行收集、运输、处理，做到及时清理，并将装载时散落垃圾清理干净，垃圾桶摆放整齐。同时做好</w:t>
            </w:r>
            <w:r>
              <w:rPr>
                <w:rFonts w:ascii="仿宋_GB2312" w:hAnsi="仿宋_GB2312" w:cs="仿宋_GB2312" w:eastAsia="仿宋_GB2312"/>
                <w:sz w:val="18"/>
              </w:rPr>
              <w:t>采购人</w:t>
            </w:r>
            <w:r>
              <w:rPr>
                <w:rFonts w:ascii="仿宋_GB2312" w:hAnsi="仿宋_GB2312" w:cs="仿宋_GB2312" w:eastAsia="仿宋_GB2312"/>
                <w:sz w:val="18"/>
              </w:rPr>
              <w:t>安排的其他工作、重大活动的环境卫生保障。运输时严格按照相关规定进行处理。拉运途中密闭运输，不抛洒、不扬尘、不中途乱倒。</w:t>
            </w:r>
          </w:p>
          <w:p>
            <w:pPr>
              <w:pStyle w:val="null3"/>
              <w:jc w:val="both"/>
            </w:pPr>
            <w:r>
              <w:rPr>
                <w:rFonts w:ascii="仿宋_GB2312" w:hAnsi="仿宋_GB2312" w:cs="仿宋_GB2312" w:eastAsia="仿宋_GB2312"/>
                <w:sz w:val="18"/>
              </w:rPr>
              <w:t>2、垃圾清运工作中，工作人员与车辆应有明显的保洁标志、标识，机械车辆要保持车辆容貌整洁，并每日对车辆进行消杀。运输过程中遵守交通交管部门的有关规定。</w:t>
            </w:r>
          </w:p>
          <w:p>
            <w:pPr>
              <w:pStyle w:val="null3"/>
              <w:jc w:val="both"/>
            </w:pPr>
            <w:r>
              <w:rPr>
                <w:rFonts w:ascii="仿宋_GB2312" w:hAnsi="仿宋_GB2312" w:cs="仿宋_GB2312" w:eastAsia="仿宋_GB2312"/>
                <w:sz w:val="18"/>
              </w:rPr>
              <w:t>3、清运垃圾过程中，要爱护垃圾屋、垃圾台、垃圾桶等公共环卫设施。</w:t>
            </w:r>
          </w:p>
          <w:p>
            <w:pPr>
              <w:pStyle w:val="null3"/>
              <w:jc w:val="both"/>
            </w:pPr>
            <w:r>
              <w:rPr>
                <w:rFonts w:ascii="仿宋_GB2312" w:hAnsi="仿宋_GB2312" w:cs="仿宋_GB2312" w:eastAsia="仿宋_GB2312"/>
                <w:sz w:val="18"/>
              </w:rPr>
              <w:t>4、垃圾清运过程当中，工作人员应规范操作机械，因不安全作业造成的事故损失等，由垃圾清运公司自行承担。</w:t>
            </w:r>
          </w:p>
          <w:p>
            <w:pPr>
              <w:pStyle w:val="null3"/>
              <w:spacing w:after="120"/>
              <w:jc w:val="left"/>
            </w:pPr>
            <w:r>
              <w:rPr>
                <w:rFonts w:ascii="仿宋_GB2312" w:hAnsi="仿宋_GB2312" w:cs="仿宋_GB2312" w:eastAsia="仿宋_GB2312"/>
                <w:sz w:val="18"/>
              </w:rPr>
              <w:t>5、垃圾清运公司应及时自查，突出工作重点，灵活工作方式，确保工作任务落到实处。定期对工作人员岗位培训，提高工作人员业务技能和工作责任心。</w:t>
            </w:r>
          </w:p>
          <w:p>
            <w:pPr>
              <w:pStyle w:val="null3"/>
              <w:jc w:val="both"/>
            </w:pPr>
            <w:r>
              <w:rPr>
                <w:rFonts w:ascii="仿宋_GB2312" w:hAnsi="仿宋_GB2312" w:cs="仿宋_GB2312" w:eastAsia="仿宋_GB2312"/>
                <w:sz w:val="18"/>
                <w:b/>
              </w:rPr>
              <w:t>三</w:t>
            </w:r>
            <w:r>
              <w:rPr>
                <w:rFonts w:ascii="仿宋_GB2312" w:hAnsi="仿宋_GB2312" w:cs="仿宋_GB2312" w:eastAsia="仿宋_GB2312"/>
                <w:sz w:val="18"/>
                <w:b/>
              </w:rPr>
              <w:t>、</w:t>
            </w:r>
            <w:r>
              <w:rPr>
                <w:rFonts w:ascii="仿宋_GB2312" w:hAnsi="仿宋_GB2312" w:cs="仿宋_GB2312" w:eastAsia="仿宋_GB2312"/>
                <w:sz w:val="18"/>
                <w:b/>
              </w:rPr>
              <w:t>服务内容及要求</w:t>
            </w:r>
            <w:r>
              <w:rPr>
                <w:rFonts w:ascii="仿宋_GB2312" w:hAnsi="仿宋_GB2312" w:cs="仿宋_GB2312" w:eastAsia="仿宋_GB2312"/>
                <w:sz w:val="18"/>
                <w:b/>
              </w:rPr>
              <w:t>：</w:t>
            </w:r>
          </w:p>
          <w:p>
            <w:pPr>
              <w:pStyle w:val="null3"/>
              <w:jc w:val="both"/>
            </w:pPr>
            <w:r>
              <w:rPr>
                <w:rFonts w:ascii="仿宋_GB2312" w:hAnsi="仿宋_GB2312" w:cs="仿宋_GB2312" w:eastAsia="仿宋_GB2312"/>
                <w:sz w:val="18"/>
              </w:rPr>
              <w:t>1、服务要求：根据我县数据，成交</w:t>
            </w:r>
            <w:r>
              <w:rPr>
                <w:rFonts w:ascii="仿宋_GB2312" w:hAnsi="仿宋_GB2312" w:cs="仿宋_GB2312" w:eastAsia="仿宋_GB2312"/>
                <w:sz w:val="18"/>
              </w:rPr>
              <w:t>单位</w:t>
            </w:r>
            <w:r>
              <w:rPr>
                <w:rFonts w:ascii="仿宋_GB2312" w:hAnsi="仿宋_GB2312" w:cs="仿宋_GB2312" w:eastAsia="仿宋_GB2312"/>
                <w:sz w:val="18"/>
              </w:rPr>
              <w:t>需为宜君县</w:t>
            </w:r>
            <w:r>
              <w:rPr>
                <w:rFonts w:ascii="仿宋_GB2312" w:hAnsi="仿宋_GB2312" w:cs="仿宋_GB2312" w:eastAsia="仿宋_GB2312"/>
                <w:sz w:val="18"/>
              </w:rPr>
              <w:t>8个乡镇及2个综合服务中心应配置生活垃圾分类收集亭100座，镇区各小区生活垃圾收集设施由小区自行承担。</w:t>
            </w:r>
          </w:p>
          <w:p>
            <w:pPr>
              <w:pStyle w:val="null3"/>
              <w:jc w:val="both"/>
            </w:pPr>
            <w:r>
              <w:rPr>
                <w:rFonts w:ascii="仿宋_GB2312" w:hAnsi="仿宋_GB2312" w:cs="仿宋_GB2312" w:eastAsia="仿宋_GB2312"/>
                <w:sz w:val="18"/>
              </w:rPr>
              <w:t>2、车辆及人员要求：需保证10辆垃圾清运车，对乡镇、街道及社区、小区进行收集、运输、处理，随车配驾驶员1名及跟车人员1名。项目至少配备巡检人员1名。</w:t>
            </w:r>
          </w:p>
          <w:p>
            <w:pPr>
              <w:pStyle w:val="null3"/>
              <w:jc w:val="both"/>
            </w:pPr>
            <w:r>
              <w:rPr>
                <w:rFonts w:ascii="仿宋_GB2312" w:hAnsi="仿宋_GB2312" w:cs="仿宋_GB2312" w:eastAsia="仿宋_GB2312"/>
                <w:sz w:val="18"/>
              </w:rPr>
              <w:t>3、消杀要求：生活垃圾分类收集亭100座，每月消杀4次。</w:t>
            </w:r>
          </w:p>
          <w:p>
            <w:pPr>
              <w:pStyle w:val="null3"/>
              <w:jc w:val="both"/>
            </w:pPr>
            <w:r>
              <w:rPr>
                <w:rFonts w:ascii="仿宋_GB2312" w:hAnsi="仿宋_GB2312" w:cs="仿宋_GB2312" w:eastAsia="仿宋_GB2312"/>
                <w:sz w:val="18"/>
              </w:rPr>
              <w:t>4、其他内容：垃圾焚烧：在合适时间、地点进行垃圾焚烧，满足当地相关部门的要求：生活垃圾拉运至耀州区凤凰沟海创垃圾焚烧厂同时定期对生活垃圾分类收集亭消杀4次</w:t>
            </w:r>
          </w:p>
          <w:p>
            <w:pPr>
              <w:pStyle w:val="null3"/>
              <w:jc w:val="both"/>
            </w:pPr>
            <w:r>
              <w:rPr>
                <w:rFonts w:ascii="仿宋_GB2312" w:hAnsi="仿宋_GB2312" w:cs="仿宋_GB2312" w:eastAsia="仿宋_GB2312"/>
                <w:sz w:val="18"/>
                <w:b/>
              </w:rPr>
              <w:t>四、报价说明：</w:t>
            </w:r>
          </w:p>
          <w:p>
            <w:pPr>
              <w:pStyle w:val="null3"/>
              <w:jc w:val="left"/>
            </w:pPr>
            <w:r>
              <w:rPr>
                <w:rFonts w:ascii="仿宋_GB2312" w:hAnsi="仿宋_GB2312" w:cs="仿宋_GB2312" w:eastAsia="仿宋_GB2312"/>
                <w:sz w:val="18"/>
                <w:color w:val="000000"/>
              </w:rPr>
              <w:t>本项目为服务费包干。包含：车辆运行费用、设备使用服务费、消杀费用、垃圾桶消耗费用、垃圾焚烧费、人工费、利润、人员和车辆保险费、税费及其他完成本服务内容相关的全部费用。且乙方自行购置必要的劳动工具、车辆运行、维修保养、材料等。</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详见磋商办法</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满足采购合同要求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本项目服务期限自合同签订之日起3年，服务合同一年一签，服务合同一年服务期满后，经考核合格，续签下一年合同</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符合国家现行技术规范合格标准。组成验收组按照合同约定和有关要求进行验收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分期付款，按月结算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分期付款，按月结算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分期付款，按月结算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分期付款，按月结算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分期付款，按月结算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分期付款，按月结算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分期付款，按月结算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分期付款，按月结算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分期付款，按月结算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分期付款，按月结算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分期付款，按月结算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分期付款，按月结算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满足合同及采购人要求</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一、付款条件说明：按月支付（具体以实际签订合同为准） ； 二、本项目年度预算为135.05万元/年；依据项目采购需求，本项目服务期限自合同签订之日起3年，服务合同一年一签，服务合同一年服务期满后，经考核合格，续签第二年合同。 三、供应商的磋商报价是供应商响应磋商项目要求的全部工作内容的价格体现，合同金额即成交价，合同价格为含税价，乙方提供服务所发生的一切费用等都已包含于合同价款中。在提供服务的过程中的任何遗漏，均由成交供应商免费提供，采购人将不再支付任何费用。 四、采购标的对应的中小企业划分标准所属行业为其他未列明行业。其他未列明行业的划型标准为：从业人员300人以下的为中小微型企业。其中，从业人员100人及以上的为中型企业；从业人员10人及以上的为小型企业；从业人员10人以下的为微型企业。 五、成交供应商在领取成交通知书时提供纸质版投标文件两套，应通过专用制作软件直接打印，确保与电子投标文件保持一致，不允许修改和补充。提交地点：西安曲江新区雁南五路曲江影视大厦19层。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供应商应提交的相关资格证明材料.pdf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营业执照或事业单位法人证书等国家规定的相关证明，自然人参与的提供其身份证明</w:t>
            </w:r>
          </w:p>
        </w:tc>
        <w:tc>
          <w:tcPr>
            <w:tcW w:type="dxa" w:w="3322"/>
          </w:tcPr>
          <w:p>
            <w:pPr>
              <w:pStyle w:val="null3"/>
            </w:pPr>
            <w:r>
              <w:rPr>
                <w:rFonts w:ascii="仿宋_GB2312" w:hAnsi="仿宋_GB2312" w:cs="仿宋_GB2312" w:eastAsia="仿宋_GB2312"/>
              </w:rPr>
              <w:t>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w:t>
            </w:r>
          </w:p>
        </w:tc>
        <w:tc>
          <w:tcPr>
            <w:tcW w:type="dxa" w:w="1661"/>
          </w:tcPr>
          <w:p>
            <w:pPr>
              <w:pStyle w:val="null3"/>
            </w:pPr>
            <w:r>
              <w:rPr>
                <w:rFonts w:ascii="仿宋_GB2312" w:hAnsi="仿宋_GB2312" w:cs="仿宋_GB2312" w:eastAsia="仿宋_GB2312"/>
              </w:rPr>
              <w:t>供应商应提交的相关资格证明材料.pdf 其他.pdf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财务状况报表</w:t>
            </w:r>
          </w:p>
        </w:tc>
        <w:tc>
          <w:tcPr>
            <w:tcW w:type="dxa" w:w="3322"/>
          </w:tcPr>
          <w:p>
            <w:pPr>
              <w:pStyle w:val="null3"/>
            </w:pPr>
            <w:r>
              <w:rPr>
                <w:rFonts w:ascii="仿宋_GB2312" w:hAnsi="仿宋_GB2312" w:cs="仿宋_GB2312" w:eastAsia="仿宋_GB2312"/>
              </w:rPr>
              <w:t>提供2023年度或2024年度经审计的财务报告，或提交自2025年04月01日以来其基本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供应商应提交的相关资格证明材料.pdf 其他.pdf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提供供应商2025年至今任意一个月已缴纳的完税凭证或税务机关开具的完税证明（任意税种），依法免税的单位应提供相关证明材料；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供应商应提交的相关资格证明材料.pdf 其他.pdf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提供供应商2025年至今任意一个月的社会保障资金缴存单据或社保机构开具的社会保险参保缴费情况证明。依法不需要缴纳社会保障资金的供应商应提供相关证明文件；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供应商应提交的相关资格证明材料.pdf 其他.pdf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声明书</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供应商应提交的相关资格证明材料.pdf 其他.pdf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声明书</w:t>
            </w:r>
          </w:p>
        </w:tc>
        <w:tc>
          <w:tcPr>
            <w:tcW w:type="dxa" w:w="3322"/>
          </w:tcPr>
          <w:p>
            <w:pPr>
              <w:pStyle w:val="null3"/>
            </w:pPr>
            <w:r>
              <w:rPr>
                <w:rFonts w:ascii="仿宋_GB2312" w:hAnsi="仿宋_GB2312" w:cs="仿宋_GB2312" w:eastAsia="仿宋_GB2312"/>
              </w:rPr>
              <w:t>出具参加政府采购活动前3年内在经营活动中没有重大违法记录的书面声明；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供应商应提交的相关资格证明材料.pdf 其他.pdf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法定代表人授权书及被授权人身份证(法定代表人直接参加投标，须提交其身份证复印件及法定代表人身份证明)；</w:t>
            </w:r>
          </w:p>
        </w:tc>
        <w:tc>
          <w:tcPr>
            <w:tcW w:type="dxa" w:w="1661"/>
          </w:tcPr>
          <w:p>
            <w:pPr>
              <w:pStyle w:val="null3"/>
            </w:pPr>
            <w:r>
              <w:rPr>
                <w:rFonts w:ascii="仿宋_GB2312" w:hAnsi="仿宋_GB2312" w:cs="仿宋_GB2312" w:eastAsia="仿宋_GB2312"/>
              </w:rPr>
              <w:t>供应商应提交的相关资格证明材料.pdf 其他.pdf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供应商不得为“信用中国”网站(www.creditchina.gov.cn) 中列入重大税收违法失信主体、供应商不得为中国执行信息公开网（http://zxgk.court.gov.cn/shixin/）中列入失信被执行人名单、不得为“中国政府采购网”（www.ccgp.gov.cn）政府采购严重违法失信行为记录名单中被财政部门禁止参加政府采购活动的供应商（处罚期限届满的除外，如相关失信记录已失效，供应商需提供相关证明资料）；</w:t>
            </w:r>
          </w:p>
        </w:tc>
        <w:tc>
          <w:tcPr>
            <w:tcW w:type="dxa" w:w="1661"/>
          </w:tcPr>
          <w:p>
            <w:pPr>
              <w:pStyle w:val="null3"/>
            </w:pPr>
            <w:r>
              <w:rPr>
                <w:rFonts w:ascii="仿宋_GB2312" w:hAnsi="仿宋_GB2312" w:cs="仿宋_GB2312" w:eastAsia="仿宋_GB2312"/>
              </w:rPr>
              <w:t>供应商应提交的相关资格证明材料.pdf 其他.pdf</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供应商应提交的相关资格证明材料.pdf 其他.pdf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磋商响应文件上法定代表人或被授权人的签字齐全并加盖公章。</w:t>
            </w:r>
          </w:p>
        </w:tc>
        <w:tc>
          <w:tcPr>
            <w:tcW w:type="dxa" w:w="1661"/>
          </w:tcPr>
          <w:p>
            <w:pPr>
              <w:pStyle w:val="null3"/>
            </w:pPr>
            <w:r>
              <w:rPr>
                <w:rFonts w:ascii="仿宋_GB2312" w:hAnsi="仿宋_GB2312" w:cs="仿宋_GB2312" w:eastAsia="仿宋_GB2312"/>
              </w:rPr>
              <w:t>响应文件封面 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应符合“响应文件格式”要求（不得因文件排序等非实质性的格式、形式问题限制和影响供应商响应)</w:t>
            </w:r>
          </w:p>
        </w:tc>
        <w:tc>
          <w:tcPr>
            <w:tcW w:type="dxa" w:w="1661"/>
          </w:tcPr>
          <w:p>
            <w:pPr>
              <w:pStyle w:val="null3"/>
            </w:pPr>
            <w:r>
              <w:rPr>
                <w:rFonts w:ascii="仿宋_GB2312" w:hAnsi="仿宋_GB2312" w:cs="仿宋_GB2312" w:eastAsia="仿宋_GB2312"/>
              </w:rPr>
              <w:t>响应文件封面 中小企业声明函 残疾人福利性单位声明函 供应商应提交的相关资格证明材料.pdf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只能有一个有效报价，不得提交选择性报价，且报价不超过预算金额或最高限价或磋商小组认为低于成本价的报价。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响应情况</w:t>
            </w:r>
          </w:p>
        </w:tc>
        <w:tc>
          <w:tcPr>
            <w:tcW w:type="dxa" w:w="3322"/>
          </w:tcPr>
          <w:p>
            <w:pPr>
              <w:pStyle w:val="null3"/>
            </w:pPr>
            <w:r>
              <w:rPr>
                <w:rFonts w:ascii="仿宋_GB2312" w:hAnsi="仿宋_GB2312" w:cs="仿宋_GB2312" w:eastAsia="仿宋_GB2312"/>
              </w:rPr>
              <w:t>应满足竞争性磋商文件要求，响应文件未含有采购人不能接受的附加条件，且无其他无效标的情形。</w:t>
            </w:r>
          </w:p>
        </w:tc>
        <w:tc>
          <w:tcPr>
            <w:tcW w:type="dxa" w:w="1661"/>
          </w:tcPr>
          <w:p>
            <w:pPr>
              <w:pStyle w:val="null3"/>
            </w:pPr>
            <w:r>
              <w:rPr>
                <w:rFonts w:ascii="仿宋_GB2312" w:hAnsi="仿宋_GB2312" w:cs="仿宋_GB2312" w:eastAsia="仿宋_GB2312"/>
              </w:rPr>
              <w:t>服务内容及服务邀请应答表 商务应答表 标的清单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垃圾清运实施方案</w:t>
            </w:r>
          </w:p>
        </w:tc>
        <w:tc>
          <w:tcPr>
            <w:tcW w:type="dxa" w:w="2492"/>
          </w:tcPr>
          <w:p>
            <w:pPr>
              <w:pStyle w:val="null3"/>
            </w:pPr>
            <w:r>
              <w:rPr>
                <w:rFonts w:ascii="仿宋_GB2312" w:hAnsi="仿宋_GB2312" w:cs="仿宋_GB2312" w:eastAsia="仿宋_GB2312"/>
              </w:rPr>
              <w:t>评审内容:根据供应商针对本项目的垃圾清运总体服务方案，方案各部分内容全面详细、阐述条理清晰详尽、符合采购要求。方案内容包含：①现状分析；②垃圾分类收集亭的管理；③垃圾转运至指定垃圾处理场等的服务方案。 评审标准:上述每项方案内容无缺陷得8分，满分为24分。方案内容每存在1处缺陷，扣1分，扣完为止。（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项目服务方案.pdf</w:t>
            </w:r>
          </w:p>
          <w:p>
            <w:pPr>
              <w:pStyle w:val="null3"/>
            </w:pPr>
            <w:r>
              <w:rPr>
                <w:rFonts w:ascii="仿宋_GB2312" w:hAnsi="仿宋_GB2312" w:cs="仿宋_GB2312" w:eastAsia="仿宋_GB2312"/>
              </w:rPr>
              <w:t>其他.pdf</w:t>
            </w:r>
          </w:p>
        </w:tc>
      </w:tr>
      <w:tr>
        <w:tc>
          <w:tcPr>
            <w:tcW w:type="dxa" w:w="831"/>
            <w:vMerge/>
          </w:tcPr>
          <w:p/>
        </w:tc>
        <w:tc>
          <w:tcPr>
            <w:tcW w:type="dxa" w:w="1661"/>
          </w:tcPr>
          <w:p>
            <w:pPr>
              <w:pStyle w:val="null3"/>
            </w:pPr>
            <w:r>
              <w:rPr>
                <w:rFonts w:ascii="仿宋_GB2312" w:hAnsi="仿宋_GB2312" w:cs="仿宋_GB2312" w:eastAsia="仿宋_GB2312"/>
              </w:rPr>
              <w:t>清运时间保障措施</w:t>
            </w:r>
          </w:p>
        </w:tc>
        <w:tc>
          <w:tcPr>
            <w:tcW w:type="dxa" w:w="2492"/>
          </w:tcPr>
          <w:p>
            <w:pPr>
              <w:pStyle w:val="null3"/>
            </w:pPr>
            <w:r>
              <w:rPr>
                <w:rFonts w:ascii="仿宋_GB2312" w:hAnsi="仿宋_GB2312" w:cs="仿宋_GB2312" w:eastAsia="仿宋_GB2312"/>
              </w:rPr>
              <w:t>评审内容:根据供应商针对本项目的清运时间保障措施方案，方案各部分内容全面详细、阐述条理清晰详尽、符合采购要求。方案内容包含：①现状分析；②清运时间管控措施（管控措施方案包含事前、事中、事后管控措施）；③服务期的外运时间安排。 评审标准:上述每项方案内容无缺陷得4分，满分为12分。方案内容每存在1处缺陷，扣1分，扣完为止。（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项目服务方案.pdf</w:t>
            </w:r>
          </w:p>
          <w:p>
            <w:pPr>
              <w:pStyle w:val="null3"/>
            </w:pPr>
            <w:r>
              <w:rPr>
                <w:rFonts w:ascii="仿宋_GB2312" w:hAnsi="仿宋_GB2312" w:cs="仿宋_GB2312" w:eastAsia="仿宋_GB2312"/>
              </w:rPr>
              <w:t>其他.pdf</w:t>
            </w:r>
          </w:p>
        </w:tc>
      </w:tr>
      <w:tr>
        <w:tc>
          <w:tcPr>
            <w:tcW w:type="dxa" w:w="831"/>
            <w:vMerge/>
          </w:tcPr>
          <w:p/>
        </w:tc>
        <w:tc>
          <w:tcPr>
            <w:tcW w:type="dxa" w:w="1661"/>
          </w:tcPr>
          <w:p>
            <w:pPr>
              <w:pStyle w:val="null3"/>
            </w:pPr>
            <w:r>
              <w:rPr>
                <w:rFonts w:ascii="仿宋_GB2312" w:hAnsi="仿宋_GB2312" w:cs="仿宋_GB2312" w:eastAsia="仿宋_GB2312"/>
              </w:rPr>
              <w:t>突发事件处理方案</w:t>
            </w:r>
          </w:p>
        </w:tc>
        <w:tc>
          <w:tcPr>
            <w:tcW w:type="dxa" w:w="2492"/>
          </w:tcPr>
          <w:p>
            <w:pPr>
              <w:pStyle w:val="null3"/>
            </w:pPr>
            <w:r>
              <w:rPr>
                <w:rFonts w:ascii="仿宋_GB2312" w:hAnsi="仿宋_GB2312" w:cs="仿宋_GB2312" w:eastAsia="仿宋_GB2312"/>
              </w:rPr>
              <w:t>评审内容:根据供应商针对本项目的应急方案，方案各部分内容全面详细、阐述条理清晰详尽、符合招标文件要求。方案内容包含：①突发事件情况分析（包含但不限于：节假日、恶劣天气、急性传染病、重大突发公共卫生危机事件、重大工作日的卫生检查与门面临检事件、停电、停水、停气等紧急突发情况）；②应急响应时间及应对措施。 评审标准:上述每项方案内容无缺陷得4分，满分为8分。方案内容每存在1处缺 陷：扣1分，扣完为止；（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项目服务方案.pdf</w:t>
            </w:r>
          </w:p>
          <w:p>
            <w:pPr>
              <w:pStyle w:val="null3"/>
            </w:pPr>
            <w:r>
              <w:rPr>
                <w:rFonts w:ascii="仿宋_GB2312" w:hAnsi="仿宋_GB2312" w:cs="仿宋_GB2312" w:eastAsia="仿宋_GB2312"/>
              </w:rPr>
              <w:t>其他.pdf</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评审内容:根据供应商针对本项目的安全保障措施方案，方案各部分内容全面详细、阐述条理清晰详尽、符合招标文件要求。方案内容包含：①根据供应商提供的在服务期间的安全（人员、运输工具、第三者）保障措施；②安全责任划分标准及安全事故的应对措施。 评审标准:上述每项方案内容无缺陷得4分，满分为8分。方案内容每存在1处缺陷：扣1分，扣完为止；（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项目服务方案.pdf</w:t>
            </w:r>
          </w:p>
          <w:p>
            <w:pPr>
              <w:pStyle w:val="null3"/>
            </w:pPr>
            <w:r>
              <w:rPr>
                <w:rFonts w:ascii="仿宋_GB2312" w:hAnsi="仿宋_GB2312" w:cs="仿宋_GB2312" w:eastAsia="仿宋_GB2312"/>
              </w:rPr>
              <w:t>其他.pdf</w:t>
            </w:r>
          </w:p>
        </w:tc>
      </w:tr>
      <w:tr>
        <w:tc>
          <w:tcPr>
            <w:tcW w:type="dxa" w:w="831"/>
            <w:vMerge/>
          </w:tcPr>
          <w:p/>
        </w:tc>
        <w:tc>
          <w:tcPr>
            <w:tcW w:type="dxa" w:w="1661"/>
          </w:tcPr>
          <w:p>
            <w:pPr>
              <w:pStyle w:val="null3"/>
            </w:pPr>
            <w:r>
              <w:rPr>
                <w:rFonts w:ascii="仿宋_GB2312" w:hAnsi="仿宋_GB2312" w:cs="仿宋_GB2312" w:eastAsia="仿宋_GB2312"/>
              </w:rPr>
              <w:t>服务承诺及服务质量措施</w:t>
            </w:r>
          </w:p>
        </w:tc>
        <w:tc>
          <w:tcPr>
            <w:tcW w:type="dxa" w:w="2492"/>
          </w:tcPr>
          <w:p>
            <w:pPr>
              <w:pStyle w:val="null3"/>
            </w:pPr>
            <w:r>
              <w:rPr>
                <w:rFonts w:ascii="仿宋_GB2312" w:hAnsi="仿宋_GB2312" w:cs="仿宋_GB2312" w:eastAsia="仿宋_GB2312"/>
              </w:rPr>
              <w:t>评审内容:根据供应商针对本项目的服务承诺及服务质量措施方案，方案各部分内容全面详细、阐述条理清晰详尽、符合采购文件要求。方案内容包含：①根据本项目垃圾清运提供相对应服务承诺；②服务质量措施。 评审标准:上述每项方案内容无缺陷得4分，满分为8分。方案内容每存在1处缺陷：扣1分，扣完为止；（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项目服务方案.pdf</w:t>
            </w:r>
          </w:p>
          <w:p>
            <w:pPr>
              <w:pStyle w:val="null3"/>
            </w:pPr>
            <w:r>
              <w:rPr>
                <w:rFonts w:ascii="仿宋_GB2312" w:hAnsi="仿宋_GB2312" w:cs="仿宋_GB2312" w:eastAsia="仿宋_GB2312"/>
              </w:rPr>
              <w:t>其他.pdf</w:t>
            </w:r>
          </w:p>
        </w:tc>
      </w:tr>
      <w:tr>
        <w:tc>
          <w:tcPr>
            <w:tcW w:type="dxa" w:w="831"/>
            <w:vMerge/>
          </w:tcPr>
          <w:p/>
        </w:tc>
        <w:tc>
          <w:tcPr>
            <w:tcW w:type="dxa" w:w="1661"/>
          </w:tcPr>
          <w:p>
            <w:pPr>
              <w:pStyle w:val="null3"/>
            </w:pPr>
            <w:r>
              <w:rPr>
                <w:rFonts w:ascii="仿宋_GB2312" w:hAnsi="仿宋_GB2312" w:cs="仿宋_GB2312" w:eastAsia="仿宋_GB2312"/>
              </w:rPr>
              <w:t>人员安排、职责分配以及人员管理方案</w:t>
            </w:r>
          </w:p>
        </w:tc>
        <w:tc>
          <w:tcPr>
            <w:tcW w:type="dxa" w:w="2492"/>
          </w:tcPr>
          <w:p>
            <w:pPr>
              <w:pStyle w:val="null3"/>
            </w:pPr>
            <w:r>
              <w:rPr>
                <w:rFonts w:ascii="仿宋_GB2312" w:hAnsi="仿宋_GB2312" w:cs="仿宋_GB2312" w:eastAsia="仿宋_GB2312"/>
              </w:rPr>
              <w:t>1）供应商承诺为本项目配备与车辆数量相匹配的驾驶员、跟车人员；项目至少配备巡检人员1名，所有人员配备，满足项目需求，必要时可增加人数；提供承诺清晰准确，满足要求得3分，不满足或不提供不得分。 2）评审内容:根据供应商针对本项目的提供的服务团队配备及方案，方案各部分内容全面详细、阐述条理清晰详尽、符合磋商文件要求。方案内容包含：①服务团队结构；②人员分工职责明确； 评审标准:上述每项方案内容无缺陷得 3 分，满分为6分。方案内容每存在 1 处缺陷， 扣 1 分，扣完为止。（评审内容中的缺陷是指:内容不完整或缺少关键点、内容描述过于简单、条理不清 晰、非专门针对本项目或不适用本项目特性、套用其他项目内容；对同一问题前后 表述矛盾；存在逻辑漏洞、科学原理或常识错误；不利于本项目目标的实现、现有 技术条件下不可能出现的情形等任意一种情形）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项目服务方案.pdf</w:t>
            </w:r>
          </w:p>
          <w:p>
            <w:pPr>
              <w:pStyle w:val="null3"/>
            </w:pPr>
            <w:r>
              <w:rPr>
                <w:rFonts w:ascii="仿宋_GB2312" w:hAnsi="仿宋_GB2312" w:cs="仿宋_GB2312" w:eastAsia="仿宋_GB2312"/>
              </w:rPr>
              <w:t>其他.pdf</w:t>
            </w:r>
          </w:p>
        </w:tc>
      </w:tr>
      <w:tr>
        <w:tc>
          <w:tcPr>
            <w:tcW w:type="dxa" w:w="831"/>
            <w:vMerge/>
          </w:tcPr>
          <w:p/>
        </w:tc>
        <w:tc>
          <w:tcPr>
            <w:tcW w:type="dxa" w:w="1661"/>
          </w:tcPr>
          <w:p>
            <w:pPr>
              <w:pStyle w:val="null3"/>
            </w:pPr>
            <w:r>
              <w:rPr>
                <w:rFonts w:ascii="仿宋_GB2312" w:hAnsi="仿宋_GB2312" w:cs="仿宋_GB2312" w:eastAsia="仿宋_GB2312"/>
              </w:rPr>
              <w:t>拟投入该项目的专用清运工具及主要硬件设备</w:t>
            </w:r>
          </w:p>
        </w:tc>
        <w:tc>
          <w:tcPr>
            <w:tcW w:type="dxa" w:w="2492"/>
          </w:tcPr>
          <w:p>
            <w:pPr>
              <w:pStyle w:val="null3"/>
            </w:pPr>
            <w:r>
              <w:rPr>
                <w:rFonts w:ascii="仿宋_GB2312" w:hAnsi="仿宋_GB2312" w:cs="仿宋_GB2312" w:eastAsia="仿宋_GB2312"/>
              </w:rPr>
              <w:t>评审内容:根据供应商针对本项目的拟投入设备的方案，方案各部分内容全面详细、阐述条理清晰详尽、符合采购要求。方案内容包含： ①专用工具配备及使用安排计划；②运输车辆清单和证明材料：至少具备10辆垃圾清运车，缺少或无本项不得分。（包括但不限于自有证明或购置发票等证明材料等）； 评审标准:方案内容无缺陷得6分，满分为12 分。方案内容每存在1处缺陷，扣1分，扣完为止。（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项目服务方案.pdf</w:t>
            </w:r>
          </w:p>
          <w:p>
            <w:pPr>
              <w:pStyle w:val="null3"/>
            </w:pPr>
            <w:r>
              <w:rPr>
                <w:rFonts w:ascii="仿宋_GB2312" w:hAnsi="仿宋_GB2312" w:cs="仿宋_GB2312" w:eastAsia="仿宋_GB2312"/>
              </w:rPr>
              <w:t>其他.pdf</w:t>
            </w:r>
          </w:p>
        </w:tc>
      </w:tr>
      <w:tr>
        <w:tc>
          <w:tcPr>
            <w:tcW w:type="dxa" w:w="831"/>
            <w:vMerge/>
          </w:tcPr>
          <w:p/>
        </w:tc>
        <w:tc>
          <w:tcPr>
            <w:tcW w:type="dxa" w:w="1661"/>
          </w:tcPr>
          <w:p>
            <w:pPr>
              <w:pStyle w:val="null3"/>
            </w:pPr>
            <w:r>
              <w:rPr>
                <w:rFonts w:ascii="仿宋_GB2312" w:hAnsi="仿宋_GB2312" w:cs="仿宋_GB2312" w:eastAsia="仿宋_GB2312"/>
              </w:rPr>
              <w:t>同类项目业绩</w:t>
            </w:r>
          </w:p>
        </w:tc>
        <w:tc>
          <w:tcPr>
            <w:tcW w:type="dxa" w:w="2492"/>
          </w:tcPr>
          <w:p>
            <w:pPr>
              <w:pStyle w:val="null3"/>
            </w:pPr>
            <w:r>
              <w:rPr>
                <w:rFonts w:ascii="仿宋_GB2312" w:hAnsi="仿宋_GB2312" w:cs="仿宋_GB2312" w:eastAsia="仿宋_GB2312"/>
              </w:rPr>
              <w:t>提供2021年01月01日至今同类项目业绩（以合同或中标通知书为准,复印件加盖公章）每份计3分，计满9分为止。（无相关业绩记0分）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p>
            <w:pPr>
              <w:pStyle w:val="null3"/>
            </w:pPr>
            <w:r>
              <w:rPr>
                <w:rFonts w:ascii="仿宋_GB2312" w:hAnsi="仿宋_GB2312" w:cs="仿宋_GB2312" w:eastAsia="仿宋_GB2312"/>
              </w:rPr>
              <w:t>其他.pdf</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满足竞争性磋商文件要求且评审报价最低的报价为评标基准价，其价格分为满分。其他供应商的价格分统一按照下列公式计算： 磋商报价得分=（评标基准价/最终磋商报价）×价格权值。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详见附件：供应商应提交的相关资格证明材料.pdf</w:t>
      </w:r>
    </w:p>
    <w:p>
      <w:pPr>
        <w:pStyle w:val="null3"/>
        <w:ind w:firstLine="960"/>
      </w:pPr>
      <w:r>
        <w:rPr>
          <w:rFonts w:ascii="仿宋_GB2312" w:hAnsi="仿宋_GB2312" w:cs="仿宋_GB2312" w:eastAsia="仿宋_GB2312"/>
        </w:rPr>
        <w:t>详见附件：项目服务方案.pdf</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详见附件：其他.pdf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详见附件：第八章 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