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版本号：JXZB2025-036.1B120251119001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宜君县农村生活垃圾处理项目(二次)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JXZB2025-036.1B1</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宜君县农村生活垃圾处理项目(二次)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JXZB2025-036.1B1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宜君县农村生活垃圾处理项目(二次)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宜君县农村生活垃圾处理项目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采购包1（宜君县农村生活垃圾处理项目）：属于专门面向中小企业采购。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2025年02月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刘祖明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09198172988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029-85495286转8009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转账附言：JXZB2025-036.1B1代理服务费 注：中标人支付招标代理服务费后，请将转账凭证、单位开票信息、发票收件人地址信息发至3363927373@qq.com，如有疑问，可致电029-85495286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负责解释。除上述招标文件内容，其他内容由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宜君县城乡建设和交通运输局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符合国家现行技术规范合格标准。组成验收组按照合同约定和有关要求进行验收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宜君县农村生活垃圾处理项目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6,060,000.00</w:t>
      </w:r>
    </w:p>
    <w:p>
      <w:pPr>
        <w:pStyle w:val="null3"/>
      </w:pPr>
      <w:r>
        <w:rPr>
          <w:rFonts w:ascii="仿宋_GB2312" w:hAnsi="仿宋_GB2312" w:cs="仿宋_GB2312" w:eastAsia="仿宋_GB2312"/>
        </w:rPr>
        <w:t>采购包最高限价（元）: 6,060,000.00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宜君县农村生活垃圾处理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标的名称：宜君县农村生活垃圾处理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w:t>
            </w:r>
            <w:r>
              <w:rPr>
                <w:rFonts w:ascii="仿宋_GB2312" w:hAnsi="仿宋_GB2312" w:cs="仿宋_GB2312" w:eastAsia="仿宋_GB2312"/>
                <w:sz w:val="18"/>
                <w:b/>
              </w:rPr>
              <w:t>基本情况：</w:t>
            </w:r>
          </w:p>
          <w:p>
            <w:pPr>
              <w:pStyle w:val="null3"/>
              <w:jc w:val="both"/>
            </w:pPr>
            <w:r>
              <w:rPr>
                <w:rFonts w:ascii="仿宋_GB2312" w:hAnsi="仿宋_GB2312" w:cs="仿宋_GB2312" w:eastAsia="仿宋_GB2312"/>
                <w:sz w:val="18"/>
              </w:rPr>
              <w:t>1、项目基本原则：</w:t>
            </w:r>
          </w:p>
          <w:p>
            <w:pPr>
              <w:pStyle w:val="null3"/>
              <w:jc w:val="both"/>
            </w:pPr>
            <w:r>
              <w:rPr>
                <w:rFonts w:ascii="仿宋_GB2312" w:hAnsi="仿宋_GB2312" w:cs="仿宋_GB2312" w:eastAsia="仿宋_GB2312"/>
                <w:sz w:val="18"/>
              </w:rPr>
              <w:t>1）政府推动，企业运作。由区农业农村局、各镇街道办、村组和企业共同承担起农村生活垃圾收集处理的职责，切实做好规划、建设和运行维护管理工作。加强宣传增强村民垃圾分类意识，以村规民约、干部、党员包户等形式，明确村民责任和义务，引导村民养成自觉分类的良好习惯。</w:t>
            </w:r>
          </w:p>
          <w:p>
            <w:pPr>
              <w:pStyle w:val="null3"/>
              <w:jc w:val="both"/>
            </w:pPr>
            <w:r>
              <w:rPr>
                <w:rFonts w:ascii="仿宋_GB2312" w:hAnsi="仿宋_GB2312" w:cs="仿宋_GB2312" w:eastAsia="仿宋_GB2312"/>
                <w:sz w:val="18"/>
              </w:rPr>
              <w:t>2）因地制宜，科学布局。结合农村实际，因地制宜科学规划，合理布局垃圾分类点。</w:t>
            </w:r>
          </w:p>
          <w:p>
            <w:pPr>
              <w:pStyle w:val="null3"/>
              <w:jc w:val="both"/>
            </w:pPr>
            <w:r>
              <w:rPr>
                <w:rFonts w:ascii="仿宋_GB2312" w:hAnsi="仿宋_GB2312" w:cs="仿宋_GB2312" w:eastAsia="仿宋_GB2312"/>
                <w:sz w:val="18"/>
              </w:rPr>
              <w:t>3）协同收运、规范管理。农村生活垃圾收集转运是一项复杂的系统工程，乡镇政府、村组织和运营企业是此项工作的责任主体，要充分发挥社会管理职能，规范村民垃圾倾倒时间、规范垃圾存放点、养成良好的垃圾分类处理习惯，让农村人居环境达到洁、亮、净、绿、美的标准。</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、生活垃圾收集处理</w:t>
            </w:r>
            <w:r>
              <w:rPr>
                <w:rFonts w:ascii="仿宋_GB2312" w:hAnsi="仿宋_GB2312" w:cs="仿宋_GB2312" w:eastAsia="仿宋_GB2312"/>
                <w:sz w:val="18"/>
              </w:rPr>
              <w:t>农村</w:t>
            </w:r>
            <w:r>
              <w:rPr>
                <w:rFonts w:ascii="仿宋_GB2312" w:hAnsi="仿宋_GB2312" w:cs="仿宋_GB2312" w:eastAsia="仿宋_GB2312"/>
                <w:sz w:val="18"/>
              </w:rPr>
              <w:t>范围：共有</w:t>
            </w:r>
            <w:r>
              <w:rPr>
                <w:rFonts w:ascii="仿宋_GB2312" w:hAnsi="仿宋_GB2312" w:cs="仿宋_GB2312" w:eastAsia="仿宋_GB2312"/>
                <w:sz w:val="18"/>
              </w:rPr>
              <w:t>617个自然组，19000户</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、清理期：</w:t>
            </w:r>
            <w:r>
              <w:rPr>
                <w:rFonts w:ascii="仿宋_GB2312" w:hAnsi="仿宋_GB2312" w:cs="仿宋_GB2312" w:eastAsia="仿宋_GB2312"/>
                <w:sz w:val="18"/>
              </w:rPr>
              <w:t>及时清理</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、服务期：</w:t>
            </w:r>
            <w:r>
              <w:rPr>
                <w:rFonts w:ascii="仿宋_GB2312" w:hAnsi="仿宋_GB2312" w:cs="仿宋_GB2312" w:eastAsia="仿宋_GB2312"/>
                <w:sz w:val="18"/>
              </w:rPr>
              <w:t>依据项目采购需求，本项目服务期限自合同签订之日起</w:t>
            </w:r>
            <w:r>
              <w:rPr>
                <w:rFonts w:ascii="仿宋_GB2312" w:hAnsi="仿宋_GB2312" w:cs="仿宋_GB2312" w:eastAsia="仿宋_GB2312"/>
                <w:sz w:val="18"/>
              </w:rPr>
              <w:t>3</w:t>
            </w:r>
            <w:r>
              <w:rPr>
                <w:rFonts w:ascii="仿宋_GB2312" w:hAnsi="仿宋_GB2312" w:cs="仿宋_GB2312" w:eastAsia="仿宋_GB2312"/>
                <w:sz w:val="18"/>
              </w:rPr>
              <w:t>年，服务合同一年一签，服务合同一年服务期满后，经考核合格，续签第二年合同。</w:t>
            </w:r>
          </w:p>
          <w:p>
            <w:pPr>
              <w:pStyle w:val="null3"/>
              <w:spacing w:after="120"/>
              <w:jc w:val="both"/>
            </w:pPr>
            <w:r>
              <w:rPr>
                <w:rFonts w:ascii="仿宋_GB2312" w:hAnsi="仿宋_GB2312" w:cs="仿宋_GB2312" w:eastAsia="仿宋_GB2312"/>
                <w:sz w:val="18"/>
              </w:rPr>
              <w:t>5</w:t>
            </w:r>
            <w:r>
              <w:rPr>
                <w:rFonts w:ascii="仿宋_GB2312" w:hAnsi="仿宋_GB2312" w:cs="仿宋_GB2312" w:eastAsia="仿宋_GB2312"/>
                <w:sz w:val="18"/>
              </w:rPr>
              <w:t>、采购预算：</w:t>
            </w:r>
            <w:r>
              <w:rPr>
                <w:rFonts w:ascii="仿宋_GB2312" w:hAnsi="仿宋_GB2312" w:cs="仿宋_GB2312" w:eastAsia="仿宋_GB2312"/>
                <w:sz w:val="18"/>
              </w:rPr>
              <w:t>6060000.00</w:t>
            </w:r>
            <w:r>
              <w:rPr>
                <w:rFonts w:ascii="仿宋_GB2312" w:hAnsi="仿宋_GB2312" w:cs="仿宋_GB2312" w:eastAsia="仿宋_GB2312"/>
                <w:sz w:val="18"/>
              </w:rPr>
              <w:t>元</w:t>
            </w:r>
          </w:p>
          <w:p>
            <w:pPr>
              <w:pStyle w:val="null3"/>
              <w:jc w:val="both"/>
            </w:pPr>
            <w:r>
              <w:rPr>
                <w:rFonts w:ascii="仿宋_GB2312" w:hAnsi="仿宋_GB2312" w:cs="仿宋_GB2312" w:eastAsia="仿宋_GB2312"/>
                <w:sz w:val="18"/>
                <w:b/>
              </w:rPr>
              <w:t>二、工作任务及标准：</w:t>
            </w:r>
          </w:p>
          <w:p>
            <w:pPr>
              <w:pStyle w:val="null3"/>
              <w:jc w:val="both"/>
            </w:pPr>
            <w:r>
              <w:rPr>
                <w:rFonts w:ascii="仿宋_GB2312" w:hAnsi="仿宋_GB2312" w:cs="仿宋_GB2312" w:eastAsia="仿宋_GB2312"/>
                <w:sz w:val="18"/>
              </w:rPr>
              <w:t>1、垃圾清运公司负责对</w:t>
            </w:r>
            <w:r>
              <w:rPr>
                <w:rFonts w:ascii="仿宋_GB2312" w:hAnsi="仿宋_GB2312" w:cs="仿宋_GB2312" w:eastAsia="仿宋_GB2312"/>
                <w:sz w:val="18"/>
              </w:rPr>
              <w:t>全县各农村</w:t>
            </w:r>
            <w:r>
              <w:rPr>
                <w:rFonts w:ascii="仿宋_GB2312" w:hAnsi="仿宋_GB2312" w:cs="仿宋_GB2312" w:eastAsia="仿宋_GB2312"/>
                <w:sz w:val="18"/>
              </w:rPr>
              <w:t>进行收集、运输、处理，做到</w:t>
            </w:r>
            <w:r>
              <w:rPr>
                <w:rFonts w:ascii="仿宋_GB2312" w:hAnsi="仿宋_GB2312" w:cs="仿宋_GB2312" w:eastAsia="仿宋_GB2312"/>
                <w:sz w:val="18"/>
              </w:rPr>
              <w:t>及时清理</w:t>
            </w:r>
            <w:r>
              <w:rPr>
                <w:rFonts w:ascii="仿宋_GB2312" w:hAnsi="仿宋_GB2312" w:cs="仿宋_GB2312" w:eastAsia="仿宋_GB2312"/>
                <w:sz w:val="18"/>
              </w:rPr>
              <w:t>，并将装载时散落垃圾清理干净，垃圾桶摆放整齐。同时做好</w:t>
            </w:r>
            <w:r>
              <w:rPr>
                <w:rFonts w:ascii="仿宋_GB2312" w:hAnsi="仿宋_GB2312" w:cs="仿宋_GB2312" w:eastAsia="仿宋_GB2312"/>
                <w:sz w:val="18"/>
              </w:rPr>
              <w:t>采购人</w:t>
            </w:r>
            <w:r>
              <w:rPr>
                <w:rFonts w:ascii="仿宋_GB2312" w:hAnsi="仿宋_GB2312" w:cs="仿宋_GB2312" w:eastAsia="仿宋_GB2312"/>
                <w:sz w:val="18"/>
              </w:rPr>
              <w:t>安排的其他工作、重大活动的环境卫生保障。运输时严格按照相关规定进行处理。拉运途中密闭运输，不抛洒、不扬尘、不中途乱倒。</w:t>
            </w:r>
          </w:p>
          <w:p>
            <w:pPr>
              <w:pStyle w:val="null3"/>
              <w:jc w:val="both"/>
            </w:pPr>
            <w:r>
              <w:rPr>
                <w:rFonts w:ascii="仿宋_GB2312" w:hAnsi="仿宋_GB2312" w:cs="仿宋_GB2312" w:eastAsia="仿宋_GB2312"/>
                <w:sz w:val="18"/>
              </w:rPr>
              <w:t>2、垃圾清运工作中，工作人员与车辆应有明显的保洁标志、标识，机械车辆要保持车辆容貌整洁，并每日对车辆进行消杀。运输过程中遵守交通交管部门的有关规定。</w:t>
            </w:r>
          </w:p>
          <w:p>
            <w:pPr>
              <w:pStyle w:val="null3"/>
              <w:jc w:val="both"/>
            </w:pPr>
            <w:r>
              <w:rPr>
                <w:rFonts w:ascii="仿宋_GB2312" w:hAnsi="仿宋_GB2312" w:cs="仿宋_GB2312" w:eastAsia="仿宋_GB2312"/>
                <w:sz w:val="18"/>
              </w:rPr>
              <w:t>3、清运垃圾过程中，要爱护垃圾屋、垃圾台、垃圾桶等公共环卫设施。</w:t>
            </w:r>
          </w:p>
          <w:p>
            <w:pPr>
              <w:pStyle w:val="null3"/>
              <w:jc w:val="both"/>
            </w:pPr>
            <w:r>
              <w:rPr>
                <w:rFonts w:ascii="仿宋_GB2312" w:hAnsi="仿宋_GB2312" w:cs="仿宋_GB2312" w:eastAsia="仿宋_GB2312"/>
                <w:sz w:val="18"/>
              </w:rPr>
              <w:t>4、垃圾清运过程当中，工作人员应规范操作机械，因不安全作业造成的事故损失等，由垃圾清运公司自行承担。</w:t>
            </w:r>
          </w:p>
          <w:p>
            <w:pPr>
              <w:pStyle w:val="null3"/>
              <w:spacing w:after="120"/>
              <w:jc w:val="left"/>
            </w:pPr>
            <w:r>
              <w:rPr>
                <w:rFonts w:ascii="仿宋_GB2312" w:hAnsi="仿宋_GB2312" w:cs="仿宋_GB2312" w:eastAsia="仿宋_GB2312"/>
                <w:sz w:val="18"/>
              </w:rPr>
              <w:t>5、垃圾清运公司应及时自查，突出工作重点，灵活工作方式，确保工作任务落到实处。定期对工作人员岗位培训，提高工作人员业务技能和工作责任心。</w:t>
            </w:r>
          </w:p>
          <w:p>
            <w:pPr>
              <w:pStyle w:val="null3"/>
              <w:jc w:val="both"/>
            </w:pPr>
            <w:r>
              <w:rPr>
                <w:rFonts w:ascii="仿宋_GB2312" w:hAnsi="仿宋_GB2312" w:cs="仿宋_GB2312" w:eastAsia="仿宋_GB2312"/>
                <w:sz w:val="18"/>
                <w:b/>
              </w:rPr>
              <w:t>三</w:t>
            </w:r>
            <w:r>
              <w:rPr>
                <w:rFonts w:ascii="仿宋_GB2312" w:hAnsi="仿宋_GB2312" w:cs="仿宋_GB2312" w:eastAsia="仿宋_GB2312"/>
                <w:sz w:val="18"/>
                <w:b/>
              </w:rPr>
              <w:t>、</w:t>
            </w:r>
            <w:r>
              <w:rPr>
                <w:rFonts w:ascii="仿宋_GB2312" w:hAnsi="仿宋_GB2312" w:cs="仿宋_GB2312" w:eastAsia="仿宋_GB2312"/>
                <w:sz w:val="18"/>
                <w:b/>
              </w:rPr>
              <w:t>服务内容及要求</w:t>
            </w:r>
            <w:r>
              <w:rPr>
                <w:rFonts w:ascii="仿宋_GB2312" w:hAnsi="仿宋_GB2312" w:cs="仿宋_GB2312" w:eastAsia="仿宋_GB2312"/>
                <w:sz w:val="18"/>
                <w:b/>
              </w:rPr>
              <w:t>：</w:t>
            </w:r>
          </w:p>
          <w:p>
            <w:pPr>
              <w:pStyle w:val="null3"/>
              <w:jc w:val="both"/>
            </w:pPr>
            <w:r>
              <w:rPr>
                <w:rFonts w:ascii="仿宋_GB2312" w:hAnsi="仿宋_GB2312" w:cs="仿宋_GB2312" w:eastAsia="仿宋_GB2312"/>
                <w:sz w:val="18"/>
                <w:b/>
              </w:rPr>
              <w:t>1、服务要求：</w:t>
            </w:r>
          </w:p>
          <w:p>
            <w:pPr>
              <w:pStyle w:val="null3"/>
              <w:jc w:val="both"/>
            </w:pPr>
            <w:r>
              <w:rPr>
                <w:rFonts w:ascii="仿宋_GB2312" w:hAnsi="仿宋_GB2312" w:cs="仿宋_GB2312" w:eastAsia="仿宋_GB2312"/>
                <w:sz w:val="18"/>
              </w:rPr>
              <w:t>共有</w:t>
            </w:r>
            <w:r>
              <w:rPr>
                <w:rFonts w:ascii="仿宋_GB2312" w:hAnsi="仿宋_GB2312" w:cs="仿宋_GB2312" w:eastAsia="仿宋_GB2312"/>
                <w:sz w:val="18"/>
              </w:rPr>
              <w:t>617个自然组，19000户所产生的生活垃圾，</w:t>
            </w:r>
            <w:r>
              <w:rPr>
                <w:rFonts w:ascii="仿宋_GB2312" w:hAnsi="仿宋_GB2312" w:cs="仿宋_GB2312" w:eastAsia="仿宋_GB2312"/>
                <w:sz w:val="18"/>
              </w:rPr>
              <w:t>中标单位</w:t>
            </w:r>
            <w:r>
              <w:rPr>
                <w:rFonts w:ascii="仿宋_GB2312" w:hAnsi="仿宋_GB2312" w:cs="仿宋_GB2312" w:eastAsia="仿宋_GB2312"/>
                <w:sz w:val="18"/>
              </w:rPr>
              <w:t>需配置</w:t>
            </w:r>
            <w:r>
              <w:rPr>
                <w:rFonts w:ascii="仿宋_GB2312" w:hAnsi="仿宋_GB2312" w:cs="仿宋_GB2312" w:eastAsia="仿宋_GB2312"/>
                <w:sz w:val="18"/>
              </w:rPr>
              <w:t>10辆中型垃圾压缩收运车，从各自然组拉运至耀州区凤凰沟海创垃圾焚烧厂。每个自然组应配置生活垃圾分类收集亭一座(长4米、宽1.2米、高2.4米)结构框架为8X8方管焊接，整体为开放式，便于村民投放垃圾;收集亭内悬挂垃圾分类宣传牌;亭内配备生活垃圾分类收集桶6个，其中其它垃圾桶3个、可回收垃圾桶、有害垃圾桶、厨余垃圾桶各1个。项目验收符合相关环保要求。</w:t>
            </w:r>
          </w:p>
          <w:p>
            <w:pPr>
              <w:pStyle w:val="null3"/>
              <w:jc w:val="both"/>
            </w:pPr>
            <w:r>
              <w:rPr>
                <w:rFonts w:ascii="仿宋_GB2312" w:hAnsi="仿宋_GB2312" w:cs="仿宋_GB2312" w:eastAsia="仿宋_GB2312"/>
                <w:sz w:val="18"/>
                <w:b/>
              </w:rPr>
              <w:t>2、车辆及人员要求</w:t>
            </w:r>
          </w:p>
          <w:p>
            <w:pPr>
              <w:pStyle w:val="null3"/>
              <w:jc w:val="both"/>
            </w:pPr>
            <w:r>
              <w:rPr>
                <w:rFonts w:ascii="仿宋_GB2312" w:hAnsi="仿宋_GB2312" w:cs="仿宋_GB2312" w:eastAsia="仿宋_GB2312"/>
                <w:sz w:val="18"/>
              </w:rPr>
              <w:t>需保证</w:t>
            </w:r>
            <w:r>
              <w:rPr>
                <w:rFonts w:ascii="仿宋_GB2312" w:hAnsi="仿宋_GB2312" w:cs="仿宋_GB2312" w:eastAsia="仿宋_GB2312"/>
                <w:sz w:val="18"/>
              </w:rPr>
              <w:t>10辆垃圾清运车，对各村组进行收集、运输、处理，随车配驾驶员1名及跟车人员1名。项目至少配备总负责人1名，巡检+（内勤）人员1名，财务+（统计）人员1名。</w:t>
            </w:r>
          </w:p>
          <w:p>
            <w:pPr>
              <w:pStyle w:val="null3"/>
              <w:jc w:val="both"/>
            </w:pPr>
            <w:r>
              <w:rPr>
                <w:rFonts w:ascii="仿宋_GB2312" w:hAnsi="仿宋_GB2312" w:cs="仿宋_GB2312" w:eastAsia="仿宋_GB2312"/>
                <w:sz w:val="18"/>
                <w:b/>
              </w:rPr>
              <w:t>3、消杀要求</w:t>
            </w:r>
          </w:p>
          <w:p>
            <w:pPr>
              <w:pStyle w:val="null3"/>
              <w:jc w:val="both"/>
            </w:pPr>
            <w:r>
              <w:rPr>
                <w:rFonts w:ascii="仿宋_GB2312" w:hAnsi="仿宋_GB2312" w:cs="仿宋_GB2312" w:eastAsia="仿宋_GB2312"/>
                <w:sz w:val="18"/>
              </w:rPr>
              <w:t>生活垃圾分类收集点</w:t>
            </w:r>
            <w:r>
              <w:rPr>
                <w:rFonts w:ascii="仿宋_GB2312" w:hAnsi="仿宋_GB2312" w:cs="仿宋_GB2312" w:eastAsia="仿宋_GB2312"/>
                <w:sz w:val="18"/>
              </w:rPr>
              <w:t>620座，每月消杀4次。</w:t>
            </w:r>
          </w:p>
          <w:p>
            <w:pPr>
              <w:pStyle w:val="null3"/>
              <w:jc w:val="both"/>
            </w:pPr>
            <w:r>
              <w:rPr>
                <w:rFonts w:ascii="仿宋_GB2312" w:hAnsi="仿宋_GB2312" w:cs="仿宋_GB2312" w:eastAsia="仿宋_GB2312"/>
                <w:sz w:val="18"/>
                <w:b/>
              </w:rPr>
              <w:t>4、其他内容</w:t>
            </w:r>
          </w:p>
          <w:p>
            <w:pPr>
              <w:pStyle w:val="null3"/>
              <w:jc w:val="both"/>
            </w:pPr>
            <w:r>
              <w:rPr>
                <w:rFonts w:ascii="仿宋_GB2312" w:hAnsi="仿宋_GB2312" w:cs="仿宋_GB2312" w:eastAsia="仿宋_GB2312"/>
                <w:sz w:val="18"/>
              </w:rPr>
              <w:t>垃圾焚烧：在合适时间、地点进行垃圾焚烧，满足当地相关部门的要求；</w:t>
            </w:r>
          </w:p>
          <w:p>
            <w:pPr>
              <w:pStyle w:val="null3"/>
              <w:jc w:val="both"/>
            </w:pPr>
            <w:r>
              <w:rPr>
                <w:rFonts w:ascii="仿宋_GB2312" w:hAnsi="仿宋_GB2312" w:cs="仿宋_GB2312" w:eastAsia="仿宋_GB2312"/>
                <w:sz w:val="18"/>
                <w:b/>
              </w:rPr>
              <w:t>四、报价说明：</w:t>
            </w:r>
          </w:p>
          <w:p>
            <w:pPr>
              <w:pStyle w:val="null3"/>
              <w:jc w:val="both"/>
            </w:pPr>
            <w:r>
              <w:rPr>
                <w:rFonts w:ascii="仿宋_GB2312" w:hAnsi="仿宋_GB2312" w:cs="仿宋_GB2312" w:eastAsia="仿宋_GB2312"/>
                <w:sz w:val="18"/>
              </w:rPr>
              <w:t>本项目为服务费包干。包含：车辆运行费用、设备使用服务费、消杀费用、垃圾桶消耗费用、垃圾焚烧费、人工费、利润、人员和车辆保险费、税费及其他完成本服务内容相关的全部费用。且乙方自行购置必要的劳动工具、车辆运行、维修保养、材料等。</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依据项目采购需求，本项目服务期限自合同签订之日起3年，服务合同一年一签，服务合同一年服务期满后，经考核合格，续签第二年合同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符合国家现行技术规范合格标准。组成验收组按照合同约定和有关要求进行验收。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分期付款，按月结算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分期付款，按月结算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满足合同及采购人要求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一、付款条件说明：按月支付（具体以实际签订合同为准）； 二、本项目年度预算为606.00万元/年；依据项目采购需求，本项目服务期限自合同签订之日起3年，服务合同一年一签，服务合同一年服务期满后，经考核合格，续签第二年合同。 三、供应商的投标报价是供应商响应招标项目要求的全部工作内容的价格体现，合同金额即中标价，合同价格为含税价，乙方提供服务所发生的一切费用等都已包含于合同价款中。在提供服务的过程中的任何遗漏，均由中标供应商免费提供，采购人将不再支付任何费用。 四、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五、中标供应商在领取中标通知书时提供纸质版投标文件两套，应通过专用制作软件直接打印，确保与电子投标文件保持一致，不允许修改和补充。提交地点：西安曲江新区雁南五路曲江影视大厦19层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2025年02月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其他</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签字、盖章符合招标文件要求，且无遗漏</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中小企业声明函 残疾人福利性单位声明函 标的清单 供应商应提交的相关资格证明材料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（2）开标一览表填写符合要求； （3）报价货币符合招标文件要求；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应满足竞招标要求，响应文件未含有采购人不能接受的附加条件，且无其他无效标的情形。</w:t>
            </w:r>
          </w:p>
        </w:tc>
        <w:tc>
          <w:tcPr>
            <w:tcW w:type="dxa" w:w="1661"/>
          </w:tcPr>
          <w:p>
            <w:pPr>
              <w:pStyle w:val="null3"/>
            </w:pPr>
            <w:r>
              <w:rPr>
                <w:rFonts w:ascii="仿宋_GB2312" w:hAnsi="仿宋_GB2312" w:cs="仿宋_GB2312" w:eastAsia="仿宋_GB2312"/>
              </w:rPr>
              <w:t>投标函 商务应答表 标的清单 服务内容及服务要求应答表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垃圾清运实施方案</w:t>
            </w:r>
          </w:p>
        </w:tc>
        <w:tc>
          <w:tcPr>
            <w:tcW w:type="dxa" w:w="2492"/>
          </w:tcPr>
          <w:p>
            <w:pPr>
              <w:pStyle w:val="null3"/>
            </w:pPr>
            <w:r>
              <w:rPr>
                <w:rFonts w:ascii="仿宋_GB2312" w:hAnsi="仿宋_GB2312" w:cs="仿宋_GB2312" w:eastAsia="仿宋_GB2312"/>
              </w:rPr>
              <w:t>评审内容:根据供应商针对本项目的垃圾清运总体服务方案，方案各部分内容全面详细、阐述条理清晰详尽、符合采购要求。方案内容包含：①现状分析；②垃圾分类收集亭的管理；③垃圾转运至指定垃圾处理场等的服务方案。 评审标准:上述每项方案内容无缺陷得8分，满分为24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清运时间保障措施</w:t>
            </w:r>
          </w:p>
        </w:tc>
        <w:tc>
          <w:tcPr>
            <w:tcW w:type="dxa" w:w="2492"/>
          </w:tcPr>
          <w:p>
            <w:pPr>
              <w:pStyle w:val="null3"/>
            </w:pPr>
            <w:r>
              <w:rPr>
                <w:rFonts w:ascii="仿宋_GB2312" w:hAnsi="仿宋_GB2312" w:cs="仿宋_GB2312" w:eastAsia="仿宋_GB2312"/>
              </w:rPr>
              <w:t>评审内容:根据供应商针对本项目的清运时间保障措施方案，方案各部分内容全面详细、阐述条理清晰详尽、符合采购要求。方案内容包含：①现状分析；②清运时间管控措施（管控措施方案包含事前、事中、事后管控措施）；③服务期的外运时间安排。 评审标准:上述每项方案内容无缺陷得4分，满分为12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突发事件处理方案</w:t>
            </w:r>
          </w:p>
        </w:tc>
        <w:tc>
          <w:tcPr>
            <w:tcW w:type="dxa" w:w="2492"/>
          </w:tcPr>
          <w:p>
            <w:pPr>
              <w:pStyle w:val="null3"/>
            </w:pPr>
            <w:r>
              <w:rPr>
                <w:rFonts w:ascii="仿宋_GB2312" w:hAnsi="仿宋_GB2312" w:cs="仿宋_GB2312" w:eastAsia="仿宋_GB2312"/>
              </w:rPr>
              <w:t>评审内容:根据供应商针对本项目的应急方案，方案各部分内容全面详细、阐述条理清晰详尽、符合招标文件要求。方案内容包含：①突发事件情况分析（包含但不限于：节假日、恶劣天气、急性传染病、重大突发公共卫生危机事件、重大工作日的卫生检查与门面临检事件、停电、停水、停气等紧急突发情况）；②应急响应时间及应对措施。 评审标准:上述每项方案内容无缺陷得4分，满分为8分。方案内容每存在1处缺 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评审内容:根据供应商针对本项目的安全保障措施方案，方案各部分内容全面详细、阐述条理清晰详尽、符合招标文件要求。方案内容包含：①根据服务商提供的在服务期间的安全（人员、运输工具、第三者）保障措施；②安全责任划分标准及安全事故的应对措施。 评审标准:上述每项方案内容无缺陷得4分，满分为8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服务承诺及服务质量措施</w:t>
            </w:r>
          </w:p>
        </w:tc>
        <w:tc>
          <w:tcPr>
            <w:tcW w:type="dxa" w:w="2492"/>
          </w:tcPr>
          <w:p>
            <w:pPr>
              <w:pStyle w:val="null3"/>
            </w:pPr>
            <w:r>
              <w:rPr>
                <w:rFonts w:ascii="仿宋_GB2312" w:hAnsi="仿宋_GB2312" w:cs="仿宋_GB2312" w:eastAsia="仿宋_GB2312"/>
              </w:rPr>
              <w:t>评审内容:根据供应商针对本项目的服务承诺及服务质量措施方案，方案各部分内容全面详细、阐述条理清晰详尽、符合招标文件要求。方案内容包含：①根据本项目垃圾清运提供相对应服务承诺；②服务质量措施。 评审标准:上述每项方案内容无缺陷得4分，满分为8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人员安排、职责分配以及人员管理方案</w:t>
            </w:r>
          </w:p>
        </w:tc>
        <w:tc>
          <w:tcPr>
            <w:tcW w:type="dxa" w:w="2492"/>
          </w:tcPr>
          <w:p>
            <w:pPr>
              <w:pStyle w:val="null3"/>
            </w:pPr>
            <w:r>
              <w:rPr>
                <w:rFonts w:ascii="仿宋_GB2312" w:hAnsi="仿宋_GB2312" w:cs="仿宋_GB2312" w:eastAsia="仿宋_GB2312"/>
              </w:rPr>
              <w:t>1）供应商承诺为本项目配备与车辆数量相匹配的驾驶员、跟车人员；项目还需至少配备总负责人1名，巡检+（内勤）人员1名，财务+（统计）人员1名，所有人员配备，满足项目需求，必要时可增加人数；提供承诺清晰准确，满足要求得3分，不满足或不提供不得分。 2）评审内容:根据供应商针对本项目的提供的服务团队配备及方案，方案各部分内容全面详细、阐述条理清晰详尽、符合招标文件要求。方案内容包含：①服务团队结构；②人员分工职责明确； 评审标准:上述每项方案内容无缺陷得3分，满分为6分。方案内容每存在1处缺陷， 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拟投入该项目的专用清运工具及主要硬件设备</w:t>
            </w:r>
          </w:p>
        </w:tc>
        <w:tc>
          <w:tcPr>
            <w:tcW w:type="dxa" w:w="2492"/>
          </w:tcPr>
          <w:p>
            <w:pPr>
              <w:pStyle w:val="null3"/>
            </w:pPr>
            <w:r>
              <w:rPr>
                <w:rFonts w:ascii="仿宋_GB2312" w:hAnsi="仿宋_GB2312" w:cs="仿宋_GB2312" w:eastAsia="仿宋_GB2312"/>
              </w:rPr>
              <w:t>评审内容:根据供应商针对本项目的拟投入设备的方案，方案各部分内容全面详细、阐述条理清晰详尽、符合采购要求。方案内容包含： ①专用工具配备及使用安排计划； 评审标准:方案内容无缺陷得8分，满分为8分。方案内容每存在1处缺陷，扣1分，扣完为止。（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 ②运输车辆清单和证明材料：在满足至少具备10辆垃圾清运车的基础上，每多增加1辆车，得2分，满分4分。（提供包括但不限于自有证明或购置发票等证明材料等）；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提供近三年同类项目业绩（以合同或中标通知书为准,复印件加盖公章）每份计3分，计满9分为止。（无相关业绩记0分）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其他</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详见附件：其他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详见附件：第7章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