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版本号：ZC-HJL2025-023-120251215001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宜君县东方污水处理厂更换改造MBR膜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ZC-HJL2025-023-1</w:t>
      </w:r>
      <w:r>
        <w:br/>
      </w:r>
      <w:r>
        <w:br/>
      </w:r>
      <w:r>
        <w:br/>
      </w:r>
    </w:p>
    <w:p>
      <w:pPr>
        <w:pStyle w:val="null3"/>
        <w:jc w:val="center"/>
        <w:outlineLvl w:val="2"/>
      </w:pPr>
      <w:r>
        <w:rPr>
          <w:rFonts w:ascii="仿宋_GB2312" w:hAnsi="仿宋_GB2312" w:cs="仿宋_GB2312" w:eastAsia="仿宋_GB2312"/>
          <w:sz w:val="28"/>
          <w:b/>
        </w:rPr>
        <w:t>宜君县城乡建设和交通运输局</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宜君县城乡建设和交通运输局</w:t>
      </w:r>
      <w:r>
        <w:rPr>
          <w:rFonts w:ascii="仿宋_GB2312" w:hAnsi="仿宋_GB2312" w:cs="仿宋_GB2312" w:eastAsia="仿宋_GB2312"/>
        </w:rPr>
        <w:t>委托，拟对</w:t>
      </w:r>
      <w:r>
        <w:rPr>
          <w:rFonts w:ascii="仿宋_GB2312" w:hAnsi="仿宋_GB2312" w:cs="仿宋_GB2312" w:eastAsia="仿宋_GB2312"/>
        </w:rPr>
        <w:t>宜君县东方污水处理厂更换改造MBR膜</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ZC-HJL2025-023-1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宜君县东方污水处理厂更换改造MBR膜</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宜君县东方污水处理厂更换改造MBR膜的采购项目，旧膜拆除，更换并安装MBR膜6400平方米。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采购包1（宜君县东方污水处理厂更换改造MBR膜）：属于专门面向中小企业采购。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表：提供2023年度或2024年度经审计的财务报告，或提交自2025年06月01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3、税收缴纳证明：提供供应商2025年至今任意一个月已缴纳的完税凭证或税务机关开具的完税证明（任意税种），依法免税的单位应提供相关证明材料；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4、社会保障资金缴纳证明：提供供应商2025年至今任意一个月的社会保障资金缴存单据或社保机构开具的社会保险参保缴费情况证明。依法不需要缴纳社会保障资金的供应商应提供相关证明文件；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5、声明书：提供具有履行本合同所必需的设备和专业技术能力的声明；</w:t>
      </w:r>
    </w:p>
    <w:p>
      <w:pPr>
        <w:pStyle w:val="null3"/>
      </w:pPr>
      <w:r>
        <w:rPr>
          <w:rFonts w:ascii="仿宋_GB2312" w:hAnsi="仿宋_GB2312" w:cs="仿宋_GB2312" w:eastAsia="仿宋_GB2312"/>
        </w:rPr>
        <w:t>6、声明书：出具参加政府采购活动前3年内在经营活动中没有重大违法记录的书面声明；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8、信用截图：供应商不得为“信用中国”网站(www.creditchina.gov.cn)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宜君县城乡建设和交通运输局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范海平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0919-8172988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18091920996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蔡富春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采购包1：975,000.00元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按国家计委颁发的《招标代理服务收费管理暂行办法》（计价格[2002]1980号）和国家发展改革委员会办公厅颁发的《关于招标代理服务收费有关问题的通知》（发改办价格[2003] 857号）的有关规定收取，向采购代理机构一次付清代理服务费。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宜君县城乡建设和交通运输局</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宜君县城乡建设和交通运输局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符合国家现行技术规范合格标准。组成验收组按照合同约定和有关要求进行验收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联系人：巩毓</w:t>
      </w:r>
    </w:p>
    <w:p>
      <w:pPr>
        <w:pStyle w:val="null3"/>
      </w:pPr>
      <w:r>
        <w:rPr>
          <w:rFonts w:ascii="仿宋_GB2312" w:hAnsi="仿宋_GB2312" w:cs="仿宋_GB2312" w:eastAsia="仿宋_GB2312"/>
        </w:rPr>
        <w:t>联系电话：18091920996</w:t>
      </w:r>
    </w:p>
    <w:p>
      <w:pPr>
        <w:pStyle w:val="null3"/>
      </w:pPr>
      <w:r>
        <w:rPr>
          <w:rFonts w:ascii="仿宋_GB2312" w:hAnsi="仿宋_GB2312" w:cs="仿宋_GB2312" w:eastAsia="仿宋_GB2312"/>
        </w:rPr>
        <w:t>地址：陕西省铜川市新区铁诺北路2号（大学生创业孵化园）</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宜君县东方污水处理厂更换改造MBR膜的采购项目，旧膜拆除，更换并安装MBR膜6400平方米。</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975,000.00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更换改造膜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975,000.00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标的名称：更换改造膜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8"/>
                <w:b/>
              </w:rPr>
              <w:t>一、基本情况：</w:t>
            </w:r>
          </w:p>
          <w:p>
            <w:pPr>
              <w:pStyle w:val="null3"/>
              <w:spacing w:after="120"/>
              <w:jc w:val="both"/>
            </w:pPr>
            <w:r>
              <w:rPr>
                <w:rFonts w:ascii="仿宋_GB2312" w:hAnsi="仿宋_GB2312" w:cs="仿宋_GB2312" w:eastAsia="仿宋_GB2312"/>
              </w:rPr>
              <w:t>1.</w:t>
            </w:r>
            <w:r>
              <w:rPr>
                <w:rFonts w:ascii="仿宋_GB2312" w:hAnsi="仿宋_GB2312" w:cs="仿宋_GB2312" w:eastAsia="仿宋_GB2312"/>
              </w:rPr>
              <w:t>宜君县东方污水处理厂更换改造</w:t>
            </w:r>
            <w:r>
              <w:rPr>
                <w:rFonts w:ascii="仿宋_GB2312" w:hAnsi="仿宋_GB2312" w:cs="仿宋_GB2312" w:eastAsia="仿宋_GB2312"/>
              </w:rPr>
              <w:t>MBR膜的采购项目</w:t>
            </w:r>
            <w:r>
              <w:rPr>
                <w:rFonts w:ascii="仿宋_GB2312" w:hAnsi="仿宋_GB2312" w:cs="仿宋_GB2312" w:eastAsia="仿宋_GB2312"/>
              </w:rPr>
              <w:t>，</w:t>
            </w:r>
            <w:r>
              <w:rPr>
                <w:rFonts w:ascii="仿宋_GB2312" w:hAnsi="仿宋_GB2312" w:cs="仿宋_GB2312" w:eastAsia="仿宋_GB2312"/>
              </w:rPr>
              <w:t>旧膜拆除，更换并安装</w:t>
            </w:r>
            <w:r>
              <w:rPr>
                <w:rFonts w:ascii="仿宋_GB2312" w:hAnsi="仿宋_GB2312" w:cs="仿宋_GB2312" w:eastAsia="仿宋_GB2312"/>
              </w:rPr>
              <w:t>MBR膜6400平方米。</w:t>
            </w:r>
          </w:p>
          <w:p>
            <w:pPr>
              <w:pStyle w:val="null3"/>
            </w:pPr>
            <w:r>
              <w:rPr>
                <w:rFonts w:ascii="仿宋_GB2312" w:hAnsi="仿宋_GB2312" w:cs="仿宋_GB2312" w:eastAsia="仿宋_GB2312"/>
                <w:sz w:val="18"/>
              </w:rPr>
              <w:t>2.</w:t>
            </w:r>
            <w:r>
              <w:rPr>
                <w:rFonts w:ascii="仿宋_GB2312" w:hAnsi="仿宋_GB2312" w:cs="仿宋_GB2312" w:eastAsia="仿宋_GB2312"/>
                <w:sz w:val="18"/>
              </w:rPr>
              <w:t>年度采购预算：</w:t>
            </w:r>
            <w:r>
              <w:rPr>
                <w:rFonts w:ascii="仿宋_GB2312" w:hAnsi="仿宋_GB2312" w:cs="仿宋_GB2312" w:eastAsia="仿宋_GB2312"/>
                <w:sz w:val="18"/>
              </w:rPr>
              <w:t>975000.00</w:t>
            </w:r>
            <w:r>
              <w:rPr>
                <w:rFonts w:ascii="仿宋_GB2312" w:hAnsi="仿宋_GB2312" w:cs="仿宋_GB2312" w:eastAsia="仿宋_GB2312"/>
                <w:sz w:val="18"/>
              </w:rPr>
              <w:t>元</w:t>
            </w:r>
            <w:r>
              <w:rPr>
                <w:rFonts w:ascii="仿宋_GB2312" w:hAnsi="仿宋_GB2312" w:cs="仿宋_GB2312" w:eastAsia="仿宋_GB2312"/>
                <w:sz w:val="18"/>
              </w:rPr>
              <w:t>；</w:t>
            </w:r>
            <w:r>
              <w:rPr>
                <w:rFonts w:ascii="仿宋_GB2312" w:hAnsi="仿宋_GB2312" w:cs="仿宋_GB2312" w:eastAsia="仿宋_GB2312"/>
              </w:rPr>
              <w:t>最高限价（元）</w:t>
            </w:r>
            <w:r>
              <w:rPr>
                <w:rFonts w:ascii="仿宋_GB2312" w:hAnsi="仿宋_GB2312" w:cs="仿宋_GB2312" w:eastAsia="仿宋_GB2312"/>
              </w:rPr>
              <w:t>: ,</w:t>
            </w:r>
            <w:r>
              <w:rPr>
                <w:rFonts w:ascii="仿宋_GB2312" w:hAnsi="仿宋_GB2312" w:cs="仿宋_GB2312" w:eastAsia="仿宋_GB2312"/>
              </w:rPr>
              <w:t>800000.00</w:t>
            </w:r>
          </w:p>
          <w:p>
            <w:pPr>
              <w:pStyle w:val="null3"/>
              <w:spacing w:after="120"/>
              <w:jc w:val="both"/>
            </w:pPr>
            <w:r>
              <w:rPr>
                <w:rFonts w:ascii="仿宋_GB2312" w:hAnsi="仿宋_GB2312" w:cs="仿宋_GB2312" w:eastAsia="仿宋_GB2312"/>
              </w:rPr>
              <w:t>3.</w:t>
            </w:r>
            <w:r>
              <w:rPr>
                <w:rFonts w:ascii="仿宋_GB2312" w:hAnsi="仿宋_GB2312" w:cs="仿宋_GB2312" w:eastAsia="仿宋_GB2312"/>
              </w:rPr>
              <w:t>服务期：</w:t>
            </w:r>
            <w:r>
              <w:rPr>
                <w:rFonts w:ascii="仿宋_GB2312" w:hAnsi="仿宋_GB2312" w:cs="仿宋_GB2312" w:eastAsia="仿宋_GB2312"/>
              </w:rPr>
              <w:t>30</w:t>
            </w:r>
            <w:r>
              <w:rPr>
                <w:rFonts w:ascii="仿宋_GB2312" w:hAnsi="仿宋_GB2312" w:cs="仿宋_GB2312" w:eastAsia="仿宋_GB2312"/>
              </w:rPr>
              <w:t>天</w:t>
            </w:r>
          </w:p>
          <w:p>
            <w:pPr>
              <w:pStyle w:val="null3"/>
              <w:jc w:val="both"/>
            </w:pPr>
            <w:r>
              <w:rPr>
                <w:rFonts w:ascii="仿宋_GB2312" w:hAnsi="仿宋_GB2312" w:cs="仿宋_GB2312" w:eastAsia="仿宋_GB2312"/>
                <w:sz w:val="18"/>
                <w:b/>
              </w:rPr>
              <w:t>二</w:t>
            </w:r>
            <w:r>
              <w:rPr>
                <w:rFonts w:ascii="仿宋_GB2312" w:hAnsi="仿宋_GB2312" w:cs="仿宋_GB2312" w:eastAsia="仿宋_GB2312"/>
                <w:sz w:val="18"/>
                <w:b/>
              </w:rPr>
              <w:t>、报价说明：</w:t>
            </w:r>
          </w:p>
          <w:p>
            <w:pPr>
              <w:pStyle w:val="null3"/>
              <w:jc w:val="left"/>
            </w:pPr>
            <w:r>
              <w:rPr>
                <w:rFonts w:ascii="仿宋_GB2312" w:hAnsi="仿宋_GB2312" w:cs="仿宋_GB2312" w:eastAsia="仿宋_GB2312"/>
                <w:sz w:val="18"/>
                <w:color w:val="000000"/>
              </w:rPr>
              <w:t>本项目为服务费包干。包含：</w:t>
            </w:r>
            <w:r>
              <w:rPr>
                <w:rFonts w:ascii="仿宋_GB2312" w:hAnsi="仿宋_GB2312" w:cs="仿宋_GB2312" w:eastAsia="仿宋_GB2312"/>
                <w:sz w:val="18"/>
                <w:color w:val="000000"/>
              </w:rPr>
              <w:t>旧膜拆除，更换并安装</w:t>
            </w:r>
            <w:r>
              <w:rPr>
                <w:rFonts w:ascii="仿宋_GB2312" w:hAnsi="仿宋_GB2312" w:cs="仿宋_GB2312" w:eastAsia="仿宋_GB2312"/>
                <w:sz w:val="18"/>
                <w:color w:val="000000"/>
              </w:rPr>
              <w:t>、人工费、利润</w:t>
            </w:r>
            <w:r>
              <w:rPr>
                <w:rFonts w:ascii="仿宋_GB2312" w:hAnsi="仿宋_GB2312" w:cs="仿宋_GB2312" w:eastAsia="仿宋_GB2312"/>
                <w:sz w:val="18"/>
                <w:color w:val="000000"/>
              </w:rPr>
              <w:t>、</w:t>
            </w:r>
            <w:r>
              <w:rPr>
                <w:rFonts w:ascii="仿宋_GB2312" w:hAnsi="仿宋_GB2312" w:cs="仿宋_GB2312" w:eastAsia="仿宋_GB2312"/>
                <w:sz w:val="18"/>
                <w:color w:val="000000"/>
              </w:rPr>
              <w:t>税费及其他完成本服务内容相关的全部费用。</w:t>
            </w:r>
          </w:p>
          <w:p>
            <w:pPr>
              <w:pStyle w:val="null3"/>
              <w:jc w:val="left"/>
            </w:pPr>
            <w:r>
              <w:rPr>
                <w:rFonts w:ascii="仿宋_GB2312" w:hAnsi="仿宋_GB2312" w:cs="仿宋_GB2312" w:eastAsia="仿宋_GB2312"/>
                <w:sz w:val="18"/>
                <w:color w:val="000000"/>
              </w:rPr>
              <w:t>技术参数：</w:t>
            </w:r>
          </w:p>
          <w:p>
            <w:pPr>
              <w:pStyle w:val="null3"/>
              <w:jc w:val="left"/>
            </w:pPr>
            <w:r>
              <w:rPr>
                <w:rFonts w:ascii="仿宋_GB2312" w:hAnsi="仿宋_GB2312" w:cs="仿宋_GB2312" w:eastAsia="仿宋_GB2312"/>
                <w:sz w:val="18"/>
                <w:b/>
              </w:rPr>
              <w:t>MBR膜规格、参数</w:t>
            </w:r>
          </w:p>
          <w:p>
            <w:pPr>
              <w:pStyle w:val="null3"/>
              <w:jc w:val="left"/>
            </w:pPr>
            <w:r>
              <w:rPr>
                <w:rFonts w:ascii="仿宋_GB2312" w:hAnsi="仿宋_GB2312" w:cs="仿宋_GB2312" w:eastAsia="仿宋_GB2312"/>
                <w:sz w:val="18"/>
                <w:color w:val="000000"/>
              </w:rPr>
              <w:t>①膜外径≥2.4mm</w:t>
            </w:r>
          </w:p>
          <w:p>
            <w:pPr>
              <w:pStyle w:val="null3"/>
              <w:jc w:val="left"/>
            </w:pPr>
            <w:r>
              <w:rPr>
                <w:rFonts w:ascii="仿宋_GB2312" w:hAnsi="仿宋_GB2312" w:cs="仿宋_GB2312" w:eastAsia="仿宋_GB2312"/>
                <w:sz w:val="18"/>
                <w:color w:val="000000"/>
              </w:rPr>
              <w:t>②平均孔径＜0.1um</w:t>
            </w:r>
          </w:p>
          <w:p>
            <w:pPr>
              <w:pStyle w:val="null3"/>
              <w:jc w:val="left"/>
            </w:pPr>
            <w:r>
              <w:rPr>
                <w:rFonts w:ascii="仿宋_GB2312" w:hAnsi="仿宋_GB2312" w:cs="仿宋_GB2312" w:eastAsia="仿宋_GB2312"/>
                <w:sz w:val="18"/>
                <w:color w:val="000000"/>
              </w:rPr>
              <w:t>③平均断裂拉伸强力≥170N</w:t>
            </w:r>
          </w:p>
          <w:p>
            <w:pPr>
              <w:pStyle w:val="null3"/>
              <w:jc w:val="left"/>
            </w:pPr>
            <w:r>
              <w:rPr>
                <w:rFonts w:ascii="仿宋_GB2312" w:hAnsi="仿宋_GB2312" w:cs="仿宋_GB2312" w:eastAsia="仿宋_GB2312"/>
                <w:sz w:val="18"/>
                <w:color w:val="000000"/>
              </w:rPr>
              <w:t>④海绵孔结构纯水通量每小时＞3300L/㎡</w:t>
            </w:r>
          </w:p>
          <w:p>
            <w:pPr>
              <w:pStyle w:val="null3"/>
            </w:pPr>
            <w:r>
              <w:rPr>
                <w:rFonts w:ascii="仿宋_GB2312" w:hAnsi="仿宋_GB2312" w:cs="仿宋_GB2312" w:eastAsia="仿宋_GB2312"/>
                <w:sz w:val="18"/>
                <w:color w:val="000000"/>
              </w:rPr>
              <w:t>⑤数量6400平方米</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符合国家现行技术规范合格标准。组成验收组按照合同约定和有关要求进行验收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满足合同及采购人要求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1.本项目设置最高限价，最高限价800000.00元，供应商报价不允许超过最高限价金额； 2.中标人须提交纸质版投标文件（胶装）：正本壹份、副本壹份、电子版壹份（U盘、标明供应商名称），电子版文件包含Word版本和PDF版本。 3.纸质版文件递交时间：中标结果公告公示期结束后。 4.纸质版文件递交：陕西省铜川市新区铁诺北路2号（大学生创业孵化园）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2025年06月01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提供供应商2025年至今任意一个月已缴纳的完税凭证或税务机关开具的完税证明（任意税种），依法免税的单位应提供相关证明材料；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提供供应商2025年至今任意一个月的社会保障资金缴存单据或社保机构开具的社会保险参保缴费情况证明。依法不需要缴纳社会保障资金的供应商应提供相关证明文件；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产品技术参数表 中小企业声明函 商务应答表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响应文件按文件格式加盖公章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截止开标之日起90日历日</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响应报价有效性</w:t>
            </w:r>
          </w:p>
        </w:tc>
        <w:tc>
          <w:tcPr>
            <w:tcW w:type="dxa" w:w="3322"/>
          </w:tcPr>
          <w:p>
            <w:pPr>
              <w:pStyle w:val="null3"/>
            </w:pPr>
            <w:r>
              <w:rPr>
                <w:rFonts w:ascii="仿宋_GB2312" w:hAnsi="仿宋_GB2312" w:cs="仿宋_GB2312" w:eastAsia="仿宋_GB2312"/>
              </w:rPr>
              <w:t>响应总报价未超出招标人设定的最高限价为有效报价。 注：除此之外的报价视为无效报价，按废标处理，且不参与评标基准价计算。</w:t>
            </w:r>
          </w:p>
        </w:tc>
        <w:tc>
          <w:tcPr>
            <w:tcW w:type="dxa" w:w="1661"/>
          </w:tcPr>
          <w:p>
            <w:pPr>
              <w:pStyle w:val="null3"/>
            </w:pPr>
            <w:r>
              <w:rPr>
                <w:rFonts w:ascii="仿宋_GB2312" w:hAnsi="仿宋_GB2312" w:cs="仿宋_GB2312" w:eastAsia="仿宋_GB2312"/>
              </w:rPr>
              <w:t>响应文件封面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产品技术与性能方案</w:t>
            </w:r>
          </w:p>
        </w:tc>
        <w:tc>
          <w:tcPr>
            <w:tcW w:type="dxa" w:w="2492"/>
          </w:tcPr>
          <w:p>
            <w:pPr>
              <w:pStyle w:val="null3"/>
            </w:pPr>
            <w:r>
              <w:rPr>
                <w:rFonts w:ascii="仿宋_GB2312" w:hAnsi="仿宋_GB2312" w:cs="仿宋_GB2312" w:eastAsia="仿宋_GB2312"/>
              </w:rPr>
              <w:t>根据文件技术参数及要求，对供应商技术偏离表进行评审，规格、参数符合采购需求得10分，每负偏离一项扣1分，扣完为止。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供应商针对本项目有具体的实施方案： ①采购方案（不限于采购背景及目的、采购时间安排） ②更换方案（不限于对旧膜的拆除、清理、外运方案等）； ③新膜组件安装方案； ④对现有污水处理站运行影响最小化的措施； ⑤清洗维护方案。 每有一项缺项扣6分，每有一项内容中有缺陷，扣1分。 备注： 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项目实施保障方案</w:t>
            </w:r>
          </w:p>
        </w:tc>
        <w:tc>
          <w:tcPr>
            <w:tcW w:type="dxa" w:w="2492"/>
          </w:tcPr>
          <w:p>
            <w:pPr>
              <w:pStyle w:val="null3"/>
            </w:pPr>
            <w:r>
              <w:rPr>
                <w:rFonts w:ascii="仿宋_GB2312" w:hAnsi="仿宋_GB2312" w:cs="仿宋_GB2312" w:eastAsia="仿宋_GB2312"/>
              </w:rPr>
              <w:t>供应商针对本项目有具体的保障方案：①质量保障方案（不限于达标排放、质量管理体系、质量控制点、检验手段等）；②安全保障方案（不限于质量保障措施、应急预案等）； ③进度保障方案（进度计划（横道图或网络图）、关键路径安排等）； ④项目团队配备（不限于人员配备明细、人员职责与分工等）。 每有一项缺项扣3分，每有一项内容中有缺陷，扣0.5分。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针对本项目有具体的售后服务方案,包括但不限于： ①售后服务承诺； ②售后人员配置安排计划； ③故障处理响应时间及应急预案； ④售后服务保障措施。 每有一项缺项扣2分，每有一项内容中有缺陷，扣0.5分。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针对本项目具有可行的技术培训方案，培训采购人指定的管理人员，制定培训课程计划表，列出每种培训的地点和时间，培训内容应包括： ①现场操作、维护、保养培训计划（包括理论和实操）； ②故障排除培训计划。培训的具体日期及人数由使用单位确定。确保培训后的人员应能熟练操作，了解结构、工作原理，并能排除一般故障。 每有一项缺项扣2分，每有一项内容中有缺陷，扣0.5分。 备注：本文所称“缺陷”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提供供应商2023年1月1日至今（以合同签订日期为准）类似项目完整合同，每提供1个计2分，最高得6分，提供不全不计分。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价格分统一采用低价优先法计算，即满足磋商文件要求且磋商价格最低的报价为评标基准价，其价格分为满分。其他供应商的价格分统一按照下列公式计算：报价得分=(评标基准价／磋商报价)×价格权值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