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77570">
      <w:pPr>
        <w:pStyle w:val="3"/>
        <w:spacing w:before="163" w:after="163"/>
        <w:rPr>
          <w:rFonts w:hint="eastAsia" w:ascii="宋体" w:hAnsi="宋体" w:eastAsia="宋体" w:cs="宋体"/>
        </w:rPr>
      </w:pPr>
      <w:r>
        <w:rPr>
          <w:rFonts w:hint="eastAsia" w:ascii="宋体" w:hAnsi="宋体" w:eastAsia="宋体" w:cs="宋体"/>
        </w:rPr>
        <w:t>政府采购合同</w:t>
      </w:r>
    </w:p>
    <w:p w14:paraId="0CB1FB57">
      <w:pPr>
        <w:widowControl/>
        <w:jc w:val="left"/>
        <w:rPr>
          <w:rFonts w:hint="eastAsia" w:ascii="宋体" w:hAnsi="宋体" w:eastAsia="宋体" w:cs="宋体"/>
          <w:kern w:val="0"/>
          <w:sz w:val="24"/>
          <w:szCs w:val="24"/>
        </w:rPr>
      </w:pPr>
    </w:p>
    <w:p w14:paraId="32848606">
      <w:pPr>
        <w:widowControl/>
        <w:jc w:val="left"/>
        <w:rPr>
          <w:rFonts w:hint="eastAsia" w:ascii="宋体" w:hAnsi="宋体" w:eastAsia="宋体" w:cs="宋体"/>
          <w:kern w:val="0"/>
          <w:sz w:val="24"/>
          <w:szCs w:val="24"/>
        </w:rPr>
      </w:pPr>
    </w:p>
    <w:p w14:paraId="06878877">
      <w:pPr>
        <w:widowControl/>
        <w:jc w:val="left"/>
        <w:rPr>
          <w:rFonts w:hint="eastAsia" w:ascii="宋体" w:hAnsi="宋体" w:eastAsia="宋体" w:cs="宋体"/>
          <w:kern w:val="0"/>
          <w:sz w:val="24"/>
          <w:szCs w:val="24"/>
        </w:rPr>
      </w:pPr>
    </w:p>
    <w:p w14:paraId="54A771E3">
      <w:pPr>
        <w:jc w:val="center"/>
        <w:rPr>
          <w:rFonts w:hint="eastAsia" w:ascii="宋体" w:hAnsi="宋体" w:eastAsia="宋体" w:cs="宋体"/>
          <w:kern w:val="0"/>
          <w:sz w:val="24"/>
          <w:szCs w:val="24"/>
        </w:rPr>
      </w:pPr>
    </w:p>
    <w:p w14:paraId="6D0321E1">
      <w:pPr>
        <w:jc w:val="center"/>
        <w:rPr>
          <w:rFonts w:hint="eastAsia" w:ascii="宋体" w:hAnsi="宋体" w:eastAsia="宋体" w:cs="宋体"/>
          <w:b/>
          <w:sz w:val="48"/>
          <w:szCs w:val="48"/>
          <w:lang w:eastAsia="zh-CN"/>
        </w:rPr>
      </w:pPr>
      <w:r>
        <w:rPr>
          <w:rFonts w:hint="eastAsia" w:ascii="宋体" w:hAnsi="宋体" w:eastAsia="宋体" w:cs="宋体"/>
          <w:b/>
          <w:sz w:val="44"/>
          <w:szCs w:val="44"/>
          <w:lang w:eastAsia="zh-CN"/>
        </w:rPr>
        <w:t>宜君县东方污水厂运营管理服务项目</w:t>
      </w:r>
    </w:p>
    <w:p w14:paraId="032B4E47">
      <w:pPr>
        <w:jc w:val="center"/>
        <w:rPr>
          <w:rFonts w:hint="eastAsia" w:ascii="宋体" w:hAnsi="宋体" w:eastAsia="宋体" w:cs="宋体"/>
          <w:b/>
          <w:sz w:val="48"/>
          <w:szCs w:val="48"/>
        </w:rPr>
      </w:pPr>
    </w:p>
    <w:p w14:paraId="5947CEC2">
      <w:pPr>
        <w:jc w:val="center"/>
        <w:rPr>
          <w:rFonts w:hint="eastAsia" w:ascii="宋体" w:hAnsi="宋体" w:eastAsia="宋体" w:cs="宋体"/>
          <w:b/>
          <w:sz w:val="48"/>
          <w:szCs w:val="48"/>
        </w:rPr>
      </w:pPr>
    </w:p>
    <w:p w14:paraId="365F7821">
      <w:pPr>
        <w:pStyle w:val="9"/>
        <w:rPr>
          <w:rFonts w:hint="eastAsia" w:ascii="宋体" w:hAnsi="宋体" w:eastAsia="宋体" w:cs="宋体"/>
          <w:b/>
          <w:sz w:val="48"/>
          <w:szCs w:val="48"/>
        </w:rPr>
      </w:pPr>
    </w:p>
    <w:p w14:paraId="0684C43F">
      <w:pPr>
        <w:pStyle w:val="9"/>
        <w:rPr>
          <w:rFonts w:hint="eastAsia" w:ascii="宋体" w:hAnsi="宋体" w:eastAsia="宋体" w:cs="宋体"/>
          <w:b/>
          <w:sz w:val="48"/>
          <w:szCs w:val="48"/>
        </w:rPr>
      </w:pPr>
    </w:p>
    <w:p w14:paraId="6A8B4E9F">
      <w:pPr>
        <w:pStyle w:val="9"/>
        <w:rPr>
          <w:rFonts w:hint="eastAsia" w:ascii="宋体" w:hAnsi="宋体" w:eastAsia="宋体" w:cs="宋体"/>
          <w:b/>
          <w:sz w:val="48"/>
          <w:szCs w:val="48"/>
        </w:rPr>
      </w:pPr>
    </w:p>
    <w:p w14:paraId="0AFF76A7">
      <w:pPr>
        <w:pStyle w:val="9"/>
        <w:rPr>
          <w:rFonts w:hint="eastAsia" w:ascii="宋体" w:hAnsi="宋体" w:eastAsia="宋体" w:cs="宋体"/>
          <w:b/>
          <w:sz w:val="48"/>
          <w:szCs w:val="48"/>
        </w:rPr>
      </w:pPr>
    </w:p>
    <w:p w14:paraId="366F0BCD">
      <w:pPr>
        <w:jc w:val="center"/>
        <w:rPr>
          <w:rFonts w:hint="eastAsia" w:ascii="宋体" w:hAnsi="宋体" w:eastAsia="宋体" w:cs="宋体"/>
          <w:b/>
          <w:sz w:val="48"/>
          <w:szCs w:val="48"/>
        </w:rPr>
      </w:pPr>
      <w:r>
        <w:rPr>
          <w:rFonts w:hint="eastAsia" w:ascii="宋体" w:hAnsi="宋体" w:eastAsia="宋体" w:cs="宋体"/>
          <w:b/>
          <w:sz w:val="48"/>
          <w:szCs w:val="48"/>
        </w:rPr>
        <w:t>服 务 合 同</w:t>
      </w:r>
    </w:p>
    <w:p w14:paraId="31427FF8">
      <w:pPr>
        <w:ind w:firstLine="2940" w:firstLineChars="1050"/>
        <w:rPr>
          <w:rFonts w:hint="eastAsia" w:ascii="宋体" w:hAnsi="宋体" w:eastAsia="宋体" w:cs="宋体"/>
          <w:sz w:val="28"/>
          <w:szCs w:val="28"/>
        </w:rPr>
      </w:pPr>
    </w:p>
    <w:p w14:paraId="25B18C1E">
      <w:pPr>
        <w:ind w:firstLine="3780" w:firstLineChars="1350"/>
        <w:rPr>
          <w:rFonts w:hint="eastAsia" w:ascii="宋体" w:hAnsi="宋体" w:eastAsia="宋体" w:cs="宋体"/>
          <w:sz w:val="28"/>
          <w:szCs w:val="28"/>
        </w:rPr>
      </w:pPr>
      <w:r>
        <w:rPr>
          <w:rFonts w:hint="eastAsia" w:ascii="宋体" w:hAnsi="宋体" w:eastAsia="宋体" w:cs="宋体"/>
          <w:sz w:val="28"/>
          <w:szCs w:val="28"/>
        </w:rPr>
        <w:t>合同编号：</w:t>
      </w:r>
    </w:p>
    <w:p w14:paraId="3EEEEF03">
      <w:pPr>
        <w:jc w:val="center"/>
        <w:rPr>
          <w:rFonts w:hint="eastAsia" w:ascii="宋体" w:hAnsi="宋体" w:eastAsia="宋体" w:cs="宋体"/>
          <w:b/>
          <w:sz w:val="44"/>
          <w:szCs w:val="44"/>
        </w:rPr>
      </w:pPr>
    </w:p>
    <w:p w14:paraId="12033172">
      <w:pPr>
        <w:jc w:val="center"/>
        <w:rPr>
          <w:rFonts w:hint="eastAsia" w:ascii="宋体" w:hAnsi="宋体" w:eastAsia="宋体" w:cs="宋体"/>
          <w:b/>
          <w:sz w:val="44"/>
          <w:szCs w:val="44"/>
        </w:rPr>
      </w:pPr>
    </w:p>
    <w:p w14:paraId="58F45BC9">
      <w:pPr>
        <w:jc w:val="left"/>
        <w:rPr>
          <w:rFonts w:hint="eastAsia" w:ascii="宋体" w:hAnsi="宋体" w:eastAsia="宋体" w:cs="宋体"/>
          <w:b/>
          <w:sz w:val="44"/>
          <w:szCs w:val="44"/>
        </w:rPr>
      </w:pPr>
    </w:p>
    <w:p w14:paraId="29AA33EF">
      <w:pPr>
        <w:ind w:firstLine="1100" w:firstLineChars="249"/>
        <w:rPr>
          <w:rFonts w:hint="eastAsia" w:ascii="宋体" w:hAnsi="宋体" w:eastAsia="宋体" w:cs="宋体"/>
          <w:b/>
          <w:sz w:val="44"/>
          <w:szCs w:val="44"/>
        </w:rPr>
      </w:pPr>
    </w:p>
    <w:p w14:paraId="6C5F2E8A">
      <w:pPr>
        <w:ind w:firstLine="2240" w:firstLineChars="700"/>
        <w:rPr>
          <w:rFonts w:hint="eastAsia" w:ascii="宋体" w:hAnsi="宋体" w:eastAsia="宋体" w:cs="宋体"/>
          <w:sz w:val="32"/>
          <w:szCs w:val="32"/>
        </w:rPr>
      </w:pPr>
      <w:r>
        <w:rPr>
          <w:rFonts w:hint="eastAsia" w:ascii="宋体" w:hAnsi="宋体" w:eastAsia="宋体" w:cs="宋体"/>
          <w:sz w:val="32"/>
          <w:szCs w:val="32"/>
        </w:rPr>
        <w:t>甲 方：</w:t>
      </w:r>
      <w:r>
        <w:rPr>
          <w:rFonts w:hint="eastAsia" w:ascii="宋体" w:hAnsi="宋体" w:eastAsia="宋体" w:cs="宋体"/>
          <w:sz w:val="32"/>
          <w:szCs w:val="32"/>
          <w:u w:val="single"/>
        </w:rPr>
        <w:t>宜君县住房和城乡建设局</w:t>
      </w:r>
    </w:p>
    <w:p w14:paraId="5B825E34">
      <w:pPr>
        <w:ind w:firstLine="2240" w:firstLineChars="700"/>
        <w:rPr>
          <w:rFonts w:hint="eastAsia" w:ascii="宋体" w:hAnsi="宋体" w:eastAsia="宋体" w:cs="宋体"/>
          <w:sz w:val="32"/>
          <w:szCs w:val="32"/>
          <w:u w:val="single"/>
        </w:rPr>
      </w:pPr>
      <w:r>
        <w:rPr>
          <w:rFonts w:hint="eastAsia" w:ascii="宋体" w:hAnsi="宋体" w:eastAsia="宋体" w:cs="宋体"/>
          <w:sz w:val="32"/>
          <w:szCs w:val="32"/>
        </w:rPr>
        <w:t>乙 方：</w:t>
      </w:r>
      <w:r>
        <w:rPr>
          <w:rFonts w:hint="eastAsia" w:ascii="宋体" w:hAnsi="宋体" w:eastAsia="宋体" w:cs="宋体"/>
          <w:sz w:val="32"/>
          <w:szCs w:val="32"/>
          <w:u w:val="single"/>
        </w:rPr>
        <w:t xml:space="preserve">                      </w:t>
      </w:r>
    </w:p>
    <w:p w14:paraId="117BF299">
      <w:pPr>
        <w:rPr>
          <w:rFonts w:hint="eastAsia" w:ascii="宋体" w:hAnsi="宋体" w:eastAsia="宋体" w:cs="宋体"/>
          <w:sz w:val="32"/>
          <w:szCs w:val="32"/>
        </w:rPr>
      </w:pPr>
    </w:p>
    <w:p w14:paraId="337835A4">
      <w:pPr>
        <w:pStyle w:val="9"/>
        <w:rPr>
          <w:rFonts w:hint="eastAsia" w:ascii="宋体" w:hAnsi="宋体" w:eastAsia="宋体" w:cs="宋体"/>
          <w:sz w:val="32"/>
          <w:szCs w:val="32"/>
        </w:rPr>
      </w:pPr>
    </w:p>
    <w:p w14:paraId="50C86351">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highlight w:val="yellow"/>
          <w:u w:val="single"/>
        </w:rPr>
        <w:t>宜君县住房和城乡建设局</w:t>
      </w:r>
      <w:r>
        <w:rPr>
          <w:rFonts w:hint="eastAsia" w:ascii="宋体" w:hAnsi="宋体" w:eastAsia="宋体" w:cs="宋体"/>
          <w:sz w:val="24"/>
          <w:szCs w:val="24"/>
        </w:rPr>
        <w:t>，其注册登记地址为：</w:t>
      </w:r>
      <w:r>
        <w:rPr>
          <w:rFonts w:hint="eastAsia" w:ascii="宋体" w:hAnsi="宋体" w:eastAsia="宋体" w:cs="宋体"/>
          <w:sz w:val="24"/>
          <w:szCs w:val="24"/>
          <w:u w:val="single"/>
        </w:rPr>
        <w:t xml:space="preserve">        </w:t>
      </w:r>
      <w:r>
        <w:rPr>
          <w:rFonts w:hint="eastAsia" w:ascii="宋体" w:hAnsi="宋体" w:eastAsia="宋体" w:cs="宋体"/>
          <w:sz w:val="24"/>
          <w:szCs w:val="24"/>
        </w:rPr>
        <w:t>，法定代表人为：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23B834B">
      <w:pPr>
        <w:pageBreakBefore w:val="0"/>
        <w:kinsoku/>
        <w:wordWrap/>
        <w:overflowPunct/>
        <w:topLinePunct w:val="0"/>
        <w:autoSpaceDE/>
        <w:autoSpaceDN/>
        <w:bidi w:val="0"/>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乙方：</w:t>
      </w:r>
      <w:r>
        <w:rPr>
          <w:rFonts w:hint="eastAsia" w:ascii="宋体" w:hAnsi="宋体" w:eastAsia="宋体" w:cs="宋体"/>
          <w:sz w:val="24"/>
          <w:szCs w:val="24"/>
          <w:u w:val="single"/>
        </w:rPr>
        <w:t xml:space="preserve">                   </w:t>
      </w:r>
      <w:r>
        <w:rPr>
          <w:rFonts w:hint="eastAsia" w:ascii="宋体" w:hAnsi="宋体" w:eastAsia="宋体" w:cs="宋体"/>
          <w:sz w:val="24"/>
          <w:szCs w:val="24"/>
        </w:rPr>
        <w:t>，其注册登记地址为：</w:t>
      </w:r>
      <w:r>
        <w:rPr>
          <w:rFonts w:hint="eastAsia" w:ascii="宋体" w:hAnsi="宋体" w:eastAsia="宋体" w:cs="宋体"/>
          <w:sz w:val="24"/>
          <w:szCs w:val="24"/>
          <w:u w:val="single"/>
        </w:rPr>
        <w:t xml:space="preserve">       ，</w:t>
      </w:r>
      <w:r>
        <w:rPr>
          <w:rFonts w:hint="eastAsia" w:ascii="宋体" w:hAnsi="宋体" w:eastAsia="宋体" w:cs="宋体"/>
          <w:sz w:val="24"/>
          <w:szCs w:val="24"/>
        </w:rPr>
        <w:t>法定代表人为：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56026BC">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甲、乙双方基于公平、公正、平等的原则，依据《中华人民共和国民法典》、《医疗机构水污染物排放标准GB18466-2005》之相关规定，现经甲、乙双方友好协商，就</w:t>
      </w:r>
      <w:r>
        <w:rPr>
          <w:rFonts w:hint="eastAsia" w:ascii="宋体" w:hAnsi="宋体" w:eastAsia="宋体" w:cs="宋体"/>
          <w:sz w:val="24"/>
          <w:szCs w:val="24"/>
          <w:u w:val="single"/>
        </w:rPr>
        <w:t>宜君县东方污水厂运营管理服务项目</w:t>
      </w:r>
      <w:r>
        <w:rPr>
          <w:rFonts w:hint="eastAsia" w:ascii="宋体" w:hAnsi="宋体" w:eastAsia="宋体" w:cs="宋体"/>
          <w:sz w:val="24"/>
          <w:szCs w:val="24"/>
        </w:rPr>
        <w:t>事宜，达成以下合同条款：</w:t>
      </w:r>
    </w:p>
    <w:p w14:paraId="4571EC1F">
      <w:pPr>
        <w:pStyle w:val="4"/>
        <w:pageBreakBefore w:val="0"/>
        <w:kinsoku/>
        <w:wordWrap/>
        <w:overflowPunct/>
        <w:topLinePunct w:val="0"/>
        <w:autoSpaceDE/>
        <w:autoSpaceDN/>
        <w:bidi w:val="0"/>
        <w:spacing w:beforeLines="0" w:afterLines="0" w:line="440" w:lineRule="exact"/>
        <w:ind w:firstLine="482" w:firstLineChars="200"/>
        <w:jc w:val="left"/>
        <w:textAlignment w:val="auto"/>
        <w:rPr>
          <w:rFonts w:hint="eastAsia" w:ascii="宋体" w:hAnsi="宋体" w:eastAsia="宋体" w:cs="宋体"/>
          <w:sz w:val="24"/>
          <w:szCs w:val="24"/>
        </w:rPr>
      </w:pPr>
      <w:bookmarkStart w:id="0" w:name="_Toc8659"/>
      <w:bookmarkStart w:id="1" w:name="_Toc109593876"/>
      <w:r>
        <w:rPr>
          <w:rFonts w:hint="eastAsia" w:ascii="宋体" w:hAnsi="宋体" w:eastAsia="宋体" w:cs="宋体"/>
          <w:sz w:val="24"/>
          <w:szCs w:val="24"/>
        </w:rPr>
        <w:t>第一条：服务内容：</w:t>
      </w:r>
      <w:bookmarkEnd w:id="0"/>
      <w:bookmarkEnd w:id="1"/>
    </w:p>
    <w:p w14:paraId="2317998B">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宜君县东方污水厂运营管理服务项目服务内容：宜君县东方污水处理厂日常维护及运营，服务期三年。主要内容包括污水处理厂工艺运行、设备维护保养与管理、消毒药剂购置、在线监测药剂购置、在线监测设备维护保养、污泥处理、污水处理站水质废气噪声检测、环境卫生、安全管理等工作内容。</w:t>
      </w:r>
    </w:p>
    <w:p w14:paraId="00D4DC20">
      <w:pPr>
        <w:pStyle w:val="4"/>
        <w:pageBreakBefore w:val="0"/>
        <w:kinsoku/>
        <w:wordWrap/>
        <w:overflowPunct/>
        <w:topLinePunct w:val="0"/>
        <w:autoSpaceDE/>
        <w:autoSpaceDN/>
        <w:bidi w:val="0"/>
        <w:spacing w:beforeLines="0" w:afterLines="0" w:line="440" w:lineRule="exact"/>
        <w:ind w:firstLine="482" w:firstLineChars="200"/>
        <w:jc w:val="left"/>
        <w:textAlignment w:val="auto"/>
        <w:rPr>
          <w:rFonts w:hint="eastAsia" w:ascii="宋体" w:hAnsi="宋体" w:eastAsia="宋体" w:cs="宋体"/>
          <w:sz w:val="24"/>
          <w:szCs w:val="24"/>
        </w:rPr>
      </w:pPr>
      <w:bookmarkStart w:id="2" w:name="_Toc2580"/>
      <w:bookmarkStart w:id="3" w:name="_Toc109593877"/>
      <w:r>
        <w:rPr>
          <w:rFonts w:hint="eastAsia" w:ascii="宋体" w:hAnsi="宋体" w:eastAsia="宋体" w:cs="宋体"/>
          <w:sz w:val="24"/>
          <w:szCs w:val="24"/>
        </w:rPr>
        <w:t>第二条  合同期限：</w:t>
      </w:r>
      <w:bookmarkEnd w:id="2"/>
      <w:bookmarkEnd w:id="3"/>
    </w:p>
    <w:p w14:paraId="5FE14F19">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sz w:val="24"/>
          <w:szCs w:val="24"/>
        </w:rPr>
        <w:t>本合同期限1年，自_____年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日起至_____年</w:t>
      </w:r>
      <w:r>
        <w:rPr>
          <w:rFonts w:hint="eastAsia" w:ascii="宋体" w:hAnsi="宋体" w:eastAsia="宋体" w:cs="宋体"/>
          <w:sz w:val="24"/>
          <w:szCs w:val="24"/>
          <w:u w:val="single"/>
        </w:rPr>
        <w:t xml:space="preserve">     </w:t>
      </w:r>
      <w:r>
        <w:rPr>
          <w:rFonts w:hint="eastAsia" w:ascii="宋体" w:hAnsi="宋体" w:eastAsia="宋体" w:cs="宋体"/>
          <w:sz w:val="24"/>
          <w:szCs w:val="24"/>
        </w:rPr>
        <w:t>月_____日止。</w:t>
      </w:r>
      <w:r>
        <w:rPr>
          <w:rFonts w:hint="eastAsia" w:ascii="宋体" w:hAnsi="宋体" w:eastAsia="宋体" w:cs="宋体"/>
          <w:bCs/>
          <w:sz w:val="24"/>
          <w:szCs w:val="24"/>
          <w:highlight w:val="yellow"/>
        </w:rPr>
        <w:t>若合同运营期内能稳定达到环保排放要求，顺延合同期限。</w:t>
      </w:r>
    </w:p>
    <w:p w14:paraId="40071161">
      <w:pPr>
        <w:pStyle w:val="4"/>
        <w:pageBreakBefore w:val="0"/>
        <w:kinsoku/>
        <w:wordWrap/>
        <w:overflowPunct/>
        <w:topLinePunct w:val="0"/>
        <w:autoSpaceDE/>
        <w:autoSpaceDN/>
        <w:bidi w:val="0"/>
        <w:spacing w:beforeLines="0" w:afterLines="0" w:line="440" w:lineRule="exact"/>
        <w:ind w:firstLine="482" w:firstLineChars="200"/>
        <w:jc w:val="left"/>
        <w:textAlignment w:val="auto"/>
        <w:rPr>
          <w:rFonts w:hint="eastAsia" w:ascii="宋体" w:hAnsi="宋体" w:eastAsia="宋体" w:cs="宋体"/>
          <w:sz w:val="24"/>
          <w:szCs w:val="24"/>
        </w:rPr>
      </w:pPr>
      <w:bookmarkStart w:id="4" w:name="_Toc109593878"/>
      <w:bookmarkStart w:id="5" w:name="_Toc27072"/>
      <w:r>
        <w:rPr>
          <w:rFonts w:hint="eastAsia" w:ascii="宋体" w:hAnsi="宋体" w:eastAsia="宋体" w:cs="宋体"/>
          <w:sz w:val="24"/>
          <w:szCs w:val="24"/>
        </w:rPr>
        <w:t>第三条：合同价款：</w:t>
      </w:r>
      <w:bookmarkEnd w:id="4"/>
      <w:bookmarkEnd w:id="5"/>
    </w:p>
    <w:p w14:paraId="4A6332C5">
      <w:pPr>
        <w:pageBreakBefore w:val="0"/>
        <w:numPr>
          <w:ilvl w:val="0"/>
          <w:numId w:val="1"/>
        </w:numPr>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本合同为总价合同。本合同在订立期限内，不接受包括政府价格项目调整内任何的价格调整。</w:t>
      </w:r>
    </w:p>
    <w:p w14:paraId="630B52AF">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为总价合同一次性包死，合同中包含但不限于人员工资、保险费、服务费、药剂费、维修费、检测费、管理费、招标代理服务费等一切相关费用。因要符合政府相关单位规定而必须改善或替换的任何费用、办理相关行政类手续（含所需要提供的检测报告）、服务质量控制费用等完成本合同工作所需的一切费用。</w:t>
      </w:r>
    </w:p>
    <w:p w14:paraId="31110196">
      <w:pPr>
        <w:pStyle w:val="4"/>
        <w:pageBreakBefore w:val="0"/>
        <w:kinsoku/>
        <w:wordWrap/>
        <w:overflowPunct/>
        <w:topLinePunct w:val="0"/>
        <w:autoSpaceDE/>
        <w:autoSpaceDN/>
        <w:bidi w:val="0"/>
        <w:spacing w:beforeLines="0" w:afterLines="0" w:line="440" w:lineRule="exact"/>
        <w:ind w:firstLine="482" w:firstLineChars="200"/>
        <w:jc w:val="left"/>
        <w:textAlignment w:val="auto"/>
        <w:rPr>
          <w:rFonts w:hint="eastAsia" w:ascii="宋体" w:hAnsi="宋体" w:eastAsia="宋体" w:cs="宋体"/>
          <w:sz w:val="24"/>
          <w:szCs w:val="24"/>
        </w:rPr>
      </w:pPr>
      <w:bookmarkStart w:id="6" w:name="_Toc3359"/>
      <w:bookmarkStart w:id="7" w:name="_Toc109593879"/>
      <w:r>
        <w:rPr>
          <w:rFonts w:hint="eastAsia" w:ascii="宋体" w:hAnsi="宋体" w:eastAsia="宋体" w:cs="宋体"/>
          <w:sz w:val="24"/>
          <w:szCs w:val="24"/>
        </w:rPr>
        <w:t>第四条：付款方式：</w:t>
      </w:r>
      <w:bookmarkEnd w:id="6"/>
      <w:bookmarkEnd w:id="7"/>
    </w:p>
    <w:p w14:paraId="43E919C7">
      <w:pPr>
        <w:pStyle w:val="9"/>
        <w:pageBreakBefore w:val="0"/>
        <w:kinsoku/>
        <w:wordWrap/>
        <w:overflowPunct/>
        <w:topLinePunct w:val="0"/>
        <w:autoSpaceDE/>
        <w:autoSpaceDN/>
        <w:bidi w:val="0"/>
        <w:spacing w:line="440" w:lineRule="exact"/>
        <w:ind w:firstLine="561"/>
        <w:textAlignment w:val="auto"/>
        <w:rPr>
          <w:rFonts w:hint="eastAsia" w:ascii="宋体" w:hAnsi="宋体" w:eastAsia="宋体" w:cs="宋体"/>
          <w:sz w:val="24"/>
          <w:szCs w:val="24"/>
        </w:rPr>
      </w:pPr>
      <w:r>
        <w:rPr>
          <w:rFonts w:hint="eastAsia" w:ascii="宋体" w:hAnsi="宋体" w:eastAsia="宋体" w:cs="宋体"/>
          <w:sz w:val="24"/>
          <w:szCs w:val="24"/>
          <w:highlight w:val="yellow"/>
        </w:rPr>
        <w:t>支付方式：每月20日前支付上个月经东方污水处理厂考核核算后的运营管理服务费用，并由供应商开具相应的正规发票。</w:t>
      </w:r>
    </w:p>
    <w:p w14:paraId="143C733E">
      <w:pPr>
        <w:pStyle w:val="4"/>
        <w:pageBreakBefore w:val="0"/>
        <w:kinsoku/>
        <w:wordWrap/>
        <w:overflowPunct/>
        <w:topLinePunct w:val="0"/>
        <w:autoSpaceDE/>
        <w:autoSpaceDN/>
        <w:bidi w:val="0"/>
        <w:spacing w:beforeLines="0" w:afterLines="0" w:line="440" w:lineRule="exact"/>
        <w:ind w:firstLine="482" w:firstLineChars="200"/>
        <w:jc w:val="left"/>
        <w:textAlignment w:val="auto"/>
        <w:rPr>
          <w:rFonts w:hint="eastAsia" w:ascii="宋体" w:hAnsi="宋体" w:eastAsia="宋体" w:cs="宋体"/>
          <w:sz w:val="24"/>
          <w:szCs w:val="24"/>
        </w:rPr>
      </w:pPr>
      <w:bookmarkStart w:id="8" w:name="_Toc109593880"/>
      <w:bookmarkStart w:id="9" w:name="_Toc30923"/>
      <w:r>
        <w:rPr>
          <w:rFonts w:hint="eastAsia" w:ascii="宋体" w:hAnsi="宋体" w:eastAsia="宋体" w:cs="宋体"/>
          <w:sz w:val="24"/>
          <w:szCs w:val="24"/>
        </w:rPr>
        <w:t>第五条：甲乙双方的权利和义务</w:t>
      </w:r>
      <w:bookmarkEnd w:id="8"/>
      <w:bookmarkEnd w:id="9"/>
    </w:p>
    <w:p w14:paraId="65A5846B">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(一)甲方的权利和义务</w:t>
      </w:r>
    </w:p>
    <w:p w14:paraId="23881D09">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1、甲方将东方污水处理厂全部经营权委托至乙方，保障乙方获得的委托经营权在整个委托经营期内始终持续有效。</w:t>
      </w:r>
    </w:p>
    <w:p w14:paraId="3DB5AFFF">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2、甲方尊重、维护乙方正常经营和合法权益，制止其他单位和个人不当干预和影响乙方经营和权益行为，禁止其他人侵害乙方委托经营权的行为。</w:t>
      </w:r>
    </w:p>
    <w:p w14:paraId="444EA8B6">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3、甲方协调、协助乙方处理与第三方(包括但不限于政府部门)发生的争议、纠纷以及其他事项。甲方应协助乙方维护其权益及履行本协议，确保乙方不受妨碍地拥有、维持和运营本项目及乙方的资产、权利。</w:t>
      </w:r>
    </w:p>
    <w:p w14:paraId="62767690">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4、在委托经营期内，甲方协调、协助乙方办理本项目运营、收益的行政申报、审批、核准、许可及办证等各种事宜，费用由乙方自理。</w:t>
      </w:r>
    </w:p>
    <w:p w14:paraId="3914C42F">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5、对乙方污水处理委托经营过程实施监管和考核，并按月考核以下内容:出水水质达标排放、服务质量、项目经营状况、安全防范措施和《应急预案》。具体考核办法由污水厂另行制定。</w:t>
      </w:r>
    </w:p>
    <w:p w14:paraId="28FFC1FE">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6、甲方有权自行或委托环境监测部门对乙方处理水质进行检查和检测。</w:t>
      </w:r>
    </w:p>
    <w:p w14:paraId="60460744">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(二)乙方的权利和义务</w:t>
      </w:r>
    </w:p>
    <w:p w14:paraId="3687FDCA">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1、乙方有权按照本协议的约定，向甲方收取污水处理基本运行费;</w:t>
      </w:r>
    </w:p>
    <w:p w14:paraId="4465E276">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2、乙方在委托经营期内享有委托经营权，并合法拥有运营本项目的一切权益;</w:t>
      </w:r>
    </w:p>
    <w:p w14:paraId="20FB76AE">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3、乙方依法享有本项目土地使用权及与其相关的权利和权益;</w:t>
      </w:r>
    </w:p>
    <w:p w14:paraId="4F6036F0">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4、乙方依法享有委托经营权有效期限内，按照本协议的约定自主经营和管理的权利;</w:t>
      </w:r>
    </w:p>
    <w:p w14:paraId="72BC15CA">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5、乙方确保污水处理出水水质达标排放，污水处理率达90%以上，运维台账及运维信息按时签报。</w:t>
      </w:r>
    </w:p>
    <w:p w14:paraId="432C5123">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在整个委托运营期限内应保持拥有能良好运营污水处理厂的相应人员、技术和设备，并保持相应的批文和资质的有效性;乙方在尊重个人意愿的前提下接收原污水厂现册20名在岗员工，工资待遇不得低于接收前的水平，乙方对接收人员用人安全负有全部责任，同时乙方有责任和权力对接收人工作进行绩效考核，并有权对不服管理人员向甲方退回。所接收员工工作年限(工龄)计入连续工作年限。</w:t>
      </w:r>
    </w:p>
    <w:p w14:paraId="6CBD63EA">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7、根据本协议的规定，乙方应在委托经营期内负责设施的运营与维护，使其处于良好的运营状态;(两年内不可投付设备维修费)</w:t>
      </w:r>
    </w:p>
    <w:p w14:paraId="2C1A7A96">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8、在委托经营期内，乙方对甲方、公共监督机构或政府部门参观、考察、检查项目设施应给予便利与配合;认真对待检查中存在的问题，不回避，不推脱，积极整改回复。</w:t>
      </w:r>
    </w:p>
    <w:p w14:paraId="69595DFF">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在委托运营期限内，乙方应备用完备的应急设施设备，若因提标改造升级影响处理工艺和处理设施设备运行的，乙方应及时启动应急措施和应急设备，确保安全和水质达标排放，费用从总承包应急费用项列支，不另行计算运行基本费。</w:t>
      </w:r>
    </w:p>
    <w:p w14:paraId="4DD491B1">
      <w:pPr>
        <w:pStyle w:val="4"/>
        <w:pageBreakBefore w:val="0"/>
        <w:kinsoku/>
        <w:wordWrap/>
        <w:overflowPunct/>
        <w:topLinePunct w:val="0"/>
        <w:autoSpaceDE/>
        <w:autoSpaceDN/>
        <w:bidi w:val="0"/>
        <w:spacing w:beforeLines="0" w:afterLines="0" w:line="440" w:lineRule="exact"/>
        <w:ind w:firstLine="482" w:firstLineChars="200"/>
        <w:jc w:val="left"/>
        <w:textAlignment w:val="auto"/>
        <w:rPr>
          <w:rFonts w:hint="eastAsia" w:ascii="宋体" w:hAnsi="宋体" w:eastAsia="宋体" w:cs="宋体"/>
          <w:sz w:val="24"/>
          <w:szCs w:val="24"/>
        </w:rPr>
      </w:pPr>
      <w:bookmarkStart w:id="10" w:name="_Toc7582"/>
      <w:bookmarkStart w:id="11" w:name="_Toc109593881"/>
      <w:r>
        <w:rPr>
          <w:rFonts w:hint="eastAsia" w:ascii="宋体" w:hAnsi="宋体" w:eastAsia="宋体" w:cs="宋体"/>
          <w:sz w:val="24"/>
          <w:szCs w:val="24"/>
        </w:rPr>
        <w:t>第六条：甲乙双方的责任</w:t>
      </w:r>
      <w:bookmarkEnd w:id="10"/>
      <w:bookmarkEnd w:id="11"/>
    </w:p>
    <w:p w14:paraId="17B53505">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1、甲方按照约定授予乙方在委托经营期内独占的经营权利，乙方的委托经营权在整个委托经营期内始终持续有效。</w:t>
      </w:r>
    </w:p>
    <w:p w14:paraId="41C6E3B1">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2、若乙方在经营过程中发生了安全生产事故、人身损害等其后果均由运营方乙方自行承担责任。</w:t>
      </w:r>
    </w:p>
    <w:p w14:paraId="16F728C4">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3、委托经营期:除非依据本协议的相关条款而终止，委托经营服务期限为自本协议签订之日起三年，委托经营期内，出水水质达到《陕西省黄河流域污水综合排放标准》(DB61/224-2018)中的A标准。</w:t>
      </w:r>
    </w:p>
    <w:p w14:paraId="12B06F57">
      <w:pPr>
        <w:pStyle w:val="4"/>
        <w:pageBreakBefore w:val="0"/>
        <w:kinsoku/>
        <w:wordWrap/>
        <w:overflowPunct/>
        <w:topLinePunct w:val="0"/>
        <w:autoSpaceDE/>
        <w:autoSpaceDN/>
        <w:bidi w:val="0"/>
        <w:spacing w:beforeLines="0" w:afterLines="0" w:line="440" w:lineRule="exact"/>
        <w:ind w:firstLine="482" w:firstLineChars="200"/>
        <w:jc w:val="left"/>
        <w:textAlignment w:val="auto"/>
        <w:rPr>
          <w:rFonts w:hint="eastAsia" w:ascii="宋体" w:hAnsi="宋体" w:eastAsia="宋体" w:cs="宋体"/>
          <w:sz w:val="24"/>
          <w:szCs w:val="24"/>
        </w:rPr>
      </w:pPr>
      <w:bookmarkStart w:id="12" w:name="_Toc31763"/>
      <w:bookmarkStart w:id="13" w:name="_Toc109593882"/>
      <w:r>
        <w:rPr>
          <w:rFonts w:hint="eastAsia" w:ascii="宋体" w:hAnsi="宋体" w:eastAsia="宋体" w:cs="宋体"/>
          <w:sz w:val="24"/>
          <w:szCs w:val="24"/>
        </w:rPr>
        <w:t>第七条：项目设施的运营维护和监督考核</w:t>
      </w:r>
      <w:bookmarkEnd w:id="12"/>
      <w:bookmarkEnd w:id="13"/>
    </w:p>
    <w:p w14:paraId="2CEABFA7">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(一)运营</w:t>
      </w:r>
    </w:p>
    <w:p w14:paraId="4F9F82C6">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整个委托经营期内，乙方应有专业技术人员自行管理、运营和维护项目设施。项目运营期间，乙方应执行谨慎运营惯例，按有关协议约定配置有专业管理、技术的操作人员管理本项目，建立健全相关管理制度和操作规范，培训雇员，保持污水处理厂处于良好的运行状态，按照规定对进厂水质和出厂水质进行检测，并对处理过程中产生的污泥等废物按本协议约定进行处理。</w:t>
      </w:r>
    </w:p>
    <w:p w14:paraId="3C46D1A4">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2、乙方应建立完善的资料档案制度，记录生产日志、存储技术档案资料，依法接受政府相关部门的检查和监督。</w:t>
      </w:r>
    </w:p>
    <w:p w14:paraId="7DBAC90D">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3、乙方应根据有关公共卫生和安全的适用法律以及本协议的规定，建立和完善安全生产制度，建立安全生产保证体系。</w:t>
      </w:r>
    </w:p>
    <w:p w14:paraId="574A28F8">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(二)设施维护</w:t>
      </w:r>
    </w:p>
    <w:p w14:paraId="36E984BF">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1、乙方在运营过程中，有义务根据适用法律和本协议的约定负责污水处理设施、设备的维护、维修、更换，保证污水处理设施、设备处于良好运行状态，若有损坏、故障的旧设备按提标改造设计要求及时更换。</w:t>
      </w:r>
    </w:p>
    <w:p w14:paraId="49DC17D4">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2、为提供符合本协议约定的服务，甲方应在设施移交给乙方运营前对现有污水处理设施设备进行检测，出水指标满足协议所要求污水处理厂适用的标准。</w:t>
      </w:r>
    </w:p>
    <w:p w14:paraId="1E5BA4EC">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(三)甲方的监督与检查考核</w:t>
      </w:r>
    </w:p>
    <w:p w14:paraId="08CBEAB1">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委托经营期内，甲方有权在合理时间进入项目用地或乙方的办公场所，以检查乙方生产记录资料，监督、检查项目设施的运营和维护，乙方应对此等检查和监督提供协助。监督员或代表的进入不得延误或干扰乙方履行其在本协议项下的权利和义务，因甲方实施监督检查造成乙方工作延误，由此造成乙方污水处理量减少，乙方不承担违约责任。</w:t>
      </w:r>
    </w:p>
    <w:p w14:paraId="2092B197">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2、在委托经营期内，甲方有权组织相关人员或专家对乙方的经营情况进行考核，具体考核办法由污水厂另行制定。</w:t>
      </w:r>
    </w:p>
    <w:p w14:paraId="2DF7F217">
      <w:pPr>
        <w:pStyle w:val="4"/>
        <w:pageBreakBefore w:val="0"/>
        <w:kinsoku/>
        <w:wordWrap/>
        <w:overflowPunct/>
        <w:topLinePunct w:val="0"/>
        <w:autoSpaceDE/>
        <w:autoSpaceDN/>
        <w:bidi w:val="0"/>
        <w:spacing w:beforeLines="0" w:afterLines="0" w:line="440" w:lineRule="exact"/>
        <w:ind w:firstLine="482" w:firstLineChars="200"/>
        <w:jc w:val="left"/>
        <w:textAlignment w:val="auto"/>
        <w:rPr>
          <w:rFonts w:hint="eastAsia" w:ascii="宋体" w:hAnsi="宋体" w:eastAsia="宋体" w:cs="宋体"/>
          <w:sz w:val="24"/>
          <w:szCs w:val="24"/>
        </w:rPr>
      </w:pPr>
      <w:bookmarkStart w:id="14" w:name="_Toc11421"/>
      <w:bookmarkStart w:id="15" w:name="_Toc109593883"/>
      <w:r>
        <w:rPr>
          <w:rFonts w:hint="eastAsia" w:ascii="宋体" w:hAnsi="宋体" w:eastAsia="宋体" w:cs="宋体"/>
          <w:sz w:val="24"/>
          <w:szCs w:val="24"/>
        </w:rPr>
        <w:t>第八条：污水处理及其他污染物处理</w:t>
      </w:r>
      <w:bookmarkEnd w:id="14"/>
      <w:bookmarkEnd w:id="15"/>
    </w:p>
    <w:p w14:paraId="3329875D">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1、甲方负责提供场地堆放运行产生的污泥及危废物品;乙方应与相关单位签订污泥及危废物品处理协议并对协议内容全部负责。</w:t>
      </w:r>
    </w:p>
    <w:p w14:paraId="4AA4C68B">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2、甲方确保委托经营区域内污水处理厂的进水量及进水水质标准符合当前设计承载标准范围。</w:t>
      </w:r>
    </w:p>
    <w:p w14:paraId="30800B8D">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3、乙运营因导致污水处理不符合《陕西省黄河流污水综合排放标准》(DB61/224-2018)中的A标准的环保罚款，甲方不承担任何责任，且执行相关考核办法。</w:t>
      </w:r>
    </w:p>
    <w:p w14:paraId="5F8513A6">
      <w:pPr>
        <w:pStyle w:val="4"/>
        <w:pageBreakBefore w:val="0"/>
        <w:kinsoku/>
        <w:wordWrap/>
        <w:overflowPunct/>
        <w:topLinePunct w:val="0"/>
        <w:autoSpaceDE/>
        <w:autoSpaceDN/>
        <w:bidi w:val="0"/>
        <w:spacing w:beforeLines="0" w:afterLines="0" w:line="440" w:lineRule="exact"/>
        <w:ind w:firstLine="482" w:firstLineChars="200"/>
        <w:jc w:val="left"/>
        <w:textAlignment w:val="auto"/>
        <w:rPr>
          <w:rFonts w:hint="eastAsia" w:ascii="宋体" w:hAnsi="宋体" w:eastAsia="宋体" w:cs="宋体"/>
          <w:sz w:val="24"/>
          <w:szCs w:val="24"/>
        </w:rPr>
      </w:pPr>
      <w:bookmarkStart w:id="16" w:name="_Toc109593884"/>
      <w:bookmarkStart w:id="17" w:name="_Toc24371"/>
      <w:r>
        <w:rPr>
          <w:rFonts w:hint="eastAsia" w:ascii="宋体" w:hAnsi="宋体" w:eastAsia="宋体" w:cs="宋体"/>
          <w:sz w:val="24"/>
          <w:szCs w:val="24"/>
        </w:rPr>
        <w:t>第九条：运营管理服务费用</w:t>
      </w:r>
      <w:bookmarkEnd w:id="16"/>
      <w:bookmarkEnd w:id="17"/>
    </w:p>
    <w:p w14:paraId="2F810421">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运营管理服务费用主要包括生产电费、工人（现有人员20人）工资及福利（不低于现有人员福利待遇）、生产药剂费、设备维修保养费（包含泵站及管网维修维护费、厂区检修和维护费等相关费用）、化验室药剂费、办公费（包含车辆相关费用、日常办公等相关费用）、生产及生活用水费、污泥处置费、在线监测仪表维护保养费、绿化维护保养费、危险废弃物处置费、其他相关费用（不限于差旅费、招待费、培训费等）、利润及税费等相关费用。费用含税固定总价一次性包死，超支或亏损由供应商自行承担，不受市场价格变化因素的影响。</w:t>
      </w:r>
    </w:p>
    <w:p w14:paraId="0472E98C">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2、运营管理服务费用按照月考核支付方式由君县东方污水厂核定拨付，下一月20日前支付上一月费用。</w:t>
      </w:r>
    </w:p>
    <w:p w14:paraId="7911EE83">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3、本协议单价为固定价格，不随市场变化而调整。本协议价格为含税价。乙方提供服务所发生的一切税(包括增值税)费等都已包含于协议价款中。</w:t>
      </w:r>
    </w:p>
    <w:p w14:paraId="54173B85">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4、出于政策、法律法规改变或甲方要求等非乙方自主需要的原因造成的设施、设备更新或改造，由此增加乙方投资的，甲方应根据乙方申请启动基本费用中预备费项，比例由双方协商确定。</w:t>
      </w:r>
    </w:p>
    <w:p w14:paraId="5B227D9C">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5、若由于其他非乙方原因使乙方增加运营成本或资本支出，或者导致乙方损失的，甲方应根据乙方申请启动费用调升程序，向主管部门和县政府报告，调升比例由双方协商确定。</w:t>
      </w:r>
    </w:p>
    <w:p w14:paraId="543ACD84">
      <w:pPr>
        <w:pStyle w:val="4"/>
        <w:pageBreakBefore w:val="0"/>
        <w:kinsoku/>
        <w:wordWrap/>
        <w:overflowPunct/>
        <w:topLinePunct w:val="0"/>
        <w:autoSpaceDE/>
        <w:autoSpaceDN/>
        <w:bidi w:val="0"/>
        <w:spacing w:beforeLines="0" w:afterLines="0" w:line="440" w:lineRule="exact"/>
        <w:ind w:firstLine="482" w:firstLineChars="200"/>
        <w:jc w:val="left"/>
        <w:textAlignment w:val="auto"/>
        <w:rPr>
          <w:rFonts w:hint="eastAsia" w:ascii="宋体" w:hAnsi="宋体" w:eastAsia="宋体" w:cs="宋体"/>
          <w:sz w:val="24"/>
          <w:szCs w:val="24"/>
        </w:rPr>
      </w:pPr>
      <w:bookmarkStart w:id="18" w:name="_Toc17155"/>
      <w:bookmarkStart w:id="19" w:name="_Toc109593885"/>
      <w:r>
        <w:rPr>
          <w:rFonts w:hint="eastAsia" w:ascii="宋体" w:hAnsi="宋体" w:eastAsia="宋体" w:cs="宋体"/>
          <w:sz w:val="24"/>
          <w:szCs w:val="24"/>
        </w:rPr>
        <w:t>第十条：违约赔偿</w:t>
      </w:r>
      <w:bookmarkEnd w:id="18"/>
      <w:bookmarkEnd w:id="19"/>
    </w:p>
    <w:p w14:paraId="70E887E2">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1、如果甲方不履行其在本协议下的义务，且经乙方书面催告后15个工作日仍不履行的，应赔偿因迟延履行义务给乙方造成的损失。</w:t>
      </w:r>
    </w:p>
    <w:p w14:paraId="260521EB">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2、如果乙方不履行其在本协议下的义务，且经甲方书面催告后15 个工作日仍不履行的，甲方有权终止协议并停止支付乙方服务费用，乙方须承担给甲方造成的损失。</w:t>
      </w:r>
    </w:p>
    <w:p w14:paraId="08A914B5">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3、因乙方运营管理程序不规范，运营管理不到位，导致出水未达标被环保部门处罚的罚金及相应责任由乙方承担。</w:t>
      </w:r>
    </w:p>
    <w:p w14:paraId="6F175D47">
      <w:pPr>
        <w:pStyle w:val="4"/>
        <w:pageBreakBefore w:val="0"/>
        <w:kinsoku/>
        <w:wordWrap/>
        <w:overflowPunct/>
        <w:topLinePunct w:val="0"/>
        <w:autoSpaceDE/>
        <w:autoSpaceDN/>
        <w:bidi w:val="0"/>
        <w:spacing w:beforeLines="0" w:afterLines="0" w:line="440" w:lineRule="exact"/>
        <w:ind w:firstLine="482" w:firstLineChars="200"/>
        <w:jc w:val="left"/>
        <w:textAlignment w:val="auto"/>
        <w:rPr>
          <w:rFonts w:hint="eastAsia" w:ascii="宋体" w:hAnsi="宋体" w:eastAsia="宋体" w:cs="宋体"/>
          <w:sz w:val="24"/>
          <w:szCs w:val="24"/>
        </w:rPr>
      </w:pPr>
      <w:bookmarkStart w:id="20" w:name="_Toc109593886"/>
      <w:bookmarkStart w:id="21" w:name="_Toc3145"/>
      <w:r>
        <w:rPr>
          <w:rFonts w:hint="eastAsia" w:ascii="宋体" w:hAnsi="宋体" w:eastAsia="宋体" w:cs="宋体"/>
          <w:sz w:val="24"/>
          <w:szCs w:val="24"/>
        </w:rPr>
        <w:t>第十一条：其他条款</w:t>
      </w:r>
      <w:bookmarkEnd w:id="20"/>
      <w:bookmarkEnd w:id="21"/>
    </w:p>
    <w:p w14:paraId="006597C7">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1、在国家宏观经济政策发生重大变化和调整对本协议的履行产生重大影响时，双方有权进行协商，并此达成新的协议或就本协议签订补充协议。</w:t>
      </w:r>
    </w:p>
    <w:p w14:paraId="53D76703">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2、协议履行过程中产生争议，双方应当友好协商解决，向管部门报告，协商不成双方均有权向协议履行地人民法院提起诉讼。</w:t>
      </w:r>
    </w:p>
    <w:p w14:paraId="3B3C54C1">
      <w:pPr>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3、本协议自双方法定代表人或其授权代表签字并加盖公章之日起生效。本协议一式六份，甲方执四份，乙方执二份，均具有同等的法律效力。</w:t>
      </w:r>
    </w:p>
    <w:p w14:paraId="47C0FEAE">
      <w:pPr>
        <w:pStyle w:val="4"/>
        <w:pageBreakBefore w:val="0"/>
        <w:kinsoku/>
        <w:wordWrap/>
        <w:overflowPunct/>
        <w:topLinePunct w:val="0"/>
        <w:autoSpaceDE/>
        <w:autoSpaceDN/>
        <w:bidi w:val="0"/>
        <w:spacing w:beforeLines="0" w:afterLines="0" w:line="440" w:lineRule="exact"/>
        <w:ind w:firstLine="482" w:firstLineChars="200"/>
        <w:jc w:val="left"/>
        <w:textAlignment w:val="auto"/>
        <w:rPr>
          <w:rFonts w:hint="eastAsia" w:ascii="宋体" w:hAnsi="宋体" w:eastAsia="宋体" w:cs="宋体"/>
          <w:sz w:val="24"/>
          <w:szCs w:val="24"/>
        </w:rPr>
      </w:pPr>
      <w:bookmarkStart w:id="22" w:name="_Toc23557"/>
      <w:bookmarkStart w:id="23" w:name="_Toc109593887"/>
      <w:r>
        <w:rPr>
          <w:rFonts w:hint="eastAsia" w:ascii="宋体" w:hAnsi="宋体" w:eastAsia="宋体" w:cs="宋体"/>
          <w:sz w:val="24"/>
          <w:szCs w:val="24"/>
        </w:rPr>
        <w:t>第十二条：合同组成</w:t>
      </w:r>
      <w:bookmarkEnd w:id="22"/>
      <w:bookmarkEnd w:id="23"/>
    </w:p>
    <w:p w14:paraId="3AA9BBF3">
      <w:pPr>
        <w:pageBreakBefore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1、国家相关规范及标准</w:t>
      </w:r>
    </w:p>
    <w:p w14:paraId="37CF28D5">
      <w:pPr>
        <w:pageBreakBefore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2、合同文件</w:t>
      </w:r>
    </w:p>
    <w:p w14:paraId="0C7C89C3">
      <w:pPr>
        <w:pageBreakBefore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3、成交通知书</w:t>
      </w:r>
    </w:p>
    <w:p w14:paraId="400E7147">
      <w:pPr>
        <w:pageBreakBefore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4．招标文件</w:t>
      </w:r>
    </w:p>
    <w:p w14:paraId="01006DB2">
      <w:pPr>
        <w:pageBreakBefore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5．投标文件</w:t>
      </w:r>
    </w:p>
    <w:p w14:paraId="180E1745">
      <w:pPr>
        <w:pageBreakBefore w:val="0"/>
        <w:kinsoku/>
        <w:wordWrap/>
        <w:overflowPunct/>
        <w:topLinePunct w:val="0"/>
        <w:autoSpaceDE/>
        <w:autoSpaceDN/>
        <w:bidi w:val="0"/>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甲方（盖章）：宜君县住房和城乡建设局      乙方（盖章）：</w:t>
      </w:r>
    </w:p>
    <w:p w14:paraId="40A4F6CF">
      <w:pPr>
        <w:pageBreakBefore w:val="0"/>
        <w:kinsoku/>
        <w:wordWrap/>
        <w:overflowPunct/>
        <w:topLinePunct w:val="0"/>
        <w:autoSpaceDE/>
        <w:autoSpaceDN/>
        <w:bidi w:val="0"/>
        <w:spacing w:line="440" w:lineRule="exact"/>
        <w:textAlignment w:val="auto"/>
        <w:rPr>
          <w:rFonts w:hint="eastAsia" w:ascii="宋体" w:hAnsi="宋体" w:eastAsia="宋体" w:cs="宋体"/>
          <w:sz w:val="24"/>
          <w:szCs w:val="24"/>
        </w:rPr>
      </w:pPr>
    </w:p>
    <w:p w14:paraId="6B49957B">
      <w:pPr>
        <w:pStyle w:val="6"/>
        <w:pageBreakBefore w:val="0"/>
        <w:kinsoku/>
        <w:wordWrap/>
        <w:overflowPunct/>
        <w:topLinePunct w:val="0"/>
        <w:autoSpaceDE/>
        <w:autoSpaceDN/>
        <w:bidi w:val="0"/>
        <w:spacing w:line="440" w:lineRule="exact"/>
        <w:ind w:left="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法定代表人（签章）：                       法定代表人（签章）：</w:t>
      </w:r>
    </w:p>
    <w:p w14:paraId="25CBE7A2">
      <w:pPr>
        <w:pageBreakBefore w:val="0"/>
        <w:kinsoku/>
        <w:wordWrap/>
        <w:overflowPunct/>
        <w:topLinePunct w:val="0"/>
        <w:autoSpaceDE/>
        <w:autoSpaceDN/>
        <w:bidi w:val="0"/>
        <w:spacing w:line="440" w:lineRule="exact"/>
        <w:textAlignment w:val="auto"/>
        <w:rPr>
          <w:rFonts w:hint="eastAsia" w:ascii="宋体" w:hAnsi="宋体" w:eastAsia="宋体" w:cs="宋体"/>
          <w:sz w:val="24"/>
          <w:szCs w:val="24"/>
        </w:rPr>
      </w:pPr>
    </w:p>
    <w:p w14:paraId="114BD1EA">
      <w:pPr>
        <w:pageBreakBefore w:val="0"/>
        <w:kinsoku/>
        <w:wordWrap/>
        <w:overflowPunct/>
        <w:topLinePunct w:val="0"/>
        <w:autoSpaceDE/>
        <w:autoSpaceDN/>
        <w:bidi w:val="0"/>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授权委托人：                               授权委托人：</w:t>
      </w:r>
    </w:p>
    <w:p w14:paraId="7D61B93B">
      <w:pPr>
        <w:pStyle w:val="6"/>
        <w:pageBreakBefore w:val="0"/>
        <w:kinsoku/>
        <w:wordWrap/>
        <w:overflowPunct/>
        <w:topLinePunct w:val="0"/>
        <w:autoSpaceDE/>
        <w:autoSpaceDN/>
        <w:bidi w:val="0"/>
        <w:spacing w:line="440" w:lineRule="exact"/>
        <w:ind w:left="0" w:firstLine="0" w:firstLineChars="0"/>
        <w:textAlignment w:val="auto"/>
        <w:rPr>
          <w:rFonts w:hint="eastAsia" w:ascii="宋体" w:hAnsi="宋体" w:eastAsia="宋体" w:cs="宋体"/>
          <w:sz w:val="24"/>
          <w:szCs w:val="24"/>
        </w:rPr>
      </w:pPr>
    </w:p>
    <w:p w14:paraId="7AA1B8C0">
      <w:pPr>
        <w:pStyle w:val="6"/>
        <w:pageBreakBefore w:val="0"/>
        <w:kinsoku/>
        <w:wordWrap/>
        <w:overflowPunct/>
        <w:topLinePunct w:val="0"/>
        <w:autoSpaceDE/>
        <w:autoSpaceDN/>
        <w:bidi w:val="0"/>
        <w:spacing w:line="440" w:lineRule="exact"/>
        <w:ind w:left="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经办人：</w:t>
      </w:r>
    </w:p>
    <w:p w14:paraId="38C43310">
      <w:pPr>
        <w:pStyle w:val="6"/>
        <w:pageBreakBefore w:val="0"/>
        <w:kinsoku/>
        <w:wordWrap/>
        <w:overflowPunct/>
        <w:topLinePunct w:val="0"/>
        <w:autoSpaceDE/>
        <w:autoSpaceDN/>
        <w:bidi w:val="0"/>
        <w:spacing w:line="440" w:lineRule="exact"/>
        <w:ind w:left="0" w:firstLine="0" w:firstLineChars="0"/>
        <w:textAlignment w:val="auto"/>
        <w:rPr>
          <w:rFonts w:hint="eastAsia" w:ascii="宋体" w:hAnsi="宋体" w:eastAsia="宋体" w:cs="宋体"/>
          <w:sz w:val="24"/>
          <w:szCs w:val="24"/>
        </w:rPr>
      </w:pPr>
    </w:p>
    <w:p w14:paraId="545ED3FB">
      <w:pPr>
        <w:pStyle w:val="3"/>
        <w:pageBreakBefore w:val="0"/>
        <w:kinsoku/>
        <w:wordWrap/>
        <w:overflowPunct/>
        <w:topLinePunct w:val="0"/>
        <w:autoSpaceDE/>
        <w:autoSpaceDN/>
        <w:bidi w:val="0"/>
        <w:spacing w:before="156" w:after="156" w:line="440" w:lineRule="exact"/>
        <w:jc w:val="both"/>
        <w:textAlignment w:val="auto"/>
        <w:rPr>
          <w:rFonts w:hint="eastAsia" w:ascii="宋体" w:hAnsi="宋体" w:eastAsia="宋体" w:cs="宋体"/>
          <w:sz w:val="24"/>
          <w:szCs w:val="24"/>
        </w:rPr>
      </w:pPr>
      <w:bookmarkStart w:id="24" w:name="_Toc3355"/>
      <w:r>
        <w:rPr>
          <w:rFonts w:hint="eastAsia" w:ascii="宋体" w:hAnsi="宋体" w:eastAsia="宋体" w:cs="宋体"/>
          <w:b w:val="0"/>
          <w:bCs/>
          <w:sz w:val="24"/>
          <w:szCs w:val="24"/>
        </w:rPr>
        <w:t>年   月    日                                    年   月    日</w:t>
      </w:r>
      <w:bookmarkEnd w:id="24"/>
      <w:r>
        <w:rPr>
          <w:rFonts w:hint="eastAsia" w:ascii="宋体" w:hAnsi="宋体" w:eastAsia="宋体" w:cs="宋体"/>
          <w:sz w:val="24"/>
          <w:szCs w:val="24"/>
        </w:rPr>
        <w:t xml:space="preserve"> </w:t>
      </w:r>
    </w:p>
    <w:p w14:paraId="74954483"/>
    <w:p w14:paraId="5084BF38">
      <w:bookmarkStart w:id="25" w:name="_GoBack"/>
      <w:bookmarkEnd w:id="2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CF97C8"/>
    <w:multiLevelType w:val="singleLevel"/>
    <w:tmpl w:val="5DCF97C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BA3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Lines="50" w:afterLines="50" w:line="600" w:lineRule="auto"/>
      <w:jc w:val="center"/>
      <w:outlineLvl w:val="0"/>
    </w:pPr>
    <w:rPr>
      <w:rFonts w:ascii="Times New Roman" w:hAnsi="Times New Roman" w:eastAsia="仿宋"/>
      <w:b/>
      <w:kern w:val="44"/>
      <w:sz w:val="36"/>
    </w:rPr>
  </w:style>
  <w:style w:type="paragraph" w:styleId="4">
    <w:name w:val="heading 2"/>
    <w:basedOn w:val="1"/>
    <w:next w:val="1"/>
    <w:unhideWhenUsed/>
    <w:qFormat/>
    <w:uiPriority w:val="0"/>
    <w:pPr>
      <w:keepNext/>
      <w:widowControl/>
      <w:spacing w:beforeLines="100" w:afterLines="100" w:line="480" w:lineRule="auto"/>
      <w:jc w:val="center"/>
      <w:outlineLvl w:val="1"/>
    </w:pPr>
    <w:rPr>
      <w:rFonts w:ascii="Times New Roman" w:hAnsi="Times New Roman" w:eastAsia="仿宋"/>
      <w:b/>
      <w:bCs/>
      <w:sz w:val="36"/>
      <w:szCs w:val="24"/>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2"/>
    <w:basedOn w:val="1"/>
    <w:qFormat/>
    <w:uiPriority w:val="0"/>
    <w:pPr>
      <w:adjustRightInd w:val="0"/>
      <w:snapToGrid w:val="0"/>
      <w:spacing w:line="480" w:lineRule="atLeast"/>
    </w:pPr>
    <w:rPr>
      <w:rFonts w:ascii="宋体" w:hAnsi="宋体" w:eastAsia="宋体" w:cs="Times New Roman"/>
      <w:sz w:val="28"/>
    </w:rPr>
  </w:style>
  <w:style w:type="paragraph" w:styleId="5">
    <w:name w:val="Body Text Indent"/>
    <w:basedOn w:val="1"/>
    <w:qFormat/>
    <w:uiPriority w:val="0"/>
    <w:pPr>
      <w:spacing w:after="120"/>
      <w:ind w:left="420" w:leftChars="200"/>
    </w:pPr>
  </w:style>
  <w:style w:type="paragraph" w:styleId="6">
    <w:name w:val="Body Text First Indent 2"/>
    <w:basedOn w:val="5"/>
    <w:qFormat/>
    <w:uiPriority w:val="0"/>
    <w:pPr>
      <w:spacing w:after="0" w:line="400" w:lineRule="atLeast"/>
      <w:ind w:left="210" w:leftChars="0" w:firstLine="420" w:firstLineChars="200"/>
    </w:pPr>
    <w:rPr>
      <w:rFonts w:ascii="Times New Roman"/>
      <w:sz w:val="20"/>
      <w:szCs w:val="24"/>
    </w:rPr>
  </w:style>
  <w:style w:type="paragraph" w:customStyle="1" w:styleId="9">
    <w:name w:val="样式 首行缩进:  2 字符"/>
    <w:basedOn w:val="1"/>
    <w:qFormat/>
    <w:uiPriority w:val="0"/>
    <w:pPr>
      <w:ind w:firstLine="560"/>
    </w:pPr>
    <w:rPr>
      <w:rFonts w:ascii="宋体" w:hAnsi="Times New Roman" w:eastAsia="仿宋_GB2312" w:cs="Times New Roman"/>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2025-12-29T02:58:53Z</dcterms:created>
  <dc:creator>16278</dc:creator>
  <cp:lastModifiedBy>巩毓</cp:lastModifiedBy>
  <dcterms:modified xsi:type="dcterms:W3CDTF">2025-12-29T02:59:19Z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eyJoZGlkIjoiZjAzMDQwNmQ4MDc2YTAxMWY4YWUxMzY0ZTAwZTFiNDciLCJ1c2VySWQiOiIzODgzNTA1NzkifQ==</vt:lpwstr>
  </property>
  <property fmtid="{D5CDD505-2E9C-101B-9397-08002B2CF9AE}" pid="4" name="ICV">
    <vt:lpwstr>F3CFE0645A814100B3E654B4FE96A212_12</vt:lpwstr>
  </property>
</Properties>
</file>