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版本号：HGMHCG-2025-95.1B120251204001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宜君县农村生活污水处理设施提标改造及运维项目（设备）(二次)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HGMHCG-2025-95.1B1</w:t>
      </w:r>
      <w:r>
        <w:br/>
      </w:r>
      <w:r>
        <w:br/>
      </w:r>
      <w:r>
        <w:br/>
      </w:r>
    </w:p>
    <w:p>
      <w:pPr>
        <w:pStyle w:val="null3"/>
        <w:jc w:val="center"/>
        <w:outlineLvl w:val="2"/>
      </w:pPr>
      <w:r>
        <w:rPr>
          <w:rFonts w:ascii="仿宋_GB2312" w:hAnsi="仿宋_GB2312" w:cs="仿宋_GB2312" w:eastAsia="仿宋_GB2312"/>
          <w:sz w:val="28"/>
          <w:b/>
        </w:rPr>
        <w:t>铜川市生态环境局宜君分局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铜川市生态环境局宜君分局</w:t>
      </w:r>
      <w:r>
        <w:rPr>
          <w:rFonts w:ascii="仿宋_GB2312" w:hAnsi="仿宋_GB2312" w:cs="仿宋_GB2312" w:eastAsia="仿宋_GB2312"/>
        </w:rPr>
        <w:t>委托，拟对</w:t>
      </w:r>
      <w:r>
        <w:rPr>
          <w:rFonts w:ascii="仿宋_GB2312" w:hAnsi="仿宋_GB2312" w:cs="仿宋_GB2312" w:eastAsia="仿宋_GB2312"/>
        </w:rPr>
        <w:t>宜君县农村生活污水处理设施提标改造及运维项目（设备）(二次)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HGMHCG-2025-95.1B1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宜君县农村生活污水处理设施提标改造及运维项目（设备）(二次)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宜君县农村生活污水处理设施提标改造及运维项目（设备）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采购包1（宜君县农村生活污水处理设施提标改造及运维项目（设备））：属于专门面向小微企业采购。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铜川市生态环境局宜君分局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陕西省铜川市宜君县南山公园路东南侧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0919-5286321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铜川市生态环境局宜君分局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铜川市生态环境局宜君分局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宜君县农村生活污水处理设施提标改造及运维项目（设备）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宜君县农村生活污水处理设施提标改造及运维项目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标的名称：宜君县农村生活污水处理设施提标改造及运维项目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4"/>
              <w:gridCol w:w="251"/>
              <w:gridCol w:w="1488"/>
              <w:gridCol w:w="210"/>
              <w:gridCol w:w="210"/>
              <w:gridCol w:w="257"/>
            </w:tblGrid>
            <w:tr>
              <w:tc>
                <w:tcPr>
                  <w:tcW w:type="dxa" w:w="255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采购清单</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名称</w:t>
                  </w:r>
                </w:p>
              </w:tc>
              <w:tc>
                <w:tcPr>
                  <w:tcW w:type="dxa" w:w="1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参数</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备注</w:t>
                  </w:r>
                </w:p>
              </w:tc>
            </w:tr>
            <w:tr>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生活污水一体化设备</w:t>
                  </w:r>
                </w:p>
              </w:tc>
              <w:tc>
                <w:tcPr>
                  <w:tcW w:type="dxa" w:w="148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设计水量：150m3/d</w:t>
                  </w:r>
                  <w:r>
                    <w:br/>
                  </w:r>
                  <w:r>
                    <w:rPr>
                      <w:rFonts w:ascii="仿宋_GB2312" w:hAnsi="仿宋_GB2312" w:cs="仿宋_GB2312" w:eastAsia="仿宋_GB2312"/>
                      <w:sz w:val="21"/>
                      <w:color w:val="000000"/>
                    </w:rPr>
                    <w:t xml:space="preserve"> 设计废水进出水水质标准：污水排放执行《农村生活污水处理设施水污染物排放标准》DB61/1227-2018表中的一级排放标准</w:t>
                  </w:r>
                  <w:r>
                    <w:br/>
                  </w:r>
                  <w:r>
                    <w:rPr>
                      <w:rFonts w:ascii="仿宋_GB2312" w:hAnsi="仿宋_GB2312" w:cs="仿宋_GB2312" w:eastAsia="仿宋_GB2312"/>
                      <w:sz w:val="21"/>
                      <w:color w:val="000000"/>
                    </w:rPr>
                    <w:t xml:space="preserve"> 工艺：AO+MBR膜工艺</w:t>
                  </w:r>
                  <w:r>
                    <w:br/>
                  </w:r>
                  <w:r>
                    <w:rPr>
                      <w:rFonts w:ascii="仿宋_GB2312" w:hAnsi="仿宋_GB2312" w:cs="仿宋_GB2312" w:eastAsia="仿宋_GB2312"/>
                      <w:sz w:val="21"/>
                      <w:color w:val="000000"/>
                    </w:rPr>
                    <w:t xml:space="preserve"> 主要的设备：</w:t>
                  </w:r>
                  <w:r>
                    <w:br/>
                  </w:r>
                  <w:r>
                    <w:rPr>
                      <w:rFonts w:ascii="仿宋_GB2312" w:hAnsi="仿宋_GB2312" w:cs="仿宋_GB2312" w:eastAsia="仿宋_GB2312"/>
                      <w:sz w:val="21"/>
                      <w:color w:val="000000"/>
                    </w:rPr>
                    <w:t xml:space="preserve"> 1、设备尺寸：12.2m*3.2m*3.3m (含人孔高度≧0.3m，主体平板≧6mm碳钢防腐，立板≧10mm碳钢防腐，箱体≧10mm岩棉保温箱体外部≧3mm瓦楞板全包围）</w:t>
                  </w:r>
                  <w:r>
                    <w:br/>
                  </w:r>
                  <w:r>
                    <w:rPr>
                      <w:rFonts w:ascii="仿宋_GB2312" w:hAnsi="仿宋_GB2312" w:cs="仿宋_GB2312" w:eastAsia="仿宋_GB2312"/>
                      <w:sz w:val="21"/>
                      <w:color w:val="000000"/>
                    </w:rPr>
                    <w:t xml:space="preserve"> 2、MBR膜</w:t>
                  </w:r>
                  <w:r>
                    <w:br/>
                  </w:r>
                  <w:r>
                    <w:rPr>
                      <w:rFonts w:ascii="仿宋_GB2312" w:hAnsi="仿宋_GB2312" w:cs="仿宋_GB2312" w:eastAsia="仿宋_GB2312"/>
                      <w:sz w:val="21"/>
                      <w:color w:val="000000"/>
                    </w:rPr>
                    <w:t xml:space="preserve"> 调节池：调节池污水提升泵1台液位控制（线缆浮球式,高低液位自控）1套</w:t>
                  </w:r>
                  <w:r>
                    <w:br/>
                  </w:r>
                  <w:r>
                    <w:rPr>
                      <w:rFonts w:ascii="仿宋_GB2312" w:hAnsi="仿宋_GB2312" w:cs="仿宋_GB2312" w:eastAsia="仿宋_GB2312"/>
                      <w:sz w:val="21"/>
                      <w:color w:val="000000"/>
                    </w:rPr>
                    <w:t xml:space="preserve"> 水解酸化池：新型组合填料1套</w:t>
                  </w:r>
                  <w:r>
                    <w:br/>
                  </w:r>
                  <w:r>
                    <w:rPr>
                      <w:rFonts w:ascii="仿宋_GB2312" w:hAnsi="仿宋_GB2312" w:cs="仿宋_GB2312" w:eastAsia="仿宋_GB2312"/>
                      <w:sz w:val="21"/>
                      <w:color w:val="000000"/>
                    </w:rPr>
                    <w:t xml:space="preserve"> 填料支架（螺纹钢 环氧煤沥青防腐）1套</w:t>
                  </w:r>
                  <w:r>
                    <w:br/>
                  </w:r>
                  <w:r>
                    <w:rPr>
                      <w:rFonts w:ascii="仿宋_GB2312" w:hAnsi="仿宋_GB2312" w:cs="仿宋_GB2312" w:eastAsia="仿宋_GB2312"/>
                      <w:sz w:val="21"/>
                      <w:color w:val="000000"/>
                    </w:rPr>
                    <w:t xml:space="preserve"> 布水器（UPVC穿孔式结构主体DN50）1套</w:t>
                  </w:r>
                  <w:r>
                    <w:br/>
                  </w:r>
                  <w:r>
                    <w:rPr>
                      <w:rFonts w:ascii="仿宋_GB2312" w:hAnsi="仿宋_GB2312" w:cs="仿宋_GB2312" w:eastAsia="仿宋_GB2312"/>
                      <w:sz w:val="21"/>
                      <w:color w:val="000000"/>
                    </w:rPr>
                    <w:t xml:space="preserve"> 潜水搅拌机1套</w:t>
                  </w:r>
                  <w:r>
                    <w:br/>
                  </w:r>
                  <w:r>
                    <w:rPr>
                      <w:rFonts w:ascii="仿宋_GB2312" w:hAnsi="仿宋_GB2312" w:cs="仿宋_GB2312" w:eastAsia="仿宋_GB2312"/>
                      <w:sz w:val="21"/>
                      <w:color w:val="000000"/>
                    </w:rPr>
                    <w:t xml:space="preserve"> 接触氧化池：新型组合填料（装填率80%主体材质醛化纤维或涤纶丝）</w:t>
                  </w:r>
                  <w:r>
                    <w:br/>
                  </w:r>
                  <w:r>
                    <w:rPr>
                      <w:rFonts w:ascii="仿宋_GB2312" w:hAnsi="仿宋_GB2312" w:cs="仿宋_GB2312" w:eastAsia="仿宋_GB2312"/>
                      <w:sz w:val="21"/>
                      <w:color w:val="000000"/>
                    </w:rPr>
                    <w:t xml:space="preserve"> 填料支架（螺纹钢 环氧煤沥青防腐）1套</w:t>
                  </w:r>
                  <w:r>
                    <w:br/>
                  </w:r>
                  <w:r>
                    <w:rPr>
                      <w:rFonts w:ascii="仿宋_GB2312" w:hAnsi="仿宋_GB2312" w:cs="仿宋_GB2312" w:eastAsia="仿宋_GB2312"/>
                      <w:sz w:val="21"/>
                      <w:color w:val="000000"/>
                    </w:rPr>
                    <w:t xml:space="preserve"> 微孔曝气盘1套</w:t>
                  </w:r>
                  <w:r>
                    <w:br/>
                  </w:r>
                  <w:r>
                    <w:rPr>
                      <w:rFonts w:ascii="仿宋_GB2312" w:hAnsi="仿宋_GB2312" w:cs="仿宋_GB2312" w:eastAsia="仿宋_GB2312"/>
                      <w:sz w:val="21"/>
                      <w:color w:val="000000"/>
                    </w:rPr>
                    <w:t xml:space="preserve"> 曝气管路系统1套</w:t>
                  </w:r>
                  <w:r>
                    <w:br/>
                  </w:r>
                  <w:r>
                    <w:rPr>
                      <w:rFonts w:ascii="仿宋_GB2312" w:hAnsi="仿宋_GB2312" w:cs="仿宋_GB2312" w:eastAsia="仿宋_GB2312"/>
                      <w:sz w:val="21"/>
                      <w:color w:val="000000"/>
                    </w:rPr>
                    <w:t xml:space="preserve"> 连接卡座1批</w:t>
                  </w:r>
                  <w:r>
                    <w:br/>
                  </w:r>
                  <w:r>
                    <w:rPr>
                      <w:rFonts w:ascii="仿宋_GB2312" w:hAnsi="仿宋_GB2312" w:cs="仿宋_GB2312" w:eastAsia="仿宋_GB2312"/>
                      <w:sz w:val="21"/>
                      <w:color w:val="000000"/>
                    </w:rPr>
                    <w:t xml:space="preserve"> 回转风机1台</w:t>
                  </w:r>
                  <w:r>
                    <w:br/>
                  </w:r>
                  <w:r>
                    <w:rPr>
                      <w:rFonts w:ascii="仿宋_GB2312" w:hAnsi="仿宋_GB2312" w:cs="仿宋_GB2312" w:eastAsia="仿宋_GB2312"/>
                      <w:sz w:val="21"/>
                      <w:color w:val="000000"/>
                    </w:rPr>
                    <w:t xml:space="preserve"> 清水池：反洗泵1台</w:t>
                  </w:r>
                  <w:r>
                    <w:br/>
                  </w:r>
                  <w:r>
                    <w:rPr>
                      <w:rFonts w:ascii="仿宋_GB2312" w:hAnsi="仿宋_GB2312" w:cs="仿宋_GB2312" w:eastAsia="仿宋_GB2312"/>
                      <w:sz w:val="21"/>
                      <w:color w:val="000000"/>
                    </w:rPr>
                    <w:t xml:space="preserve"> 接触消毒池：次氯酸钠加药系统一套（安装附件及自动化控制系统）：</w:t>
                  </w:r>
                  <w:r>
                    <w:br/>
                  </w:r>
                  <w:r>
                    <w:rPr>
                      <w:rFonts w:ascii="仿宋_GB2312" w:hAnsi="仿宋_GB2312" w:cs="仿宋_GB2312" w:eastAsia="仿宋_GB2312"/>
                      <w:sz w:val="21"/>
                      <w:color w:val="000000"/>
                    </w:rPr>
                    <w:t xml:space="preserve"> PLC电控柜：（控制方式PLC全自动运行控制；远程控制；手机APP;柜体材质：碳钢喷塑）</w:t>
                  </w:r>
                  <w:r>
                    <w:br/>
                  </w:r>
                  <w:r>
                    <w:rPr>
                      <w:rFonts w:ascii="仿宋_GB2312" w:hAnsi="仿宋_GB2312" w:cs="仿宋_GB2312" w:eastAsia="仿宋_GB2312"/>
                      <w:sz w:val="21"/>
                      <w:color w:val="000000"/>
                    </w:rPr>
                    <w:t xml:space="preserve"> 电线电缆：1批</w:t>
                  </w:r>
                  <w:r>
                    <w:br/>
                  </w:r>
                  <w:r>
                    <w:rPr>
                      <w:rFonts w:ascii="仿宋_GB2312" w:hAnsi="仿宋_GB2312" w:cs="仿宋_GB2312" w:eastAsia="仿宋_GB2312"/>
                      <w:sz w:val="21"/>
                      <w:color w:val="000000"/>
                    </w:rPr>
                    <w:t xml:space="preserve"> 所需管件阀门：定制</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设备提供方需含：运费吊装设备安装、调试、验收等。</w:t>
                  </w: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管道流量计</w:t>
                  </w:r>
                </w:p>
              </w:tc>
              <w:tc>
                <w:tcPr>
                  <w:tcW w:type="dxa" w:w="148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分体式电磁流量计：</w:t>
                  </w:r>
                  <w:r>
                    <w:br/>
                  </w:r>
                  <w:r>
                    <w:rPr>
                      <w:rFonts w:ascii="仿宋_GB2312" w:hAnsi="仿宋_GB2312" w:cs="仿宋_GB2312" w:eastAsia="仿宋_GB2312"/>
                      <w:sz w:val="21"/>
                      <w:color w:val="000000"/>
                    </w:rPr>
                    <w:t xml:space="preserve"> 介质：生活污水</w:t>
                  </w:r>
                  <w:r>
                    <w:br/>
                  </w:r>
                  <w:r>
                    <w:rPr>
                      <w:rFonts w:ascii="仿宋_GB2312" w:hAnsi="仿宋_GB2312" w:cs="仿宋_GB2312" w:eastAsia="仿宋_GB2312"/>
                      <w:sz w:val="21"/>
                      <w:color w:val="000000"/>
                    </w:rPr>
                    <w:t xml:space="preserve"> 量程：DN65：10-50m3/h</w:t>
                  </w:r>
                  <w:r>
                    <w:br/>
                  </w:r>
                  <w:r>
                    <w:rPr>
                      <w:rFonts w:ascii="仿宋_GB2312" w:hAnsi="仿宋_GB2312" w:cs="仿宋_GB2312" w:eastAsia="仿宋_GB2312"/>
                      <w:sz w:val="21"/>
                      <w:color w:val="000000"/>
                    </w:rPr>
                    <w:t xml:space="preserve"> DN100：30--120m3/h</w:t>
                  </w:r>
                  <w:r>
                    <w:br/>
                  </w:r>
                  <w:r>
                    <w:rPr>
                      <w:rFonts w:ascii="仿宋_GB2312" w:hAnsi="仿宋_GB2312" w:cs="仿宋_GB2312" w:eastAsia="仿宋_GB2312"/>
                      <w:sz w:val="21"/>
                      <w:color w:val="000000"/>
                    </w:rPr>
                    <w:t xml:space="preserve"> 显示方式：液晶显示</w:t>
                  </w:r>
                  <w:r>
                    <w:br/>
                  </w:r>
                  <w:r>
                    <w:rPr>
                      <w:rFonts w:ascii="仿宋_GB2312" w:hAnsi="仿宋_GB2312" w:cs="仿宋_GB2312" w:eastAsia="仿宋_GB2312"/>
                      <w:sz w:val="21"/>
                      <w:color w:val="000000"/>
                    </w:rPr>
                    <w:t xml:space="preserve"> 供电电源：AC-220V/DC24v</w:t>
                  </w:r>
                  <w:r>
                    <w:br/>
                  </w:r>
                  <w:r>
                    <w:rPr>
                      <w:rFonts w:ascii="仿宋_GB2312" w:hAnsi="仿宋_GB2312" w:cs="仿宋_GB2312" w:eastAsia="仿宋_GB2312"/>
                      <w:sz w:val="21"/>
                      <w:color w:val="000000"/>
                    </w:rPr>
                    <w:t xml:space="preserve"> 输出信号：4-20mA+RS485</w:t>
                  </w:r>
                  <w:r>
                    <w:br/>
                  </w:r>
                  <w:r>
                    <w:rPr>
                      <w:rFonts w:ascii="仿宋_GB2312" w:hAnsi="仿宋_GB2312" w:cs="仿宋_GB2312" w:eastAsia="仿宋_GB2312"/>
                      <w:sz w:val="21"/>
                      <w:color w:val="000000"/>
                    </w:rPr>
                    <w:t xml:space="preserve"> 表体材质：碳钢</w:t>
                  </w:r>
                  <w:r>
                    <w:br/>
                  </w:r>
                  <w:r>
                    <w:rPr>
                      <w:rFonts w:ascii="仿宋_GB2312" w:hAnsi="仿宋_GB2312" w:cs="仿宋_GB2312" w:eastAsia="仿宋_GB2312"/>
                      <w:sz w:val="21"/>
                      <w:color w:val="000000"/>
                    </w:rPr>
                    <w:t xml:space="preserve"> 衬里材质：聚四氟乙烯</w:t>
                  </w:r>
                  <w:r>
                    <w:br/>
                  </w:r>
                  <w:r>
                    <w:rPr>
                      <w:rFonts w:ascii="仿宋_GB2312" w:hAnsi="仿宋_GB2312" w:cs="仿宋_GB2312" w:eastAsia="仿宋_GB2312"/>
                      <w:sz w:val="21"/>
                      <w:color w:val="000000"/>
                    </w:rPr>
                    <w:t xml:space="preserve"> 电极材质：316L电极</w:t>
                  </w:r>
                  <w:r>
                    <w:br/>
                  </w:r>
                  <w:r>
                    <w:rPr>
                      <w:rFonts w:ascii="仿宋_GB2312" w:hAnsi="仿宋_GB2312" w:cs="仿宋_GB2312" w:eastAsia="仿宋_GB2312"/>
                      <w:sz w:val="21"/>
                      <w:color w:val="000000"/>
                    </w:rPr>
                    <w:t xml:space="preserve"> 耐压等级：1.6Mpa</w:t>
                  </w:r>
                  <w:r>
                    <w:br/>
                  </w:r>
                  <w:r>
                    <w:rPr>
                      <w:rFonts w:ascii="仿宋_GB2312" w:hAnsi="仿宋_GB2312" w:cs="仿宋_GB2312" w:eastAsia="仿宋_GB2312"/>
                      <w:sz w:val="21"/>
                      <w:color w:val="000000"/>
                    </w:rPr>
                    <w:t xml:space="preserve"> 介质温度：常温</w:t>
                  </w:r>
                  <w:r>
                    <w:br/>
                  </w:r>
                  <w:r>
                    <w:rPr>
                      <w:rFonts w:ascii="仿宋_GB2312" w:hAnsi="仿宋_GB2312" w:cs="仿宋_GB2312" w:eastAsia="仿宋_GB2312"/>
                      <w:sz w:val="21"/>
                      <w:color w:val="000000"/>
                    </w:rPr>
                    <w:t xml:space="preserve"> 防护等级：转化器IP65</w:t>
                  </w:r>
                  <w:r>
                    <w:br/>
                  </w:r>
                  <w:r>
                    <w:rPr>
                      <w:rFonts w:ascii="仿宋_GB2312" w:hAnsi="仿宋_GB2312" w:cs="仿宋_GB2312" w:eastAsia="仿宋_GB2312"/>
                      <w:sz w:val="21"/>
                      <w:color w:val="000000"/>
                    </w:rPr>
                    <w:t xml:space="preserve"> 传感器 IP68</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2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DN65(</w:t>
                  </w:r>
                  <w:r>
                    <w:rPr>
                      <w:rFonts w:ascii="仿宋_GB2312" w:hAnsi="仿宋_GB2312" w:cs="仿宋_GB2312" w:eastAsia="仿宋_GB2312"/>
                      <w:sz w:val="21"/>
                      <w:color w:val="000000"/>
                    </w:rPr>
                    <w:t>两台）</w:t>
                  </w:r>
                  <w:r>
                    <w:rPr>
                      <w:rFonts w:ascii="仿宋_GB2312" w:hAnsi="仿宋_GB2312" w:cs="仿宋_GB2312" w:eastAsia="仿宋_GB2312"/>
                      <w:sz w:val="21"/>
                      <w:color w:val="000000"/>
                    </w:rPr>
                    <w:t>DN100</w:t>
                  </w:r>
                  <w:r>
                    <w:rPr>
                      <w:rFonts w:ascii="仿宋_GB2312" w:hAnsi="仿宋_GB2312" w:cs="仿宋_GB2312" w:eastAsia="仿宋_GB2312"/>
                      <w:sz w:val="21"/>
                      <w:color w:val="000000"/>
                    </w:rPr>
                    <w:t>（三台）设备提供方需含：设备安装调试验收等。</w:t>
                  </w: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57"/>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 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管理制度和协调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供应商提供2022年至今（以合同签订日期为准）类似项目业绩，以合同复印件为准，每一份计0.5分，最多计2分。评审标准： 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