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版本号：YAZBTC2025-04020251208001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宜君县2024年度国土变更调查项目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YAZBTC2025-040</w:t>
      </w:r>
      <w:r>
        <w:br/>
      </w:r>
      <w:r>
        <w:br/>
      </w:r>
      <w:r>
        <w:br/>
      </w:r>
    </w:p>
    <w:p>
      <w:pPr>
        <w:pStyle w:val="null3"/>
        <w:jc w:val="center"/>
        <w:outlineLvl w:val="2"/>
      </w:pPr>
      <w:r>
        <w:rPr>
          <w:rFonts w:ascii="仿宋_GB2312" w:hAnsi="仿宋_GB2312" w:cs="仿宋_GB2312" w:eastAsia="仿宋_GB2312"/>
          <w:sz w:val="28"/>
          <w:b/>
        </w:rPr>
        <w:t>宜君县自然资源和林业局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宜君县自然资源和林业局</w:t>
      </w:r>
      <w:r>
        <w:rPr>
          <w:rFonts w:ascii="仿宋_GB2312" w:hAnsi="仿宋_GB2312" w:cs="仿宋_GB2312" w:eastAsia="仿宋_GB2312"/>
        </w:rPr>
        <w:t>委托，拟对</w:t>
      </w:r>
      <w:r>
        <w:rPr>
          <w:rFonts w:ascii="仿宋_GB2312" w:hAnsi="仿宋_GB2312" w:cs="仿宋_GB2312" w:eastAsia="仿宋_GB2312"/>
        </w:rPr>
        <w:t>宜君县2024年度国土变更调查项目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宜君县2024年度国土变更调查项目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通过开展国土利用动态全覆盖遥感监测提取地类变化信息，统筹利用现有资料，结合自然资源监测等各项监测监管、 森林草原湿地荒漠化普査及地类对接、日常变更及自然资源管理等成果，统一制作调査底图，开展实地调查举证，全面掌 握年度地类、面积、属性及相关单独图层信息的变化情况，更新县级国土利用数据库，形成年度全国国土变更调查成果。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采购包1（宜君县2024年度国土变更调查项目）：属于专门面向中小企业采购。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1、供应商是法人或其他组织的应提供营业执照等证明文件：供应商具有独立承担民事责任能力的法人、其他组织或自然人，并出具合法有效的营业执 照或事业单位法人证书等国家规定的相关证明， 自然人参与的提供其身份证明；</w:t>
      </w:r>
    </w:p>
    <w:p>
      <w:pPr>
        <w:pStyle w:val="null3"/>
      </w:pPr>
      <w:r>
        <w:rPr>
          <w:rFonts w:ascii="仿宋_GB2312" w:hAnsi="仿宋_GB2312" w:cs="仿宋_GB2312" w:eastAsia="仿宋_GB2312"/>
        </w:rPr>
        <w:t>2、财务状况报告：供应商提供具有财务审计资质单位出具的2024年度财务报告或投标前六个月内其基本账 户银行出具的资信证明或政府采购信用担保机构出具的投标担保函；</w:t>
      </w:r>
    </w:p>
    <w:p>
      <w:pPr>
        <w:pStyle w:val="null3"/>
      </w:pPr>
      <w:r>
        <w:rPr>
          <w:rFonts w:ascii="仿宋_GB2312" w:hAnsi="仿宋_GB2312" w:cs="仿宋_GB2312" w:eastAsia="仿宋_GB2312"/>
        </w:rPr>
        <w:t>3、税收交纳证明：供应商提供截止至投标时间前六个月内任意二个月的缴费凭据；（依法免税的供应商应提 供相关文件证明）；</w:t>
      </w:r>
    </w:p>
    <w:p>
      <w:pPr>
        <w:pStyle w:val="null3"/>
      </w:pPr>
      <w:r>
        <w:rPr>
          <w:rFonts w:ascii="仿宋_GB2312" w:hAnsi="仿宋_GB2312" w:cs="仿宋_GB2312" w:eastAsia="仿宋_GB2312"/>
        </w:rPr>
        <w:t>4、社会保障资金交纳证 明：供应商提供截止至投标时间前六个月内任意二个月的社保缴费凭据或社保机构开具的社会 保险参保缴费情况证明；（依法不需要交纳社会保障资金的供应商应提供相关证明）；</w:t>
      </w:r>
    </w:p>
    <w:p>
      <w:pPr>
        <w:pStyle w:val="null3"/>
      </w:pPr>
      <w:r>
        <w:rPr>
          <w:rFonts w:ascii="仿宋_GB2312" w:hAnsi="仿宋_GB2312" w:cs="仿宋_GB2312" w:eastAsia="仿宋_GB2312"/>
        </w:rPr>
        <w:t>5、承诺、说明及书面声 明：1、提供具有履行本合同所必需的设备和专业技术能力的说明及承诺； 2、提供参加政府 采购活动前三年内在经营活动中没有重大违法记录的书面声明；</w:t>
      </w:r>
    </w:p>
    <w:p>
      <w:pPr>
        <w:pStyle w:val="null3"/>
      </w:pPr>
      <w:r>
        <w:rPr>
          <w:rFonts w:ascii="仿宋_GB2312" w:hAnsi="仿宋_GB2312" w:cs="仿宋_GB2312" w:eastAsia="仿宋_GB2312"/>
        </w:rPr>
        <w:t>6、法定代表人授权书/ 法定代表人身份证明：法定代表人参与投标时需提供法定代表人身份证复印件；被授权人参与投标时需提供法定 代表人授权委托书；</w:t>
      </w:r>
    </w:p>
    <w:p>
      <w:pPr>
        <w:pStyle w:val="null3"/>
      </w:pPr>
      <w:r>
        <w:rPr>
          <w:rFonts w:ascii="仿宋_GB2312" w:hAnsi="仿宋_GB2312" w:cs="仿宋_GB2312" w:eastAsia="仿宋_GB2312"/>
        </w:rPr>
        <w:t>7、资质：供应商须具备行政主管部门颁发的测绘乙级及以上资质证书；</w:t>
      </w:r>
    </w:p>
    <w:p>
      <w:pPr>
        <w:pStyle w:val="null3"/>
      </w:pPr>
      <w:r>
        <w:rPr>
          <w:rFonts w:ascii="仿宋_GB2312" w:hAnsi="仿宋_GB2312" w:cs="仿宋_GB2312" w:eastAsia="仿宋_GB2312"/>
        </w:rPr>
        <w:t>8、信用查询：供应商不得为“信用中国(www.creditchina.go v.cn)” 中列入失信被执行人名单的供应 商 ，不得为“中国政府采购网(www.ccgp.gov.cn)”政府采购严重违法失信行为记录名单 中 被财政部门禁止参加政府采购活动的供应商；</w:t>
      </w:r>
    </w:p>
    <w:p>
      <w:pPr>
        <w:pStyle w:val="null3"/>
      </w:pPr>
      <w:r>
        <w:rPr>
          <w:rFonts w:ascii="仿宋_GB2312" w:hAnsi="仿宋_GB2312" w:cs="仿宋_GB2312" w:eastAsia="仿宋_GB2312"/>
        </w:rPr>
        <w:t>9、非联合体投标：本项目不接受联合体投标（提供书面声明材料）；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宜君县自然资源和林业局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宜君县人社大楼七楼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宜君县自然资源和林业局经办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18992901615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祁长伟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13389193287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宜君县自然资源和林业局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宜君县自然资源和林业局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宜君县自然资源和林业局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联系人：祁常伟</w:t>
      </w:r>
    </w:p>
    <w:p>
      <w:pPr>
        <w:pStyle w:val="null3"/>
      </w:pPr>
      <w:r>
        <w:rPr>
          <w:rFonts w:ascii="仿宋_GB2312" w:hAnsi="仿宋_GB2312" w:cs="仿宋_GB2312" w:eastAsia="仿宋_GB2312"/>
        </w:rPr>
        <w:t>联系电话：13389193287</w:t>
      </w:r>
    </w:p>
    <w:p>
      <w:pPr>
        <w:pStyle w:val="null3"/>
      </w:pPr>
      <w:r>
        <w:rPr>
          <w:rFonts w:ascii="仿宋_GB2312" w:hAnsi="仿宋_GB2312" w:cs="仿宋_GB2312" w:eastAsia="仿宋_GB2312"/>
        </w:rPr>
        <w:t>地址：陕西省西安市新城区陕西省西安市新城区石家街127号东岸国际17层1702室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国土利用动态全覆盖遥感监测提取地类变化信息，统筹利用现有资料，结合自然资源监测等各项监测监管、森林草原湿地荒漠化普査及地类对接、日常变更及自然资源管理等成果，统一制作调査底图，开展实地调查举证，全面掌握年度地类、面积、属性及相关单独图层信息的变化情况，更新县级国土利用数据库，形成年度全国国土变更调查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宜君县2024年度国土变更调查项目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标的名称：宜君县2024年度国土变更调查项目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10"/>
              <w:jc w:val="center"/>
            </w:pPr>
            <w:r>
              <w:rPr>
                <w:rFonts w:ascii="仿宋_GB2312" w:hAnsi="仿宋_GB2312" w:cs="仿宋_GB2312" w:eastAsia="仿宋_GB2312"/>
                <w:sz w:val="40"/>
                <w:b/>
              </w:rPr>
              <w:t>宜君县</w:t>
            </w:r>
            <w:r>
              <w:rPr>
                <w:rFonts w:ascii="仿宋_GB2312" w:hAnsi="仿宋_GB2312" w:cs="仿宋_GB2312" w:eastAsia="仿宋_GB2312"/>
                <w:sz w:val="40"/>
                <w:b/>
              </w:rPr>
              <w:t>2024年度国土变更调查项目</w:t>
            </w:r>
          </w:p>
          <w:p>
            <w:pPr>
              <w:pStyle w:val="null3"/>
              <w:ind w:firstLine="610"/>
              <w:jc w:val="center"/>
            </w:pPr>
            <w:r>
              <w:rPr>
                <w:rFonts w:ascii="仿宋_GB2312" w:hAnsi="仿宋_GB2312" w:cs="仿宋_GB2312" w:eastAsia="仿宋_GB2312"/>
                <w:sz w:val="40"/>
                <w:b/>
              </w:rPr>
              <w:t>采购需求</w:t>
            </w:r>
          </w:p>
          <w:p>
            <w:pPr>
              <w:pStyle w:val="null3"/>
              <w:ind w:firstLine="610"/>
              <w:jc w:val="both"/>
            </w:pPr>
            <w:r>
              <w:rPr>
                <w:rFonts w:ascii="仿宋_GB2312" w:hAnsi="仿宋_GB2312" w:cs="仿宋_GB2312" w:eastAsia="仿宋_GB2312"/>
                <w:sz w:val="28"/>
                <w:b/>
                <w:color w:val="000000"/>
              </w:rPr>
              <w:t>一、项目背景</w:t>
            </w:r>
          </w:p>
          <w:p>
            <w:pPr>
              <w:pStyle w:val="null3"/>
              <w:ind w:firstLine="610"/>
              <w:jc w:val="both"/>
            </w:pPr>
            <w:r>
              <w:rPr>
                <w:rFonts w:ascii="仿宋_GB2312" w:hAnsi="仿宋_GB2312" w:cs="仿宋_GB2312" w:eastAsia="仿宋_GB2312"/>
                <w:sz w:val="28"/>
                <w:color w:val="000000"/>
              </w:rPr>
              <w:t>依据《自然资源部办公厅关于开展</w:t>
            </w:r>
            <w:r>
              <w:rPr>
                <w:rFonts w:ascii="仿宋_GB2312" w:hAnsi="仿宋_GB2312" w:cs="仿宋_GB2312" w:eastAsia="仿宋_GB2312"/>
                <w:sz w:val="28"/>
                <w:color w:val="000000"/>
              </w:rPr>
              <w:t>2024年度全国国土变更调査工作的通知》</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陕西省自然资源厅《关于做好</w:t>
            </w:r>
            <w:r>
              <w:rPr>
                <w:rFonts w:ascii="仿宋_GB2312" w:hAnsi="仿宋_GB2312" w:cs="仿宋_GB2312" w:eastAsia="仿宋_GB2312"/>
                <w:sz w:val="28"/>
                <w:color w:val="000000"/>
              </w:rPr>
              <w:t>2024年度国土变更调查工作的通知》要求，在2023年度国土变更调查成果基础上综合利用2024年部、省各类调査监测成果以及各类自然资源管理信息，通过实地调査、逐级核査，掌握2024年度国土利用变化情况，更新国土调査数据库，并做好2024年度耕地资源分区分类评价成果年度更新工作。同时，根据自然资源管理及相关工作需要，进</w:t>
            </w:r>
            <w:r>
              <w:rPr>
                <w:rFonts w:ascii="仿宋_GB2312" w:hAnsi="仿宋_GB2312" w:cs="仿宋_GB2312" w:eastAsia="仿宋_GB2312"/>
                <w:sz w:val="28"/>
                <w:color w:val="000000"/>
              </w:rPr>
              <w:t>一</w:t>
            </w:r>
            <w:r>
              <w:rPr>
                <w:rFonts w:ascii="仿宋_GB2312" w:hAnsi="仿宋_GB2312" w:cs="仿宋_GB2312" w:eastAsia="仿宋_GB2312"/>
                <w:sz w:val="28"/>
                <w:color w:val="000000"/>
              </w:rPr>
              <w:t>步加强日常国土变更调查工作。</w:t>
            </w:r>
          </w:p>
          <w:p>
            <w:pPr>
              <w:pStyle w:val="null3"/>
              <w:ind w:firstLine="610"/>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、项目概况</w:t>
            </w:r>
          </w:p>
          <w:p>
            <w:pPr>
              <w:pStyle w:val="null3"/>
              <w:ind w:firstLine="610"/>
              <w:jc w:val="both"/>
            </w:pPr>
            <w:r>
              <w:rPr>
                <w:rFonts w:ascii="仿宋_GB2312" w:hAnsi="仿宋_GB2312" w:cs="仿宋_GB2312" w:eastAsia="仿宋_GB2312"/>
                <w:sz w:val="28"/>
                <w:color w:val="000000"/>
              </w:rPr>
              <w:t>2024年度全国国土变更调查工作，以2024年12月31日为标准时点，通过开展国土利用动态全覆盖遥感监测提取地类变化信息，统筹利用现有资料，结合自然资源监测等各项监测监管、森林草原湿地荒漠化普査及地类对接、日常变更及自然资源管理等成果，统一制作调査底图，开展实地调查举证，全面掌握年度地类、面积、属性及相关单独图层信息的变化情况，更新县级国土利用数据库，形成年度全国国土变更调查成果。</w:t>
            </w:r>
          </w:p>
          <w:p>
            <w:pPr>
              <w:pStyle w:val="null3"/>
              <w:ind w:firstLine="610"/>
              <w:jc w:val="both"/>
            </w:pPr>
            <w:r>
              <w:rPr>
                <w:rFonts w:ascii="仿宋_GB2312" w:hAnsi="仿宋_GB2312" w:cs="仿宋_GB2312" w:eastAsia="仿宋_GB2312"/>
                <w:sz w:val="28"/>
                <w:color w:val="000000"/>
              </w:rPr>
              <w:t>在上年度变更调查成果基础上，结合本年度各类监测监管成果，开展全覆盖遥感监测工作，通过县级实地调查、逐级核查，掌握本年度宜君县国土利用变化情况，更新宜君县国土调查数据库，并做好耕地资源分区分类评价成果年度更新与监测工作。</w:t>
            </w:r>
          </w:p>
          <w:p>
            <w:pPr>
              <w:pStyle w:val="null3"/>
              <w:ind w:firstLine="610"/>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、工作依据</w:t>
            </w:r>
          </w:p>
          <w:p>
            <w:pPr>
              <w:pStyle w:val="null3"/>
              <w:ind w:firstLine="61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自然资源部办公厅《关于开展</w:t>
            </w:r>
            <w:r>
              <w:rPr>
                <w:rFonts w:ascii="仿宋_GB2312" w:hAnsi="仿宋_GB2312" w:cs="仿宋_GB2312" w:eastAsia="仿宋_GB2312"/>
                <w:sz w:val="28"/>
                <w:color w:val="000000"/>
              </w:rPr>
              <w:t>2024年度全国国土变更调查工作的通知》(自然资办发〔2024〕44号)；</w:t>
            </w:r>
            <w:r>
              <w:br/>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w:t>
            </w:r>
            <w:r>
              <w:rPr>
                <w:rFonts w:ascii="仿宋_GB2312" w:hAnsi="仿宋_GB2312" w:cs="仿宋_GB2312" w:eastAsia="仿宋_GB2312"/>
                <w:sz w:val="28"/>
                <w:color w:val="000000"/>
              </w:rPr>
              <w:t>陕西省自然资源厅《关于做好</w:t>
            </w:r>
            <w:r>
              <w:rPr>
                <w:rFonts w:ascii="仿宋_GB2312" w:hAnsi="仿宋_GB2312" w:cs="仿宋_GB2312" w:eastAsia="仿宋_GB2312"/>
                <w:sz w:val="28"/>
                <w:color w:val="000000"/>
              </w:rPr>
              <w:t>2024年度国土变更调查工作的通知》（陕自然资发〔2024〕1502号）；</w:t>
            </w:r>
          </w:p>
          <w:p>
            <w:pPr>
              <w:pStyle w:val="null3"/>
              <w:ind w:firstLine="61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《第三次全国国土调查技术规程》（</w:t>
            </w:r>
            <w:r>
              <w:rPr>
                <w:rFonts w:ascii="仿宋_GB2312" w:hAnsi="仿宋_GB2312" w:cs="仿宋_GB2312" w:eastAsia="仿宋_GB2312"/>
                <w:sz w:val="28"/>
                <w:color w:val="000000"/>
              </w:rPr>
              <w:t>TD/T 1055-2019）</w:t>
            </w:r>
          </w:p>
          <w:p>
            <w:pPr>
              <w:pStyle w:val="null3"/>
              <w:ind w:firstLine="610"/>
              <w:jc w:val="both"/>
            </w:pPr>
            <w:r>
              <w:rPr>
                <w:rFonts w:ascii="仿宋_GB2312" w:hAnsi="仿宋_GB2312" w:cs="仿宋_GB2312" w:eastAsia="仿宋_GB2312"/>
                <w:sz w:val="28"/>
                <w:color w:val="000000"/>
              </w:rPr>
              <w:t>4.《中华人民共和国土地管理法》；</w:t>
            </w:r>
          </w:p>
          <w:p>
            <w:pPr>
              <w:pStyle w:val="null3"/>
              <w:ind w:firstLine="610"/>
              <w:jc w:val="both"/>
            </w:pPr>
            <w:r>
              <w:rPr>
                <w:rFonts w:ascii="仿宋_GB2312" w:hAnsi="仿宋_GB2312" w:cs="仿宋_GB2312" w:eastAsia="仿宋_GB2312"/>
                <w:sz w:val="28"/>
                <w:color w:val="000000"/>
              </w:rPr>
              <w:t>5.《土地调查条例实施办法》；</w:t>
            </w:r>
          </w:p>
          <w:p>
            <w:pPr>
              <w:pStyle w:val="null3"/>
              <w:ind w:firstLine="610"/>
              <w:jc w:val="both"/>
            </w:pPr>
            <w:r>
              <w:rPr>
                <w:rFonts w:ascii="仿宋_GB2312" w:hAnsi="仿宋_GB2312" w:cs="仿宋_GB2312" w:eastAsia="仿宋_GB2312"/>
                <w:sz w:val="28"/>
                <w:color w:val="000000"/>
              </w:rPr>
              <w:t>6.《土地调查条例》</w:t>
            </w:r>
            <w:r>
              <w:rPr>
                <w:rFonts w:ascii="仿宋_GB2312" w:hAnsi="仿宋_GB2312" w:cs="仿宋_GB2312" w:eastAsia="仿宋_GB2312"/>
                <w:sz w:val="28"/>
                <w:color w:val="000000"/>
              </w:rPr>
              <w:t>；</w:t>
            </w:r>
          </w:p>
          <w:p>
            <w:pPr>
              <w:pStyle w:val="null3"/>
              <w:ind w:firstLine="61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《国土变更调查技术规程》</w:t>
            </w:r>
            <w:r>
              <w:rPr>
                <w:rFonts w:ascii="仿宋_GB2312" w:hAnsi="仿宋_GB2312" w:cs="仿宋_GB2312" w:eastAsia="仿宋_GB2312"/>
                <w:sz w:val="28"/>
                <w:color w:val="000000"/>
              </w:rPr>
              <w:t>（</w:t>
            </w:r>
            <w:r>
              <w:rPr>
                <w:rFonts w:ascii="仿宋_GB2312" w:hAnsi="仿宋_GB2312" w:cs="仿宋_GB2312" w:eastAsia="仿宋_GB2312"/>
                <w:sz w:val="28"/>
                <w:color w:val="000000"/>
              </w:rPr>
              <w:t>2024年度适用</w:t>
            </w:r>
            <w:r>
              <w:rPr>
                <w:rFonts w:ascii="仿宋_GB2312" w:hAnsi="仿宋_GB2312" w:cs="仿宋_GB2312" w:eastAsia="仿宋_GB2312"/>
                <w:sz w:val="28"/>
                <w:color w:val="000000"/>
              </w:rPr>
              <w:t>）</w:t>
            </w:r>
          </w:p>
          <w:p>
            <w:pPr>
              <w:pStyle w:val="null3"/>
              <w:ind w:firstLine="61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如有国家、省、市关于本项目最新的标准，按最新的标准执行</w:t>
            </w:r>
            <w:r>
              <w:rPr>
                <w:rFonts w:ascii="仿宋_GB2312" w:hAnsi="仿宋_GB2312" w:cs="仿宋_GB2312" w:eastAsia="仿宋_GB2312"/>
                <w:sz w:val="28"/>
                <w:color w:val="000000"/>
              </w:rPr>
              <w:t>。</w:t>
            </w:r>
          </w:p>
          <w:p>
            <w:pPr>
              <w:pStyle w:val="null3"/>
              <w:ind w:firstLine="610"/>
              <w:jc w:val="both"/>
            </w:pPr>
            <w:r>
              <w:rPr>
                <w:rFonts w:ascii="仿宋_GB2312" w:hAnsi="仿宋_GB2312" w:cs="仿宋_GB2312" w:eastAsia="仿宋_GB2312"/>
                <w:sz w:val="28"/>
                <w:b/>
                <w:color w:val="000000"/>
              </w:rPr>
              <w:t>四、服务内容及要求</w:t>
            </w:r>
          </w:p>
          <w:p>
            <w:pPr>
              <w:pStyle w:val="null3"/>
              <w:ind w:firstLine="610"/>
              <w:jc w:val="both"/>
            </w:pPr>
            <w:r>
              <w:rPr>
                <w:rFonts w:ascii="仿宋_GB2312" w:hAnsi="仿宋_GB2312" w:cs="仿宋_GB2312" w:eastAsia="仿宋_GB2312"/>
                <w:sz w:val="28"/>
                <w:color w:val="000000"/>
              </w:rPr>
              <w:t>（一）制作工作底图</w:t>
            </w:r>
          </w:p>
          <w:p>
            <w:pPr>
              <w:pStyle w:val="null3"/>
              <w:ind w:firstLine="610"/>
              <w:jc w:val="both"/>
            </w:pPr>
            <w:r>
              <w:rPr>
                <w:rFonts w:ascii="仿宋_GB2312" w:hAnsi="仿宋_GB2312" w:cs="仿宋_GB2312" w:eastAsia="仿宋_GB2312"/>
                <w:sz w:val="28"/>
                <w:color w:val="000000"/>
              </w:rPr>
              <w:t>以</w:t>
            </w:r>
            <w:r>
              <w:rPr>
                <w:rFonts w:ascii="仿宋_GB2312" w:hAnsi="仿宋_GB2312" w:cs="仿宋_GB2312" w:eastAsia="仿宋_GB2312"/>
                <w:sz w:val="28"/>
                <w:color w:val="000000"/>
              </w:rPr>
              <w:t>2024年12月31日为标准时点，以部下发的年度全覆盖遥感监测成果为基础，结合省级及以下各项监测监管工作中自行发现的各类国土利用变化信息，以及各类自然资源管理信息等，制作年度变更调查外业调查工作底图。</w:t>
            </w:r>
          </w:p>
          <w:p>
            <w:pPr>
              <w:pStyle w:val="null3"/>
              <w:ind w:firstLine="610"/>
              <w:jc w:val="both"/>
            </w:pPr>
            <w:r>
              <w:rPr>
                <w:rFonts w:ascii="仿宋_GB2312" w:hAnsi="仿宋_GB2312" w:cs="仿宋_GB2312" w:eastAsia="仿宋_GB2312"/>
                <w:sz w:val="28"/>
                <w:color w:val="000000"/>
              </w:rPr>
              <w:t>（二）调查举证</w:t>
            </w:r>
          </w:p>
          <w:p>
            <w:pPr>
              <w:pStyle w:val="null3"/>
              <w:ind w:firstLine="610"/>
              <w:jc w:val="both"/>
            </w:pPr>
            <w:r>
              <w:rPr>
                <w:rFonts w:ascii="仿宋_GB2312" w:hAnsi="仿宋_GB2312" w:cs="仿宋_GB2312" w:eastAsia="仿宋_GB2312"/>
                <w:sz w:val="28"/>
                <w:color w:val="000000"/>
              </w:rPr>
              <w:t>以实地现状认定地类为原则，查清工作底图上每一块变化图斑的地类、面积、属性、权属等实际情况；对需要举证的图斑，逐一实地拍照举证，通过</w:t>
            </w:r>
            <w:r>
              <w:rPr>
                <w:rFonts w:ascii="仿宋_GB2312" w:hAnsi="仿宋_GB2312" w:cs="仿宋_GB2312" w:eastAsia="仿宋_GB2312"/>
                <w:sz w:val="28"/>
                <w:color w:val="000000"/>
              </w:rPr>
              <w:t>“国土调查云”平台及时在线提交。对于日常变更地类与年度最新遥感影像特征一致的，或者年度最新遥感影像特征无法明显否认日常变更地类并提供相应说明的，可直接按照年度变更调查要求生成增量数据，无需重复实地举证；不一致或未提供说明的，需再次实地调查举证。</w:t>
            </w:r>
          </w:p>
          <w:p>
            <w:pPr>
              <w:pStyle w:val="null3"/>
              <w:ind w:firstLine="610"/>
              <w:jc w:val="both"/>
            </w:pPr>
            <w:r>
              <w:rPr>
                <w:rFonts w:ascii="仿宋_GB2312" w:hAnsi="仿宋_GB2312" w:cs="仿宋_GB2312" w:eastAsia="仿宋_GB2312"/>
                <w:sz w:val="28"/>
                <w:color w:val="000000"/>
              </w:rPr>
              <w:t>（三）更新数据库</w:t>
            </w:r>
          </w:p>
          <w:p>
            <w:pPr>
              <w:pStyle w:val="null3"/>
              <w:ind w:firstLine="610"/>
              <w:jc w:val="both"/>
            </w:pPr>
            <w:r>
              <w:rPr>
                <w:rFonts w:ascii="仿宋_GB2312" w:hAnsi="仿宋_GB2312" w:cs="仿宋_GB2312" w:eastAsia="仿宋_GB2312"/>
                <w:sz w:val="28"/>
                <w:color w:val="000000"/>
              </w:rPr>
              <w:t>在上年度变更调查成果基础上，对涉及地类属性及相关图层变更的，按照数据库更新技术要求，形成年度变更调查更新数据包。</w:t>
            </w:r>
          </w:p>
          <w:p>
            <w:pPr>
              <w:pStyle w:val="null3"/>
              <w:ind w:firstLine="610"/>
              <w:jc w:val="both"/>
            </w:pPr>
            <w:r>
              <w:rPr>
                <w:rFonts w:ascii="仿宋_GB2312" w:hAnsi="仿宋_GB2312" w:cs="仿宋_GB2312" w:eastAsia="仿宋_GB2312"/>
                <w:sz w:val="28"/>
                <w:color w:val="000000"/>
              </w:rPr>
              <w:t>（四）耕地资源分区分类评价更新</w:t>
            </w:r>
          </w:p>
          <w:p>
            <w:pPr>
              <w:pStyle w:val="null3"/>
              <w:ind w:firstLine="610"/>
              <w:jc w:val="both"/>
            </w:pPr>
            <w:r>
              <w:rPr>
                <w:rFonts w:ascii="仿宋_GB2312" w:hAnsi="仿宋_GB2312" w:cs="仿宋_GB2312" w:eastAsia="仿宋_GB2312"/>
                <w:sz w:val="28"/>
                <w:color w:val="000000"/>
              </w:rPr>
              <w:t>“耕地资源分区分类评价”工作内容与指标体系仍按《第三次全国国土调查耕地资源质量分类工作方案》（国土调查办发〔2020〕13号）执行，在上年度耕地资源质量分类成果及本年度变更调查成果基础上，结合年度土地综合整治、高标准农田建设等项目竣工验收资料，开展宜君县耕地资源分区分类评价更新，更新入库与汇总分析等工作，全面掌握宜君县年度内耕地资源分区分类变化情况。</w:t>
            </w:r>
          </w:p>
          <w:p>
            <w:pPr>
              <w:pStyle w:val="null3"/>
              <w:ind w:firstLine="610"/>
              <w:jc w:val="both"/>
            </w:pPr>
            <w:r>
              <w:rPr>
                <w:rFonts w:ascii="仿宋_GB2312" w:hAnsi="仿宋_GB2312" w:cs="仿宋_GB2312" w:eastAsia="仿宋_GB2312"/>
                <w:sz w:val="28"/>
                <w:color w:val="000000"/>
              </w:rPr>
              <w:t>（五）日常变更</w:t>
            </w:r>
          </w:p>
          <w:p>
            <w:pPr>
              <w:pStyle w:val="null3"/>
              <w:ind w:firstLine="610"/>
              <w:jc w:val="both"/>
            </w:pPr>
            <w:r>
              <w:rPr>
                <w:rFonts w:ascii="仿宋_GB2312" w:hAnsi="仿宋_GB2312" w:cs="仿宋_GB2312" w:eastAsia="仿宋_GB2312"/>
                <w:sz w:val="28"/>
                <w:color w:val="000000"/>
              </w:rPr>
              <w:t>根据国土调查监测、耕地保护、督察执法、用途管制、生态修复等工作需要，适时开展日常变更、结果核实与报送工作，经地市级、省级全面核查通过后报部。</w:t>
            </w:r>
          </w:p>
          <w:p>
            <w:pPr>
              <w:pStyle w:val="null3"/>
              <w:ind w:firstLine="610"/>
              <w:jc w:val="both"/>
            </w:pPr>
            <w:r>
              <w:rPr>
                <w:rFonts w:ascii="仿宋_GB2312" w:hAnsi="仿宋_GB2312" w:cs="仿宋_GB2312" w:eastAsia="仿宋_GB2312"/>
                <w:sz w:val="28"/>
                <w:b/>
                <w:color w:val="000000"/>
              </w:rPr>
              <w:t>五、提交主要成果</w:t>
            </w:r>
          </w:p>
          <w:p>
            <w:pPr>
              <w:pStyle w:val="null3"/>
              <w:ind w:firstLine="610"/>
              <w:jc w:val="both"/>
            </w:pPr>
            <w:r>
              <w:rPr>
                <w:rFonts w:ascii="仿宋_GB2312" w:hAnsi="仿宋_GB2312" w:cs="仿宋_GB2312" w:eastAsia="仿宋_GB2312"/>
                <w:sz w:val="28"/>
                <w:color w:val="000000"/>
              </w:rPr>
              <w:t>1、外业调查成果</w:t>
            </w:r>
          </w:p>
          <w:p>
            <w:pPr>
              <w:pStyle w:val="null3"/>
              <w:ind w:firstLine="610"/>
              <w:jc w:val="both"/>
            </w:pPr>
            <w:r>
              <w:rPr>
                <w:rFonts w:ascii="仿宋_GB2312" w:hAnsi="仿宋_GB2312" w:cs="仿宋_GB2312" w:eastAsia="仿宋_GB2312"/>
                <w:sz w:val="28"/>
                <w:color w:val="000000"/>
              </w:rPr>
              <w:t>图斑外业举证数据包</w:t>
            </w:r>
            <w:r>
              <w:rPr>
                <w:rFonts w:ascii="仿宋_GB2312" w:hAnsi="仿宋_GB2312" w:cs="仿宋_GB2312" w:eastAsia="仿宋_GB2312"/>
                <w:sz w:val="28"/>
                <w:color w:val="000000"/>
              </w:rPr>
              <w:t>(DB格式)、举证图斑信息表(MDB格式)</w:t>
            </w:r>
          </w:p>
          <w:p>
            <w:pPr>
              <w:pStyle w:val="null3"/>
              <w:ind w:firstLine="610"/>
              <w:jc w:val="both"/>
            </w:pPr>
            <w:r>
              <w:rPr>
                <w:rFonts w:ascii="仿宋_GB2312" w:hAnsi="仿宋_GB2312" w:cs="仿宋_GB2312" w:eastAsia="仿宋_GB2312"/>
                <w:sz w:val="28"/>
                <w:color w:val="000000"/>
              </w:rPr>
              <w:t>2、数据库成果</w:t>
            </w:r>
          </w:p>
          <w:p>
            <w:pPr>
              <w:pStyle w:val="null3"/>
              <w:ind w:firstLine="610"/>
              <w:jc w:val="both"/>
            </w:pPr>
            <w:r>
              <w:rPr>
                <w:rFonts w:ascii="仿宋_GB2312" w:hAnsi="仿宋_GB2312" w:cs="仿宋_GB2312" w:eastAsia="仿宋_GB2312"/>
                <w:sz w:val="28"/>
                <w:color w:val="000000"/>
              </w:rPr>
              <w:t>包括更新后的县级数据库、</w:t>
            </w:r>
            <w:r>
              <w:rPr>
                <w:rFonts w:ascii="仿宋_GB2312" w:hAnsi="仿宋_GB2312" w:cs="仿宋_GB2312" w:eastAsia="仿宋_GB2312"/>
                <w:sz w:val="28"/>
                <w:color w:val="000000"/>
              </w:rPr>
              <w:t>“变更调查”增量包(含增量信息与统计报表，由数据库质检软件打包生成)、耕地资源分区分类评价更新成果</w:t>
            </w:r>
            <w:r>
              <w:rPr>
                <w:rFonts w:ascii="仿宋_GB2312" w:hAnsi="仿宋_GB2312" w:cs="仿宋_GB2312" w:eastAsia="仿宋_GB2312"/>
                <w:sz w:val="28"/>
                <w:color w:val="000000"/>
              </w:rPr>
              <w:t>。</w:t>
            </w:r>
          </w:p>
          <w:p>
            <w:pPr>
              <w:pStyle w:val="null3"/>
              <w:ind w:firstLine="610"/>
              <w:jc w:val="both"/>
            </w:pPr>
            <w:r>
              <w:rPr>
                <w:rFonts w:ascii="仿宋_GB2312" w:hAnsi="仿宋_GB2312" w:cs="仿宋_GB2312" w:eastAsia="仿宋_GB2312"/>
                <w:sz w:val="28"/>
                <w:color w:val="000000"/>
              </w:rPr>
              <w:t>3、各类报表</w:t>
            </w:r>
          </w:p>
          <w:p>
            <w:pPr>
              <w:pStyle w:val="null3"/>
              <w:ind w:firstLine="610"/>
              <w:jc w:val="both"/>
            </w:pPr>
            <w:r>
              <w:rPr>
                <w:rFonts w:ascii="仿宋_GB2312" w:hAnsi="仿宋_GB2312" w:cs="仿宋_GB2312" w:eastAsia="仿宋_GB2312"/>
                <w:sz w:val="28"/>
                <w:color w:val="000000"/>
              </w:rPr>
              <w:t>包括遥感监测图斑信息核实记录表、各级核查错误图斑列表</w:t>
            </w:r>
            <w:r>
              <w:rPr>
                <w:rFonts w:ascii="仿宋_GB2312" w:hAnsi="仿宋_GB2312" w:cs="仿宋_GB2312" w:eastAsia="仿宋_GB2312"/>
                <w:sz w:val="28"/>
                <w:color w:val="000000"/>
              </w:rPr>
              <w:t>(MDB格、各类统计汇总表等。</w:t>
            </w:r>
          </w:p>
          <w:p>
            <w:pPr>
              <w:pStyle w:val="null3"/>
              <w:ind w:firstLine="610"/>
              <w:jc w:val="both"/>
            </w:pPr>
            <w:r>
              <w:rPr>
                <w:rFonts w:ascii="仿宋_GB2312" w:hAnsi="仿宋_GB2312" w:cs="仿宋_GB2312" w:eastAsia="仿宋_GB2312"/>
                <w:sz w:val="28"/>
                <w:color w:val="000000"/>
              </w:rPr>
              <w:t>4、文字成果</w:t>
            </w:r>
          </w:p>
          <w:p>
            <w:pPr>
              <w:pStyle w:val="null3"/>
              <w:ind w:firstLine="610"/>
              <w:jc w:val="both"/>
            </w:pPr>
            <w:r>
              <w:rPr>
                <w:rFonts w:ascii="仿宋_GB2312" w:hAnsi="仿宋_GB2312" w:cs="仿宋_GB2312" w:eastAsia="仿宋_GB2312"/>
                <w:sz w:val="28"/>
                <w:color w:val="000000"/>
              </w:rPr>
              <w:t>土地利用变化情况分析报告等</w:t>
            </w:r>
            <w:r>
              <w:rPr>
                <w:rFonts w:ascii="仿宋_GB2312" w:hAnsi="仿宋_GB2312" w:cs="仿宋_GB2312" w:eastAsia="仿宋_GB2312"/>
                <w:sz w:val="28"/>
                <w:color w:val="000000"/>
              </w:rPr>
              <w:t>。</w:t>
            </w:r>
          </w:p>
          <w:p>
            <w:pPr>
              <w:pStyle w:val="null3"/>
              <w:ind w:firstLine="610"/>
              <w:jc w:val="both"/>
            </w:pP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服务期限</w:t>
            </w:r>
          </w:p>
          <w:p>
            <w:pPr>
              <w:pStyle w:val="null3"/>
            </w:pPr>
            <w:r>
              <w:rPr>
                <w:rFonts w:ascii="仿宋_GB2312" w:hAnsi="仿宋_GB2312" w:cs="仿宋_GB2312" w:eastAsia="仿宋_GB2312"/>
                <w:sz w:val="28"/>
                <w:color w:val="000000"/>
              </w:rPr>
              <w:t>合同签订后</w:t>
            </w:r>
            <w:r>
              <w:rPr>
                <w:rFonts w:ascii="仿宋_GB2312" w:hAnsi="仿宋_GB2312" w:cs="仿宋_GB2312" w:eastAsia="仿宋_GB2312"/>
                <w:sz w:val="28"/>
                <w:color w:val="000000"/>
              </w:rPr>
              <w:t>90天完成项目所有内容。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供应商根据文件要求，要有能保证合同正常履行所需的从业人员。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供应商根据文件要求自主配备，要有能保证合同正常履行所需的设备。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详见本章第3.2.2条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合同签订后90天完成项目所有内容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成果文件提交验收合格后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（1）服务期：合同签订后90天完成项目所有内容；（2）服务地点：采购人指定地点。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 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供应商提供具有财务审计资质单位出具的2024年度财务报告或投标前六个月内其基本账 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供应商提供截止至投标时间前六个月内任意二个月的缴费凭据；（依法免税的供应商应提 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 明</w:t>
            </w:r>
          </w:p>
        </w:tc>
        <w:tc>
          <w:tcPr>
            <w:tcW w:type="dxa" w:w="3322"/>
          </w:tcPr>
          <w:p>
            <w:pPr>
              <w:pStyle w:val="null3"/>
            </w:pPr>
            <w:r>
              <w:rPr>
                <w:rFonts w:ascii="仿宋_GB2312" w:hAnsi="仿宋_GB2312" w:cs="仿宋_GB2312" w:eastAsia="仿宋_GB2312"/>
              </w:rPr>
              <w:t>供应商提供截止至投标时间前六个月内任意二个月的社保缴费凭据或社保机构开具的社会 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 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 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法定代表人参与投标时需提供法定代表人身份证复印件；被授权人参与投标时需提供法定 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供应商须具备行政主管部门颁发的测绘乙级及以上资质证书；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 v.cn)” 中列入失信被执行人名单的供应 商 ，不得为“中国政府采购网(www.ccgp.gov.cn)”政府采购严重违法失信行为记录名单 中 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 签字、盖章的应签字盖章齐全。</w:t>
            </w:r>
          </w:p>
        </w:tc>
        <w:tc>
          <w:tcPr>
            <w:tcW w:type="dxa" w:w="1661"/>
          </w:tcPr>
          <w:p>
            <w:pPr>
              <w:pStyle w:val="null3"/>
            </w:pPr>
            <w:r>
              <w:rPr>
                <w:rFonts w:ascii="仿宋_GB2312" w:hAnsi="仿宋_GB2312" w:cs="仿宋_GB2312" w:eastAsia="仿宋_GB2312"/>
              </w:rPr>
              <w:t>开标一览表 服务内容及服务邀请应答表 法定代表人身份证明.docx 供应商类似项目业绩一览表.docx 中小企业声明函 商务应答表 投标人应提交的相关资格证明材料 投标函 残疾人福利性单位声明函 服务方案 标的清单 其他资料.docx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法定代表人身份证明.docx 供应商类似项目业绩一览表.docx 中小企业声明函 商务应答表 投标人应提交的相关资格证明材料 投标函 残疾人福利性单位声明函 服务方案 标的清单 其他资料.docx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服务内容及服务邀请应答表 法定代表人身份证明.docx 供应商类似项目业绩一览表.docx 中小企业声明函 商务应答表 投标人应提交的相关资格证明材料 投标函 残疾人福利性单位声明函 服务方案 标的清单 其他资料.docx 投标文件封面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投标响应文件的有效期</w:t>
            </w:r>
          </w:p>
        </w:tc>
        <w:tc>
          <w:tcPr>
            <w:tcW w:type="dxa" w:w="3322"/>
          </w:tcPr>
          <w:p>
            <w:pPr>
              <w:pStyle w:val="null3"/>
            </w:pPr>
            <w:r>
              <w:rPr>
                <w:rFonts w:ascii="仿宋_GB2312" w:hAnsi="仿宋_GB2312" w:cs="仿宋_GB2312" w:eastAsia="仿宋_GB2312"/>
              </w:rPr>
              <w:t>自投标文件递交截止之日起90天。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 解读全面，精准掌握项目核心需求及关联情况，服务方案完全贴合实际履约要求（6-8]分； 2. 解读基本准确，明确了解项目关键信息，服务方案可满足基本履约需求（3-6]分； 3. 解读存在偏差，核心需求理解有误，不利于项目顺利履约（0-3]分； 4. 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工作背景目的及内容</w:t>
            </w:r>
          </w:p>
        </w:tc>
        <w:tc>
          <w:tcPr>
            <w:tcW w:type="dxa" w:w="2492"/>
          </w:tcPr>
          <w:p>
            <w:pPr>
              <w:pStyle w:val="null3"/>
            </w:pPr>
            <w:r>
              <w:rPr>
                <w:rFonts w:ascii="仿宋_GB2312" w:hAnsi="仿宋_GB2312" w:cs="仿宋_GB2312" w:eastAsia="仿宋_GB2312"/>
              </w:rPr>
              <w:t>1. 全面详实描述项目背景、核心目的及具体工作内容，逻辑清晰无遗漏（6-8]分； 2. 基本清晰描述项目背景、目的及工作内容，无重大信息缺失（3-6]分； 3. 描述不准确，关键信息错误或遗漏较多（0-3]分； 4. 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1. 技术路线清晰全面，实施方法科学合理，核心技术指标明确可量化（6-8]分； 2. 技术路线基本完整，实施方法具备可行性，关键技术指标明确（3-6]分； 3. 技术路线逻辑不清晰，实施方法简单粗放，不利于项目落地（0-3]分； 4. 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1. 全面梳理各实施阶段工作流程，步骤清晰、方法得当，完全满足采购人要求（5-8]分； 2. 工作流程基本完整，核心环节无缺失，可满足项目基本需求（2-5]分； 3. 流程不完善，关键环节缺失或方法不当，影响项目推进（0-2]分； 4. 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 结合项目要求制定合理可行的进度计划，服务时效保障措施具体，完全满足采购要求（4-7]分； 2. 进度安排基本合理，保障措施具备可操作性，可满足项目核心需求（2-4]分； 3. 进度计划粗略，保障措施简单，难以支撑项目按时完成（0-2]分； 4. 未提供相关内容得0分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 专业设施设备配置齐全且符合项目要求，质量保障措施科学具体、可落地（4-7]分； 2. 设施设备满足项目基本需求，质量保障措施合理可行（2-4]分； 3. 虽配备基础设施设备，但保障措施简单粗放，难以保障服务质量（0-2]分； 4. 未提供相关内容（0分）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1. 成果分类科学合理，内容全面无缺失，描述具体详实可考核（3-5]分； 2. 成果分类基本合理，核心内容齐全，具备基本描述（1-3]分； 3. 成果分类混乱，核心内容缺失，描述模糊（0-1]分； 4. 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 建议针对性强，可有效优化项目技术、质量、进度或管理效率（3-4]分； 2. 建议具备一定合理性，对项目优化有一定参考价值（1-3]分； 3. 建议缺乏针对性，对项目实施无积极作用（0-1]分； 4. 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拟派技术负责人具备测绘、土地管理等相关专业高级工程师职称得3分，中级工程师职称得2分，不满足不得分）； 2. 其他人员（不含技术负责人）中，相关专业（测绘、规划、地理信息系统等）高级工程师每人得2分，中级工程师每人得1分（最多8分）； 注：人员不重复计分，需提供职称证复印件并加盖公章，否则不计分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 承诺内容清晰具体，核心指标明确可量化，后续服务具备延续性，确保项目按时按质完成（2-4]分； 2. 承诺及保障措施合理，可基本满足项目需求（0-2]分； 3. 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 具备完善的保密机制（可提供保密资格证书），明确承诺所有实施人员与采购人签订保密协议，保障信息数据安全（2-4]分； 2. 有基本保密措施，承诺可满足项目基础保密需求（0-2]分； 3. 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重点、难点及实施方案分析</w:t>
            </w:r>
          </w:p>
        </w:tc>
        <w:tc>
          <w:tcPr>
            <w:tcW w:type="dxa" w:w="2492"/>
          </w:tcPr>
          <w:p>
            <w:pPr>
              <w:pStyle w:val="null3"/>
            </w:pPr>
            <w:r>
              <w:rPr>
                <w:rFonts w:ascii="仿宋_GB2312" w:hAnsi="仿宋_GB2312" w:cs="仿宋_GB2312" w:eastAsia="仿宋_GB2312"/>
              </w:rPr>
              <w:t>1. 思路清晰，精准识别项目核心重点与难点，实施方案针对性强，充分体现项目理解深度（7-10]分； 2. 思路基本清晰，能识别主要重点与难点，实施方案具备基本可行性（3-7]分； 3. 思路混乱，未准确识别重点与难点，未理解项目实施核心目的（0-3]分； 4.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提供2022年至今类似项目业绩（以合同签订时间为准），需附合同协议书复印件（加盖单位公章），每个业绩得2分，满分6分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足招标文件要求且投标报价最低的 投标报价为评标基准价，其价格分 为满分。其他投标单位的价格分统 一按照下列公式计算：投标报价= （评标基准价/投标报价）×价格权 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