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98196">
      <w:pPr>
        <w:pStyle w:val="4"/>
        <w:kinsoku w:val="0"/>
        <w:overflowPunct w:val="0"/>
        <w:spacing w:before="0"/>
        <w:ind w:left="0"/>
        <w:rPr>
          <w:rFonts w:hint="default" w:ascii="Times New Roman" w:hAnsi="Times New Roman" w:eastAsia="Times New Roman"/>
          <w:sz w:val="24"/>
          <w:szCs w:val="24"/>
        </w:rPr>
      </w:pPr>
    </w:p>
    <w:p w14:paraId="706099FF">
      <w:pPr>
        <w:pStyle w:val="4"/>
        <w:kinsoku w:val="0"/>
        <w:overflowPunct w:val="0"/>
        <w:spacing w:before="0"/>
        <w:ind w:left="0"/>
        <w:rPr>
          <w:rFonts w:hint="default" w:ascii="Times New Roman" w:hAnsi="Times New Roman" w:eastAsia="Times New Roman"/>
          <w:sz w:val="24"/>
          <w:szCs w:val="24"/>
        </w:rPr>
      </w:pPr>
    </w:p>
    <w:p w14:paraId="4952D62E">
      <w:pPr>
        <w:pStyle w:val="4"/>
        <w:kinsoku w:val="0"/>
        <w:overflowPunct w:val="0"/>
        <w:spacing w:before="0"/>
        <w:ind w:left="0"/>
        <w:rPr>
          <w:rFonts w:hint="default" w:ascii="Times New Roman" w:hAnsi="Times New Roman" w:eastAsia="Times New Roman"/>
          <w:sz w:val="24"/>
          <w:szCs w:val="24"/>
        </w:rPr>
      </w:pPr>
    </w:p>
    <w:p w14:paraId="5BAC5A54">
      <w:pPr>
        <w:pStyle w:val="4"/>
        <w:kinsoku w:val="0"/>
        <w:overflowPunct w:val="0"/>
        <w:spacing w:before="2"/>
        <w:ind w:left="0"/>
        <w:rPr>
          <w:rFonts w:hint="default" w:ascii="Times New Roman" w:hAnsi="Times New Roman" w:eastAsia="Times New Roman"/>
          <w:sz w:val="26"/>
          <w:szCs w:val="24"/>
        </w:rPr>
      </w:pPr>
    </w:p>
    <w:p w14:paraId="523C8A5A">
      <w:pPr>
        <w:pStyle w:val="4"/>
        <w:kinsoku w:val="0"/>
        <w:overflowPunct w:val="0"/>
        <w:spacing w:before="0" w:line="321" w:lineRule="auto"/>
        <w:ind w:left="598"/>
        <w:jc w:val="both"/>
        <w:rPr>
          <w:rFonts w:hint="eastAsia"/>
          <w:sz w:val="24"/>
          <w:szCs w:val="24"/>
        </w:rPr>
      </w:pPr>
      <w:bookmarkStart w:id="0" w:name=" 第一章 汉中市工程建设项目审批管理系统升级项目"/>
      <w:bookmarkEnd w:id="0"/>
      <w:r>
        <w:rPr>
          <w:rFonts w:hint="eastAsia"/>
          <w:sz w:val="24"/>
          <w:szCs w:val="24"/>
        </w:rPr>
        <w:t>合同编号：签订地点：签订时间:</w:t>
      </w:r>
    </w:p>
    <w:p w14:paraId="56A655E7">
      <w:pPr>
        <w:pStyle w:val="2"/>
        <w:tabs>
          <w:tab w:val="left" w:pos="1286"/>
        </w:tabs>
        <w:kinsoku w:val="0"/>
        <w:overflowPunct w:val="0"/>
        <w:spacing w:line="394" w:lineRule="exact"/>
        <w:jc w:val="both"/>
        <w:rPr>
          <w:rFonts w:hint="eastAsia"/>
          <w:w w:val="95"/>
          <w:sz w:val="32"/>
          <w:szCs w:val="24"/>
        </w:rPr>
      </w:pPr>
      <w:r>
        <w:rPr>
          <w:rFonts w:hint="eastAsia"/>
          <w:b w:val="0"/>
          <w:sz w:val="24"/>
          <w:szCs w:val="24"/>
        </w:rPr>
        <w:br w:type="column"/>
      </w:r>
      <w:r>
        <w:rPr>
          <w:rFonts w:hint="eastAsia"/>
          <w:sz w:val="32"/>
          <w:szCs w:val="24"/>
        </w:rPr>
        <w:tab/>
      </w:r>
      <w:r>
        <w:rPr>
          <w:rFonts w:hint="eastAsia"/>
          <w:w w:val="95"/>
          <w:sz w:val="32"/>
          <w:szCs w:val="24"/>
        </w:rPr>
        <w:t>拟签订的合同文本（参考）</w:t>
      </w:r>
    </w:p>
    <w:p w14:paraId="0FDDB338">
      <w:pPr>
        <w:pStyle w:val="4"/>
        <w:kinsoku w:val="0"/>
        <w:overflowPunct w:val="0"/>
        <w:spacing w:before="205"/>
        <w:ind w:left="0" w:right="1309"/>
        <w:jc w:val="center"/>
        <w:rPr>
          <w:rFonts w:hint="eastAsia"/>
          <w:b/>
          <w:w w:val="95"/>
          <w:sz w:val="32"/>
          <w:szCs w:val="24"/>
        </w:rPr>
      </w:pPr>
      <w:r>
        <w:rPr>
          <w:rFonts w:hint="eastAsia"/>
          <w:b/>
          <w:w w:val="95"/>
          <w:sz w:val="32"/>
          <w:szCs w:val="24"/>
        </w:rPr>
        <w:t>（最终以甲乙双方签订合同为准）</w:t>
      </w:r>
    </w:p>
    <w:p w14:paraId="4A2065B0">
      <w:pPr>
        <w:pStyle w:val="4"/>
        <w:kinsoku w:val="0"/>
        <w:overflowPunct w:val="0"/>
        <w:spacing w:before="205"/>
        <w:ind w:left="0" w:right="1309"/>
        <w:jc w:val="center"/>
        <w:rPr>
          <w:rFonts w:hint="eastAsia"/>
          <w:b/>
          <w:w w:val="95"/>
          <w:sz w:val="32"/>
          <w:szCs w:val="24"/>
        </w:rPr>
        <w:sectPr>
          <w:footerReference r:id="rId3" w:type="default"/>
          <w:pgSz w:w="11910" w:h="16840"/>
          <w:pgMar w:top="1480" w:right="1260" w:bottom="1180" w:left="1300" w:header="0" w:footer="1000" w:gutter="0"/>
          <w:lnNumType w:countBy="0" w:distance="360"/>
          <w:pgNumType w:start="30"/>
          <w:cols w:equalWidth="0" w:num="2">
            <w:col w:w="1799" w:space="40"/>
            <w:col w:w="7511"/>
          </w:cols>
        </w:sectPr>
      </w:pPr>
    </w:p>
    <w:p w14:paraId="759E83B6">
      <w:pPr>
        <w:pStyle w:val="4"/>
        <w:kinsoku w:val="0"/>
        <w:overflowPunct w:val="0"/>
        <w:spacing w:before="24" w:line="321" w:lineRule="auto"/>
        <w:ind w:left="598" w:right="6812"/>
        <w:rPr>
          <w:rFonts w:hint="eastAsia"/>
          <w:sz w:val="24"/>
          <w:szCs w:val="24"/>
        </w:rPr>
      </w:pPr>
      <w:r>
        <w:rPr>
          <w:rFonts w:hint="eastAsia"/>
          <w:sz w:val="24"/>
          <w:szCs w:val="24"/>
        </w:rPr>
        <w:t>采购人（甲方）： 供应商（乙方）：</w:t>
      </w:r>
    </w:p>
    <w:p w14:paraId="16E800FC">
      <w:pPr>
        <w:pStyle w:val="4"/>
        <w:tabs>
          <w:tab w:val="left" w:pos="1977"/>
          <w:tab w:val="left" w:pos="6091"/>
        </w:tabs>
        <w:kinsoku w:val="0"/>
        <w:overflowPunct w:val="0"/>
        <w:spacing w:before="24" w:line="321" w:lineRule="auto"/>
        <w:ind w:right="105" w:firstLine="480"/>
        <w:jc w:val="both"/>
        <w:rPr>
          <w:rFonts w:hint="eastAsia"/>
          <w:sz w:val="24"/>
          <w:szCs w:val="24"/>
        </w:rPr>
      </w:pPr>
      <w:r>
        <w:rPr>
          <w:rFonts w:hint="eastAsia"/>
          <w:sz w:val="24"/>
          <w:szCs w:val="24"/>
        </w:rPr>
        <w:t>根</w:t>
      </w:r>
      <w:r>
        <w:rPr>
          <w:rFonts w:hint="eastAsia"/>
          <w:spacing w:val="-10"/>
          <w:sz w:val="24"/>
          <w:szCs w:val="24"/>
        </w:rPr>
        <w:t>据</w:t>
      </w:r>
      <w:r>
        <w:rPr>
          <w:rFonts w:hint="eastAsia"/>
          <w:sz w:val="24"/>
          <w:szCs w:val="24"/>
        </w:rPr>
        <w:t>《中华人民共和国政府采购法</w:t>
      </w:r>
      <w:r>
        <w:rPr>
          <w:rFonts w:hint="eastAsia"/>
          <w:spacing w:val="-12"/>
          <w:sz w:val="24"/>
          <w:szCs w:val="24"/>
        </w:rPr>
        <w:t>》</w:t>
      </w:r>
      <w:r>
        <w:rPr>
          <w:rFonts w:hint="eastAsia"/>
          <w:sz w:val="24"/>
          <w:szCs w:val="24"/>
        </w:rPr>
        <w:t>及实施条例</w:t>
      </w:r>
      <w:r>
        <w:rPr>
          <w:rFonts w:hint="eastAsia"/>
          <w:spacing w:val="-20"/>
          <w:sz w:val="24"/>
          <w:szCs w:val="24"/>
        </w:rPr>
        <w:t>、</w:t>
      </w:r>
      <w:r>
        <w:rPr>
          <w:rFonts w:hint="eastAsia"/>
          <w:sz w:val="24"/>
          <w:szCs w:val="24"/>
        </w:rPr>
        <w:t>《中华人民共和国民法典</w:t>
      </w:r>
      <w:r>
        <w:rPr>
          <w:rFonts w:hint="eastAsia"/>
          <w:spacing w:val="-10"/>
          <w:sz w:val="24"/>
          <w:szCs w:val="24"/>
        </w:rPr>
        <w:t>》</w:t>
      </w:r>
      <w:r>
        <w:rPr>
          <w:rFonts w:hint="eastAsia"/>
          <w:sz w:val="24"/>
          <w:szCs w:val="24"/>
        </w:rPr>
        <w:t>和甲方</w:t>
      </w:r>
      <w:r>
        <w:rPr>
          <w:rFonts w:hint="eastAsia"/>
          <w:sz w:val="24"/>
          <w:szCs w:val="24"/>
          <w:u w:val="single"/>
        </w:rPr>
        <w:tab/>
      </w:r>
      <w:r>
        <w:rPr>
          <w:rFonts w:hint="eastAsia"/>
          <w:sz w:val="24"/>
          <w:szCs w:val="24"/>
        </w:rPr>
        <w:t>采购项</w:t>
      </w:r>
      <w:r>
        <w:rPr>
          <w:rFonts w:hint="eastAsia"/>
          <w:spacing w:val="-12"/>
          <w:sz w:val="24"/>
          <w:szCs w:val="24"/>
        </w:rPr>
        <w:t>目</w:t>
      </w:r>
      <w:r>
        <w:rPr>
          <w:rFonts w:hint="eastAsia"/>
          <w:spacing w:val="-3"/>
          <w:sz w:val="24"/>
          <w:szCs w:val="24"/>
        </w:rPr>
        <w:t>（</w:t>
      </w:r>
      <w:r>
        <w:rPr>
          <w:rFonts w:hint="eastAsia"/>
          <w:sz w:val="24"/>
          <w:szCs w:val="24"/>
        </w:rPr>
        <w:t>采购项目编号</w:t>
      </w:r>
      <w:r>
        <w:rPr>
          <w:rFonts w:hint="eastAsia"/>
          <w:spacing w:val="-12"/>
          <w:sz w:val="24"/>
          <w:szCs w:val="24"/>
        </w:rPr>
        <w:t>：</w:t>
      </w:r>
      <w:r>
        <w:rPr>
          <w:rFonts w:hint="eastAsia"/>
          <w:spacing w:val="-12"/>
          <w:sz w:val="24"/>
          <w:szCs w:val="24"/>
          <w:u w:val="single"/>
        </w:rPr>
        <w:t xml:space="preserve"> </w:t>
      </w:r>
      <w:r>
        <w:rPr>
          <w:rFonts w:hint="eastAsia"/>
          <w:spacing w:val="-12"/>
          <w:sz w:val="24"/>
          <w:szCs w:val="24"/>
          <w:u w:val="single"/>
        </w:rPr>
        <w:tab/>
      </w:r>
      <w:r>
        <w:rPr>
          <w:rFonts w:hint="eastAsia"/>
          <w:spacing w:val="-12"/>
          <w:sz w:val="24"/>
          <w:szCs w:val="24"/>
        </w:rPr>
        <w:t>）</w:t>
      </w:r>
      <w:r>
        <w:rPr>
          <w:rFonts w:hint="eastAsia"/>
          <w:sz w:val="24"/>
          <w:szCs w:val="24"/>
        </w:rPr>
        <w:t>的招标文件</w:t>
      </w:r>
      <w:r>
        <w:rPr>
          <w:rFonts w:hint="eastAsia"/>
          <w:spacing w:val="-12"/>
          <w:sz w:val="24"/>
          <w:szCs w:val="24"/>
        </w:rPr>
        <w:t>、</w:t>
      </w:r>
      <w:r>
        <w:rPr>
          <w:rFonts w:hint="eastAsia"/>
          <w:sz w:val="24"/>
          <w:szCs w:val="24"/>
        </w:rPr>
        <w:t>响应文件等有关规定，为确保甲方采购项目的顺利实施，甲、乙双方在平等自愿原则下签订本合同， 并共同遵守如下条款：</w:t>
      </w:r>
    </w:p>
    <w:p w14:paraId="7E4339B5">
      <w:pPr>
        <w:pStyle w:val="4"/>
        <w:numPr>
          <w:ilvl w:val="0"/>
          <w:numId w:val="1"/>
        </w:numPr>
        <w:kinsoku w:val="0"/>
        <w:overflowPunct w:val="0"/>
        <w:spacing w:before="24" w:line="321" w:lineRule="auto"/>
        <w:ind w:left="598" w:right="5640"/>
        <w:rPr>
          <w:rFonts w:hint="eastAsia"/>
          <w:b/>
          <w:sz w:val="24"/>
          <w:szCs w:val="24"/>
        </w:rPr>
      </w:pPr>
      <w:r>
        <w:rPr>
          <w:rFonts w:hint="eastAsia"/>
          <w:b/>
          <w:sz w:val="24"/>
          <w:szCs w:val="24"/>
        </w:rPr>
        <w:t xml:space="preserve">合同标的及数量 </w:t>
      </w:r>
    </w:p>
    <w:p w14:paraId="4F5E2237">
      <w:pPr>
        <w:pStyle w:val="4"/>
        <w:numPr>
          <w:ilvl w:val="0"/>
          <w:numId w:val="0"/>
        </w:numPr>
        <w:kinsoku w:val="0"/>
        <w:overflowPunct w:val="0"/>
        <w:spacing w:before="24" w:line="321" w:lineRule="auto"/>
        <w:ind w:left="0" w:right="5640" w:firstLine="480" w:firstLineChars="200"/>
        <w:rPr>
          <w:rFonts w:hint="eastAsia"/>
          <w:sz w:val="24"/>
          <w:szCs w:val="24"/>
        </w:rPr>
      </w:pPr>
      <w:r>
        <w:rPr>
          <w:rFonts w:hint="eastAsia"/>
          <w:sz w:val="24"/>
          <w:szCs w:val="24"/>
        </w:rPr>
        <w:t>乙方向甲方提供下列服务：</w:t>
      </w:r>
    </w:p>
    <w:p w14:paraId="2CC34DFB">
      <w:pPr>
        <w:pStyle w:val="2"/>
        <w:kinsoku w:val="0"/>
        <w:overflowPunct w:val="0"/>
        <w:spacing w:before="12"/>
        <w:ind w:left="4023" w:right="4065"/>
        <w:rPr>
          <w:rFonts w:hint="eastAsia"/>
          <w:w w:val="95"/>
          <w:sz w:val="32"/>
          <w:szCs w:val="24"/>
        </w:rPr>
      </w:pPr>
      <w:r>
        <w:rPr>
          <w:rFonts w:hint="eastAsia"/>
          <w:w w:val="95"/>
          <w:sz w:val="32"/>
          <w:szCs w:val="24"/>
        </w:rPr>
        <w:t>服务清单</w:t>
      </w:r>
    </w:p>
    <w:p w14:paraId="506602E8">
      <w:pPr>
        <w:pStyle w:val="4"/>
        <w:kinsoku w:val="0"/>
        <w:overflowPunct w:val="0"/>
        <w:spacing w:before="0"/>
        <w:ind w:left="0"/>
        <w:rPr>
          <w:rFonts w:hint="eastAsia"/>
          <w:b/>
          <w:sz w:val="20"/>
          <w:szCs w:val="24"/>
        </w:rPr>
      </w:pPr>
    </w:p>
    <w:p w14:paraId="5F4FDE74">
      <w:pPr>
        <w:pStyle w:val="4"/>
        <w:kinsoku w:val="0"/>
        <w:overflowPunct w:val="0"/>
        <w:spacing w:before="9"/>
        <w:ind w:left="0"/>
        <w:rPr>
          <w:rFonts w:hint="eastAsia"/>
          <w:b/>
          <w:sz w:val="11"/>
          <w:szCs w:val="24"/>
        </w:rPr>
      </w:pPr>
    </w:p>
    <w:tbl>
      <w:tblPr>
        <w:tblStyle w:val="5"/>
        <w:tblW w:w="0" w:type="auto"/>
        <w:tblInd w:w="25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2"/>
        <w:gridCol w:w="1695"/>
        <w:gridCol w:w="1470"/>
        <w:gridCol w:w="1770"/>
        <w:gridCol w:w="1874"/>
        <w:gridCol w:w="1444"/>
      </w:tblGrid>
      <w:tr w14:paraId="4E81E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722" w:type="dxa"/>
            <w:tcBorders>
              <w:top w:val="single" w:color="000000" w:sz="12" w:space="0"/>
              <w:left w:val="single" w:color="000000" w:sz="12" w:space="0"/>
              <w:bottom w:val="single" w:color="000000" w:sz="4" w:space="0"/>
              <w:right w:val="single" w:color="000000" w:sz="4" w:space="0"/>
              <w:tl2br w:val="nil"/>
              <w:tr2bl w:val="nil"/>
            </w:tcBorders>
            <w:noWrap w:val="0"/>
            <w:vAlign w:val="top"/>
          </w:tcPr>
          <w:p w14:paraId="61CD5CAA">
            <w:pPr>
              <w:pStyle w:val="7"/>
              <w:kinsoku w:val="0"/>
              <w:overflowPunct w:val="0"/>
              <w:spacing w:before="2"/>
              <w:rPr>
                <w:rFonts w:hint="eastAsia"/>
                <w:b/>
                <w:sz w:val="18"/>
                <w:szCs w:val="24"/>
              </w:rPr>
            </w:pPr>
          </w:p>
          <w:p w14:paraId="4CEF3E3A">
            <w:pPr>
              <w:pStyle w:val="7"/>
              <w:kinsoku w:val="0"/>
              <w:overflowPunct w:val="0"/>
              <w:ind w:left="104"/>
              <w:rPr>
                <w:rFonts w:hint="eastAsia"/>
                <w:b/>
                <w:w w:val="95"/>
                <w:sz w:val="24"/>
                <w:szCs w:val="24"/>
              </w:rPr>
            </w:pPr>
            <w:bookmarkStart w:id="1" w:name="序号"/>
            <w:bookmarkEnd w:id="1"/>
            <w:r>
              <w:rPr>
                <w:rFonts w:hint="eastAsia"/>
                <w:b/>
                <w:w w:val="95"/>
                <w:sz w:val="24"/>
                <w:szCs w:val="24"/>
              </w:rPr>
              <w:t>序号</w:t>
            </w:r>
          </w:p>
        </w:tc>
        <w:tc>
          <w:tcPr>
            <w:tcW w:w="1695" w:type="dxa"/>
            <w:tcBorders>
              <w:top w:val="single" w:color="000000" w:sz="12" w:space="0"/>
              <w:left w:val="single" w:color="000000" w:sz="4" w:space="0"/>
              <w:bottom w:val="single" w:color="000000" w:sz="4" w:space="0"/>
              <w:right w:val="single" w:color="000000" w:sz="4" w:space="0"/>
              <w:tl2br w:val="nil"/>
              <w:tr2bl w:val="nil"/>
            </w:tcBorders>
            <w:noWrap w:val="0"/>
            <w:vAlign w:val="top"/>
          </w:tcPr>
          <w:p w14:paraId="4450F8DC">
            <w:pPr>
              <w:pStyle w:val="7"/>
              <w:kinsoku w:val="0"/>
              <w:overflowPunct w:val="0"/>
              <w:spacing w:before="2"/>
              <w:rPr>
                <w:rFonts w:hint="eastAsia"/>
                <w:b/>
                <w:sz w:val="18"/>
                <w:szCs w:val="24"/>
              </w:rPr>
            </w:pPr>
          </w:p>
          <w:p w14:paraId="1F601CA2">
            <w:pPr>
              <w:pStyle w:val="7"/>
              <w:kinsoku w:val="0"/>
              <w:overflowPunct w:val="0"/>
              <w:ind w:left="359"/>
              <w:rPr>
                <w:rFonts w:hint="eastAsia"/>
                <w:b/>
                <w:w w:val="95"/>
                <w:sz w:val="24"/>
                <w:szCs w:val="24"/>
              </w:rPr>
            </w:pPr>
            <w:bookmarkStart w:id="2" w:name="七、数据库要求"/>
            <w:bookmarkEnd w:id="2"/>
            <w:bookmarkStart w:id="3" w:name="服务内容"/>
            <w:bookmarkEnd w:id="3"/>
            <w:r>
              <w:rPr>
                <w:rFonts w:hint="eastAsia"/>
                <w:b/>
                <w:w w:val="95"/>
                <w:sz w:val="24"/>
                <w:szCs w:val="24"/>
              </w:rPr>
              <w:t>服务内容</w:t>
            </w:r>
          </w:p>
        </w:tc>
        <w:tc>
          <w:tcPr>
            <w:tcW w:w="1470" w:type="dxa"/>
            <w:tcBorders>
              <w:top w:val="single" w:color="000000" w:sz="12" w:space="0"/>
              <w:left w:val="single" w:color="000000" w:sz="4" w:space="0"/>
              <w:bottom w:val="single" w:color="000000" w:sz="4" w:space="0"/>
              <w:right w:val="single" w:color="000000" w:sz="4" w:space="0"/>
              <w:tl2br w:val="nil"/>
              <w:tr2bl w:val="nil"/>
            </w:tcBorders>
            <w:noWrap w:val="0"/>
            <w:vAlign w:val="top"/>
          </w:tcPr>
          <w:p w14:paraId="36809EFF">
            <w:pPr>
              <w:pStyle w:val="7"/>
              <w:kinsoku w:val="0"/>
              <w:overflowPunct w:val="0"/>
              <w:spacing w:before="2"/>
              <w:rPr>
                <w:rFonts w:hint="eastAsia"/>
                <w:b/>
                <w:sz w:val="18"/>
                <w:szCs w:val="24"/>
              </w:rPr>
            </w:pPr>
          </w:p>
          <w:p w14:paraId="3EDF22AA">
            <w:pPr>
              <w:pStyle w:val="7"/>
              <w:kinsoku w:val="0"/>
              <w:overflowPunct w:val="0"/>
              <w:ind w:left="248"/>
              <w:rPr>
                <w:rFonts w:hint="eastAsia"/>
                <w:b/>
                <w:w w:val="95"/>
                <w:sz w:val="24"/>
                <w:szCs w:val="24"/>
              </w:rPr>
            </w:pPr>
            <w:bookmarkStart w:id="4" w:name="计量单位"/>
            <w:bookmarkEnd w:id="4"/>
            <w:r>
              <w:rPr>
                <w:rFonts w:hint="eastAsia"/>
                <w:b/>
                <w:w w:val="95"/>
                <w:sz w:val="24"/>
                <w:szCs w:val="24"/>
              </w:rPr>
              <w:t>计量单位</w:t>
            </w:r>
          </w:p>
        </w:tc>
        <w:tc>
          <w:tcPr>
            <w:tcW w:w="1770" w:type="dxa"/>
            <w:tcBorders>
              <w:top w:val="single" w:color="000000" w:sz="12" w:space="0"/>
              <w:left w:val="single" w:color="000000" w:sz="4" w:space="0"/>
              <w:bottom w:val="single" w:color="000000" w:sz="4" w:space="0"/>
              <w:right w:val="single" w:color="000000" w:sz="4" w:space="0"/>
              <w:tl2br w:val="nil"/>
              <w:tr2bl w:val="nil"/>
            </w:tcBorders>
            <w:noWrap w:val="0"/>
            <w:vAlign w:val="top"/>
          </w:tcPr>
          <w:p w14:paraId="3BA35C83">
            <w:pPr>
              <w:pStyle w:val="7"/>
              <w:kinsoku w:val="0"/>
              <w:overflowPunct w:val="0"/>
              <w:spacing w:before="2"/>
              <w:rPr>
                <w:rFonts w:hint="eastAsia"/>
                <w:b/>
                <w:sz w:val="18"/>
                <w:szCs w:val="24"/>
              </w:rPr>
            </w:pPr>
          </w:p>
          <w:p w14:paraId="496BE843">
            <w:pPr>
              <w:pStyle w:val="7"/>
              <w:kinsoku w:val="0"/>
              <w:overflowPunct w:val="0"/>
              <w:ind w:left="630" w:right="631"/>
              <w:jc w:val="center"/>
              <w:rPr>
                <w:rFonts w:hint="eastAsia"/>
                <w:b/>
                <w:w w:val="95"/>
                <w:sz w:val="24"/>
                <w:szCs w:val="24"/>
              </w:rPr>
            </w:pPr>
            <w:bookmarkStart w:id="5" w:name="数量"/>
            <w:bookmarkEnd w:id="5"/>
            <w:r>
              <w:rPr>
                <w:rFonts w:hint="eastAsia"/>
                <w:b/>
                <w:w w:val="95"/>
                <w:sz w:val="24"/>
                <w:szCs w:val="24"/>
              </w:rPr>
              <w:t>数量</w:t>
            </w:r>
          </w:p>
        </w:tc>
        <w:tc>
          <w:tcPr>
            <w:tcW w:w="1874" w:type="dxa"/>
            <w:tcBorders>
              <w:top w:val="single" w:color="000000" w:sz="12" w:space="0"/>
              <w:left w:val="single" w:color="000000" w:sz="4" w:space="0"/>
              <w:bottom w:val="single" w:color="000000" w:sz="4" w:space="0"/>
              <w:right w:val="single" w:color="000000" w:sz="4" w:space="0"/>
              <w:tl2br w:val="nil"/>
              <w:tr2bl w:val="nil"/>
            </w:tcBorders>
            <w:noWrap w:val="0"/>
            <w:vAlign w:val="top"/>
          </w:tcPr>
          <w:p w14:paraId="76FD3E21">
            <w:pPr>
              <w:pStyle w:val="7"/>
              <w:kinsoku w:val="0"/>
              <w:overflowPunct w:val="0"/>
              <w:spacing w:before="2"/>
              <w:rPr>
                <w:rFonts w:hint="eastAsia"/>
                <w:b/>
                <w:sz w:val="18"/>
                <w:szCs w:val="24"/>
              </w:rPr>
            </w:pPr>
          </w:p>
          <w:p w14:paraId="75C3ED77">
            <w:pPr>
              <w:pStyle w:val="7"/>
              <w:kinsoku w:val="0"/>
              <w:overflowPunct w:val="0"/>
              <w:ind w:left="329"/>
              <w:rPr>
                <w:rFonts w:hint="eastAsia"/>
                <w:b/>
                <w:w w:val="95"/>
                <w:sz w:val="24"/>
                <w:szCs w:val="24"/>
              </w:rPr>
            </w:pPr>
            <w:bookmarkStart w:id="6" w:name="单价（元）"/>
            <w:bookmarkEnd w:id="6"/>
            <w:r>
              <w:rPr>
                <w:rFonts w:hint="eastAsia"/>
                <w:b/>
                <w:w w:val="95"/>
                <w:sz w:val="24"/>
                <w:szCs w:val="24"/>
              </w:rPr>
              <w:t>单价（元）</w:t>
            </w:r>
          </w:p>
        </w:tc>
        <w:tc>
          <w:tcPr>
            <w:tcW w:w="1444" w:type="dxa"/>
            <w:tcBorders>
              <w:top w:val="single" w:color="000000" w:sz="12" w:space="0"/>
              <w:left w:val="single" w:color="000000" w:sz="4" w:space="0"/>
              <w:bottom w:val="single" w:color="000000" w:sz="4" w:space="0"/>
              <w:right w:val="single" w:color="000000" w:sz="12" w:space="0"/>
              <w:tl2br w:val="nil"/>
              <w:tr2bl w:val="nil"/>
            </w:tcBorders>
            <w:noWrap w:val="0"/>
            <w:vAlign w:val="top"/>
          </w:tcPr>
          <w:p w14:paraId="3EFCAFAE">
            <w:pPr>
              <w:pStyle w:val="7"/>
              <w:kinsoku w:val="0"/>
              <w:overflowPunct w:val="0"/>
              <w:spacing w:before="2"/>
              <w:rPr>
                <w:rFonts w:hint="eastAsia"/>
                <w:b/>
                <w:sz w:val="18"/>
                <w:szCs w:val="24"/>
              </w:rPr>
            </w:pPr>
          </w:p>
          <w:p w14:paraId="63281B00">
            <w:pPr>
              <w:pStyle w:val="7"/>
              <w:kinsoku w:val="0"/>
              <w:overflowPunct w:val="0"/>
              <w:ind w:left="174"/>
              <w:rPr>
                <w:rFonts w:hint="eastAsia"/>
                <w:b/>
                <w:sz w:val="24"/>
                <w:szCs w:val="24"/>
              </w:rPr>
            </w:pPr>
            <w:bookmarkStart w:id="7" w:name="金额 (元)"/>
            <w:bookmarkEnd w:id="7"/>
            <w:r>
              <w:rPr>
                <w:rFonts w:hint="eastAsia"/>
                <w:b/>
                <w:sz w:val="24"/>
                <w:szCs w:val="24"/>
              </w:rPr>
              <w:t>金额 (元)</w:t>
            </w:r>
          </w:p>
        </w:tc>
      </w:tr>
      <w:tr w14:paraId="01A5E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22" w:type="dxa"/>
            <w:tcBorders>
              <w:top w:val="single" w:color="000000" w:sz="4" w:space="0"/>
              <w:left w:val="single" w:color="000000" w:sz="12" w:space="0"/>
              <w:bottom w:val="single" w:color="000000" w:sz="4" w:space="0"/>
              <w:right w:val="single" w:color="000000" w:sz="4" w:space="0"/>
              <w:tl2br w:val="nil"/>
              <w:tr2bl w:val="nil"/>
            </w:tcBorders>
            <w:noWrap w:val="0"/>
            <w:vAlign w:val="top"/>
          </w:tcPr>
          <w:p w14:paraId="3F304687">
            <w:pPr>
              <w:pStyle w:val="7"/>
              <w:kinsoku w:val="0"/>
              <w:overflowPunct w:val="0"/>
              <w:rPr>
                <w:rFonts w:hint="default" w:ascii="Times New Roman" w:hAnsi="Times New Roman" w:eastAsia="Times New Roman"/>
                <w:sz w:val="24"/>
                <w:szCs w:val="24"/>
              </w:rPr>
            </w:pPr>
          </w:p>
        </w:tc>
        <w:tc>
          <w:tcPr>
            <w:tcW w:w="16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3EB23AA">
            <w:pPr>
              <w:pStyle w:val="7"/>
              <w:kinsoku w:val="0"/>
              <w:overflowPunct w:val="0"/>
              <w:rPr>
                <w:rFonts w:hint="default" w:ascii="Times New Roman" w:hAnsi="Times New Roman" w:eastAsia="Times New Roman"/>
                <w:sz w:val="24"/>
                <w:szCs w:val="24"/>
              </w:rPr>
            </w:pPr>
          </w:p>
        </w:tc>
        <w:tc>
          <w:tcPr>
            <w:tcW w:w="14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3706A56">
            <w:pPr>
              <w:pStyle w:val="7"/>
              <w:kinsoku w:val="0"/>
              <w:overflowPunct w:val="0"/>
              <w:rPr>
                <w:rFonts w:hint="default" w:ascii="Times New Roman" w:hAnsi="Times New Roman" w:eastAsia="Times New Roman"/>
                <w:sz w:val="24"/>
                <w:szCs w:val="24"/>
              </w:rPr>
            </w:pPr>
          </w:p>
        </w:tc>
        <w:tc>
          <w:tcPr>
            <w:tcW w:w="17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D67DA3">
            <w:pPr>
              <w:pStyle w:val="7"/>
              <w:kinsoku w:val="0"/>
              <w:overflowPunct w:val="0"/>
              <w:rPr>
                <w:rFonts w:hint="default" w:ascii="Times New Roman" w:hAnsi="Times New Roman" w:eastAsia="Times New Roman"/>
                <w:sz w:val="24"/>
                <w:szCs w:val="24"/>
              </w:rPr>
            </w:pPr>
          </w:p>
        </w:tc>
        <w:tc>
          <w:tcPr>
            <w:tcW w:w="187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533A8D9">
            <w:pPr>
              <w:pStyle w:val="7"/>
              <w:kinsoku w:val="0"/>
              <w:overflowPunct w:val="0"/>
              <w:rPr>
                <w:rFonts w:hint="default" w:ascii="Times New Roman" w:hAnsi="Times New Roman" w:eastAsia="Times New Roman"/>
                <w:sz w:val="24"/>
                <w:szCs w:val="24"/>
              </w:rPr>
            </w:pPr>
          </w:p>
        </w:tc>
        <w:tc>
          <w:tcPr>
            <w:tcW w:w="1444" w:type="dxa"/>
            <w:tcBorders>
              <w:top w:val="single" w:color="000000" w:sz="4" w:space="0"/>
              <w:left w:val="single" w:color="000000" w:sz="4" w:space="0"/>
              <w:bottom w:val="single" w:color="000000" w:sz="4" w:space="0"/>
              <w:right w:val="single" w:color="000000" w:sz="12" w:space="0"/>
              <w:tl2br w:val="nil"/>
              <w:tr2bl w:val="nil"/>
            </w:tcBorders>
            <w:noWrap w:val="0"/>
            <w:vAlign w:val="top"/>
          </w:tcPr>
          <w:p w14:paraId="66DB27F8">
            <w:pPr>
              <w:pStyle w:val="7"/>
              <w:kinsoku w:val="0"/>
              <w:overflowPunct w:val="0"/>
              <w:rPr>
                <w:rFonts w:hint="default" w:ascii="Times New Roman" w:hAnsi="Times New Roman" w:eastAsia="Times New Roman"/>
                <w:sz w:val="24"/>
                <w:szCs w:val="24"/>
              </w:rPr>
            </w:pPr>
          </w:p>
        </w:tc>
      </w:tr>
      <w:tr w14:paraId="74B61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22" w:type="dxa"/>
            <w:tcBorders>
              <w:top w:val="single" w:color="000000" w:sz="4" w:space="0"/>
              <w:left w:val="single" w:color="000000" w:sz="12" w:space="0"/>
              <w:bottom w:val="single" w:color="000000" w:sz="4" w:space="0"/>
              <w:right w:val="single" w:color="000000" w:sz="4" w:space="0"/>
              <w:tl2br w:val="nil"/>
              <w:tr2bl w:val="nil"/>
            </w:tcBorders>
            <w:noWrap w:val="0"/>
            <w:vAlign w:val="top"/>
          </w:tcPr>
          <w:p w14:paraId="1B3287CB">
            <w:pPr>
              <w:pStyle w:val="7"/>
              <w:kinsoku w:val="0"/>
              <w:overflowPunct w:val="0"/>
              <w:rPr>
                <w:rFonts w:hint="default" w:ascii="Times New Roman" w:hAnsi="Times New Roman" w:eastAsia="Times New Roman"/>
                <w:sz w:val="24"/>
                <w:szCs w:val="24"/>
              </w:rPr>
            </w:pPr>
          </w:p>
        </w:tc>
        <w:tc>
          <w:tcPr>
            <w:tcW w:w="16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6BE5449">
            <w:pPr>
              <w:pStyle w:val="7"/>
              <w:kinsoku w:val="0"/>
              <w:overflowPunct w:val="0"/>
              <w:rPr>
                <w:rFonts w:hint="default" w:ascii="Times New Roman" w:hAnsi="Times New Roman" w:eastAsia="Times New Roman"/>
                <w:sz w:val="24"/>
                <w:szCs w:val="24"/>
              </w:rPr>
            </w:pPr>
          </w:p>
        </w:tc>
        <w:tc>
          <w:tcPr>
            <w:tcW w:w="14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ACF4565">
            <w:pPr>
              <w:pStyle w:val="7"/>
              <w:kinsoku w:val="0"/>
              <w:overflowPunct w:val="0"/>
              <w:rPr>
                <w:rFonts w:hint="default" w:ascii="Times New Roman" w:hAnsi="Times New Roman" w:eastAsia="Times New Roman"/>
                <w:sz w:val="24"/>
                <w:szCs w:val="24"/>
              </w:rPr>
            </w:pPr>
          </w:p>
        </w:tc>
        <w:tc>
          <w:tcPr>
            <w:tcW w:w="17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D29C49C">
            <w:pPr>
              <w:pStyle w:val="7"/>
              <w:kinsoku w:val="0"/>
              <w:overflowPunct w:val="0"/>
              <w:rPr>
                <w:rFonts w:hint="default" w:ascii="Times New Roman" w:hAnsi="Times New Roman" w:eastAsia="Times New Roman"/>
                <w:sz w:val="24"/>
                <w:szCs w:val="24"/>
              </w:rPr>
            </w:pPr>
          </w:p>
        </w:tc>
        <w:tc>
          <w:tcPr>
            <w:tcW w:w="187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6BBAB5D">
            <w:pPr>
              <w:pStyle w:val="7"/>
              <w:kinsoku w:val="0"/>
              <w:overflowPunct w:val="0"/>
              <w:rPr>
                <w:rFonts w:hint="default" w:ascii="Times New Roman" w:hAnsi="Times New Roman" w:eastAsia="Times New Roman"/>
                <w:sz w:val="24"/>
                <w:szCs w:val="24"/>
              </w:rPr>
            </w:pPr>
          </w:p>
        </w:tc>
        <w:tc>
          <w:tcPr>
            <w:tcW w:w="1444" w:type="dxa"/>
            <w:tcBorders>
              <w:top w:val="single" w:color="000000" w:sz="4" w:space="0"/>
              <w:left w:val="single" w:color="000000" w:sz="4" w:space="0"/>
              <w:bottom w:val="single" w:color="000000" w:sz="4" w:space="0"/>
              <w:right w:val="single" w:color="000000" w:sz="12" w:space="0"/>
              <w:tl2br w:val="nil"/>
              <w:tr2bl w:val="nil"/>
            </w:tcBorders>
            <w:noWrap w:val="0"/>
            <w:vAlign w:val="top"/>
          </w:tcPr>
          <w:p w14:paraId="7D8953CA">
            <w:pPr>
              <w:pStyle w:val="7"/>
              <w:kinsoku w:val="0"/>
              <w:overflowPunct w:val="0"/>
              <w:rPr>
                <w:rFonts w:hint="default" w:ascii="Times New Roman" w:hAnsi="Times New Roman" w:eastAsia="Times New Roman"/>
                <w:sz w:val="24"/>
                <w:szCs w:val="24"/>
              </w:rPr>
            </w:pPr>
          </w:p>
        </w:tc>
      </w:tr>
      <w:tr w14:paraId="5A5EE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22" w:type="dxa"/>
            <w:tcBorders>
              <w:top w:val="single" w:color="000000" w:sz="4" w:space="0"/>
              <w:left w:val="single" w:color="000000" w:sz="12" w:space="0"/>
              <w:bottom w:val="single" w:color="000000" w:sz="4" w:space="0"/>
              <w:right w:val="single" w:color="000000" w:sz="4" w:space="0"/>
              <w:tl2br w:val="nil"/>
              <w:tr2bl w:val="nil"/>
            </w:tcBorders>
            <w:noWrap w:val="0"/>
            <w:vAlign w:val="top"/>
          </w:tcPr>
          <w:p w14:paraId="1A8100BB">
            <w:pPr>
              <w:pStyle w:val="7"/>
              <w:kinsoku w:val="0"/>
              <w:overflowPunct w:val="0"/>
              <w:rPr>
                <w:rFonts w:hint="default" w:ascii="Times New Roman" w:hAnsi="Times New Roman" w:eastAsia="Times New Roman"/>
                <w:sz w:val="24"/>
                <w:szCs w:val="24"/>
              </w:rPr>
            </w:pPr>
          </w:p>
        </w:tc>
        <w:tc>
          <w:tcPr>
            <w:tcW w:w="16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73A1C15">
            <w:pPr>
              <w:pStyle w:val="7"/>
              <w:kinsoku w:val="0"/>
              <w:overflowPunct w:val="0"/>
              <w:rPr>
                <w:rFonts w:hint="default" w:ascii="Times New Roman" w:hAnsi="Times New Roman" w:eastAsia="Times New Roman"/>
                <w:sz w:val="24"/>
                <w:szCs w:val="24"/>
              </w:rPr>
            </w:pPr>
          </w:p>
        </w:tc>
        <w:tc>
          <w:tcPr>
            <w:tcW w:w="14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86A86B4">
            <w:pPr>
              <w:pStyle w:val="7"/>
              <w:kinsoku w:val="0"/>
              <w:overflowPunct w:val="0"/>
              <w:rPr>
                <w:rFonts w:hint="default" w:ascii="Times New Roman" w:hAnsi="Times New Roman" w:eastAsia="Times New Roman"/>
                <w:sz w:val="24"/>
                <w:szCs w:val="24"/>
              </w:rPr>
            </w:pPr>
          </w:p>
        </w:tc>
        <w:tc>
          <w:tcPr>
            <w:tcW w:w="17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FE9A54E">
            <w:pPr>
              <w:pStyle w:val="7"/>
              <w:kinsoku w:val="0"/>
              <w:overflowPunct w:val="0"/>
              <w:rPr>
                <w:rFonts w:hint="default" w:ascii="Times New Roman" w:hAnsi="Times New Roman" w:eastAsia="Times New Roman"/>
                <w:sz w:val="24"/>
                <w:szCs w:val="24"/>
              </w:rPr>
            </w:pPr>
          </w:p>
        </w:tc>
        <w:tc>
          <w:tcPr>
            <w:tcW w:w="187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711AA9C">
            <w:pPr>
              <w:pStyle w:val="7"/>
              <w:kinsoku w:val="0"/>
              <w:overflowPunct w:val="0"/>
              <w:rPr>
                <w:rFonts w:hint="default" w:ascii="Times New Roman" w:hAnsi="Times New Roman" w:eastAsia="Times New Roman"/>
                <w:sz w:val="24"/>
                <w:szCs w:val="24"/>
              </w:rPr>
            </w:pPr>
          </w:p>
        </w:tc>
        <w:tc>
          <w:tcPr>
            <w:tcW w:w="1444" w:type="dxa"/>
            <w:tcBorders>
              <w:top w:val="single" w:color="000000" w:sz="4" w:space="0"/>
              <w:left w:val="single" w:color="000000" w:sz="4" w:space="0"/>
              <w:bottom w:val="single" w:color="000000" w:sz="4" w:space="0"/>
              <w:right w:val="single" w:color="000000" w:sz="12" w:space="0"/>
              <w:tl2br w:val="nil"/>
              <w:tr2bl w:val="nil"/>
            </w:tcBorders>
            <w:noWrap w:val="0"/>
            <w:vAlign w:val="top"/>
          </w:tcPr>
          <w:p w14:paraId="3491A977">
            <w:pPr>
              <w:pStyle w:val="7"/>
              <w:kinsoku w:val="0"/>
              <w:overflowPunct w:val="0"/>
              <w:rPr>
                <w:rFonts w:hint="default" w:ascii="Times New Roman" w:hAnsi="Times New Roman" w:eastAsia="Times New Roman"/>
                <w:sz w:val="24"/>
                <w:szCs w:val="24"/>
              </w:rPr>
            </w:pPr>
          </w:p>
        </w:tc>
      </w:tr>
      <w:tr w14:paraId="2EA96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417" w:type="dxa"/>
            <w:gridSpan w:val="2"/>
            <w:tcBorders>
              <w:top w:val="single" w:color="000000" w:sz="4" w:space="0"/>
              <w:left w:val="single" w:color="000000" w:sz="12" w:space="0"/>
              <w:bottom w:val="single" w:color="000000" w:sz="4" w:space="0"/>
              <w:right w:val="single" w:color="000000" w:sz="4" w:space="0"/>
              <w:tl2br w:val="nil"/>
              <w:tr2bl w:val="nil"/>
            </w:tcBorders>
            <w:noWrap w:val="0"/>
            <w:vAlign w:val="top"/>
          </w:tcPr>
          <w:p w14:paraId="004BCAB1">
            <w:pPr>
              <w:pStyle w:val="7"/>
              <w:kinsoku w:val="0"/>
              <w:overflowPunct w:val="0"/>
              <w:spacing w:before="25"/>
              <w:ind w:left="1128"/>
              <w:rPr>
                <w:rFonts w:hint="eastAsia"/>
                <w:b/>
                <w:w w:val="95"/>
                <w:sz w:val="24"/>
                <w:szCs w:val="24"/>
              </w:rPr>
            </w:pPr>
            <w:bookmarkStart w:id="8" w:name="合计"/>
            <w:bookmarkEnd w:id="8"/>
            <w:r>
              <w:rPr>
                <w:rFonts w:hint="eastAsia"/>
                <w:b/>
                <w:w w:val="95"/>
                <w:sz w:val="24"/>
                <w:szCs w:val="24"/>
              </w:rPr>
              <w:t>合计</w:t>
            </w:r>
          </w:p>
        </w:tc>
        <w:tc>
          <w:tcPr>
            <w:tcW w:w="6558" w:type="dxa"/>
            <w:gridSpan w:val="4"/>
            <w:tcBorders>
              <w:top w:val="single" w:color="000000" w:sz="4" w:space="0"/>
              <w:left w:val="single" w:color="000000" w:sz="4" w:space="0"/>
              <w:bottom w:val="single" w:color="000000" w:sz="4" w:space="0"/>
              <w:right w:val="single" w:color="000000" w:sz="12" w:space="0"/>
              <w:tl2br w:val="nil"/>
              <w:tr2bl w:val="nil"/>
            </w:tcBorders>
            <w:noWrap w:val="0"/>
            <w:vAlign w:val="top"/>
          </w:tcPr>
          <w:p w14:paraId="479ED126">
            <w:pPr>
              <w:pStyle w:val="7"/>
              <w:tabs>
                <w:tab w:val="left" w:pos="1575"/>
              </w:tabs>
              <w:kinsoku w:val="0"/>
              <w:overflowPunct w:val="0"/>
              <w:spacing w:before="25"/>
              <w:ind w:left="8"/>
              <w:jc w:val="center"/>
              <w:rPr>
                <w:rFonts w:hint="eastAsia"/>
                <w:b/>
                <w:sz w:val="24"/>
                <w:szCs w:val="24"/>
              </w:rPr>
            </w:pPr>
            <w:bookmarkStart w:id="9" w:name="大写         ￥"/>
            <w:bookmarkEnd w:id="9"/>
            <w:r>
              <w:rPr>
                <w:rFonts w:hint="eastAsia"/>
                <w:b/>
                <w:sz w:val="24"/>
                <w:szCs w:val="24"/>
              </w:rPr>
              <w:t>大写</w:t>
            </w:r>
            <w:r>
              <w:rPr>
                <w:rFonts w:hint="eastAsia"/>
                <w:b/>
                <w:sz w:val="24"/>
                <w:szCs w:val="24"/>
              </w:rPr>
              <w:tab/>
            </w:r>
            <w:r>
              <w:rPr>
                <w:rFonts w:hint="eastAsia"/>
                <w:b/>
                <w:sz w:val="24"/>
                <w:szCs w:val="24"/>
              </w:rPr>
              <w:t>￥</w:t>
            </w:r>
          </w:p>
        </w:tc>
      </w:tr>
      <w:tr w14:paraId="19DDF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417" w:type="dxa"/>
            <w:gridSpan w:val="2"/>
            <w:tcBorders>
              <w:top w:val="single" w:color="000000" w:sz="4" w:space="0"/>
              <w:left w:val="single" w:color="000000" w:sz="12" w:space="0"/>
              <w:bottom w:val="single" w:color="000000" w:sz="4" w:space="0"/>
              <w:right w:val="single" w:color="000000" w:sz="4" w:space="0"/>
              <w:tl2br w:val="nil"/>
              <w:tr2bl w:val="nil"/>
            </w:tcBorders>
            <w:noWrap w:val="0"/>
            <w:vAlign w:val="top"/>
          </w:tcPr>
          <w:p w14:paraId="6AA10315">
            <w:pPr>
              <w:pStyle w:val="7"/>
              <w:kinsoku w:val="0"/>
              <w:overflowPunct w:val="0"/>
              <w:spacing w:before="27"/>
              <w:ind w:firstLine="229" w:firstLineChars="100"/>
              <w:rPr>
                <w:rFonts w:hint="default" w:eastAsia="仿宋"/>
                <w:b/>
                <w:w w:val="95"/>
                <w:sz w:val="24"/>
                <w:szCs w:val="24"/>
                <w:lang w:val="en-US" w:eastAsia="zh-CN"/>
              </w:rPr>
            </w:pPr>
            <w:bookmarkStart w:id="10" w:name="建设周期"/>
            <w:bookmarkEnd w:id="10"/>
            <w:r>
              <w:rPr>
                <w:rFonts w:hint="eastAsia"/>
                <w:b/>
                <w:w w:val="95"/>
                <w:sz w:val="24"/>
                <w:szCs w:val="24"/>
                <w:lang w:val="en-US" w:eastAsia="zh-CN"/>
              </w:rPr>
              <w:t>服务期限</w:t>
            </w:r>
          </w:p>
        </w:tc>
        <w:tc>
          <w:tcPr>
            <w:tcW w:w="6558" w:type="dxa"/>
            <w:gridSpan w:val="4"/>
            <w:tcBorders>
              <w:top w:val="single" w:color="000000" w:sz="4" w:space="0"/>
              <w:left w:val="single" w:color="000000" w:sz="4" w:space="0"/>
              <w:bottom w:val="single" w:color="000000" w:sz="4" w:space="0"/>
              <w:right w:val="single" w:color="000000" w:sz="12" w:space="0"/>
              <w:tl2br w:val="nil"/>
              <w:tr2bl w:val="nil"/>
            </w:tcBorders>
            <w:noWrap w:val="0"/>
            <w:vAlign w:val="top"/>
          </w:tcPr>
          <w:p w14:paraId="62B695C1">
            <w:pPr>
              <w:pStyle w:val="7"/>
              <w:kinsoku w:val="0"/>
              <w:overflowPunct w:val="0"/>
              <w:rPr>
                <w:rFonts w:hint="default" w:ascii="Times New Roman" w:hAnsi="Times New Roman" w:eastAsia="Times New Roman"/>
                <w:sz w:val="24"/>
                <w:szCs w:val="24"/>
              </w:rPr>
            </w:pPr>
          </w:p>
        </w:tc>
      </w:tr>
      <w:tr w14:paraId="2208C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417" w:type="dxa"/>
            <w:gridSpan w:val="2"/>
            <w:tcBorders>
              <w:top w:val="single" w:color="000000" w:sz="4" w:space="0"/>
              <w:left w:val="single" w:color="000000" w:sz="12" w:space="0"/>
              <w:bottom w:val="single" w:color="000000" w:sz="12" w:space="0"/>
              <w:right w:val="single" w:color="000000" w:sz="4" w:space="0"/>
              <w:tl2br w:val="nil"/>
              <w:tr2bl w:val="nil"/>
            </w:tcBorders>
            <w:noWrap w:val="0"/>
            <w:vAlign w:val="top"/>
          </w:tcPr>
          <w:p w14:paraId="7082F477">
            <w:pPr>
              <w:pStyle w:val="7"/>
              <w:kinsoku w:val="0"/>
              <w:overflowPunct w:val="0"/>
              <w:spacing w:before="45"/>
              <w:ind w:right="840" w:firstLine="229" w:firstLineChars="100"/>
              <w:jc w:val="both"/>
              <w:rPr>
                <w:rFonts w:hint="eastAsia"/>
                <w:b/>
                <w:w w:val="95"/>
                <w:sz w:val="24"/>
                <w:szCs w:val="24"/>
              </w:rPr>
            </w:pPr>
            <w:bookmarkStart w:id="11" w:name="质保期"/>
            <w:bookmarkEnd w:id="11"/>
            <w:r>
              <w:rPr>
                <w:rFonts w:hint="eastAsia"/>
                <w:b/>
                <w:w w:val="95"/>
                <w:sz w:val="24"/>
                <w:szCs w:val="24"/>
              </w:rPr>
              <w:t>质保期</w:t>
            </w:r>
          </w:p>
        </w:tc>
        <w:tc>
          <w:tcPr>
            <w:tcW w:w="6558" w:type="dxa"/>
            <w:gridSpan w:val="4"/>
            <w:tcBorders>
              <w:top w:val="single" w:color="000000" w:sz="4" w:space="0"/>
              <w:left w:val="single" w:color="000000" w:sz="4" w:space="0"/>
              <w:bottom w:val="single" w:color="000000" w:sz="12" w:space="0"/>
              <w:right w:val="single" w:color="000000" w:sz="12" w:space="0"/>
              <w:tl2br w:val="nil"/>
              <w:tr2bl w:val="nil"/>
            </w:tcBorders>
            <w:noWrap w:val="0"/>
            <w:vAlign w:val="top"/>
          </w:tcPr>
          <w:p w14:paraId="42D46639">
            <w:pPr>
              <w:pStyle w:val="7"/>
              <w:kinsoku w:val="0"/>
              <w:overflowPunct w:val="0"/>
              <w:rPr>
                <w:rFonts w:hint="default" w:ascii="Times New Roman" w:hAnsi="Times New Roman" w:eastAsia="Times New Roman"/>
                <w:sz w:val="24"/>
                <w:szCs w:val="24"/>
              </w:rPr>
            </w:pPr>
          </w:p>
        </w:tc>
      </w:tr>
    </w:tbl>
    <w:p w14:paraId="2DBBD2BC">
      <w:pPr>
        <w:pStyle w:val="3"/>
        <w:tabs>
          <w:tab w:val="left" w:pos="1551"/>
        </w:tabs>
        <w:kinsoku w:val="0"/>
        <w:overflowPunct w:val="0"/>
        <w:spacing w:before="0"/>
        <w:ind w:left="588"/>
        <w:rPr>
          <w:rFonts w:hint="eastAsia"/>
          <w:w w:val="95"/>
          <w:sz w:val="24"/>
          <w:szCs w:val="24"/>
        </w:rPr>
      </w:pPr>
      <w:r>
        <w:rPr>
          <w:rFonts w:hint="eastAsia"/>
          <w:sz w:val="24"/>
          <w:szCs w:val="24"/>
        </w:rPr>
        <w:t>第二条</w:t>
      </w:r>
      <w:r>
        <w:rPr>
          <w:rFonts w:hint="eastAsia"/>
          <w:sz w:val="24"/>
          <w:szCs w:val="24"/>
        </w:rPr>
        <w:tab/>
      </w:r>
      <w:r>
        <w:rPr>
          <w:rFonts w:hint="eastAsia"/>
          <w:w w:val="95"/>
          <w:sz w:val="24"/>
          <w:szCs w:val="24"/>
        </w:rPr>
        <w:t>合同价款</w:t>
      </w:r>
    </w:p>
    <w:p w14:paraId="6104CA1E">
      <w:pPr>
        <w:pStyle w:val="4"/>
        <w:tabs>
          <w:tab w:val="left" w:pos="5314"/>
          <w:tab w:val="left" w:pos="7495"/>
        </w:tabs>
        <w:kinsoku w:val="0"/>
        <w:overflowPunct w:val="0"/>
        <w:spacing w:before="106" w:line="321" w:lineRule="auto"/>
        <w:ind w:right="157" w:firstLine="470"/>
        <w:jc w:val="both"/>
        <w:rPr>
          <w:rFonts w:hint="eastAsia"/>
          <w:sz w:val="24"/>
          <w:szCs w:val="24"/>
        </w:rPr>
      </w:pPr>
      <w:r>
        <w:rPr>
          <w:rFonts w:hint="eastAsia"/>
          <w:sz w:val="24"/>
          <w:szCs w:val="24"/>
        </w:rPr>
        <w:t>1.合同价款为人民币大写：</w:t>
      </w:r>
      <w:r>
        <w:rPr>
          <w:rFonts w:hint="eastAsia"/>
          <w:sz w:val="24"/>
          <w:szCs w:val="24"/>
          <w:u w:val="single"/>
        </w:rPr>
        <w:t xml:space="preserve"> </w:t>
      </w:r>
      <w:r>
        <w:rPr>
          <w:rFonts w:hint="eastAsia"/>
          <w:sz w:val="24"/>
          <w:szCs w:val="24"/>
          <w:u w:val="single"/>
        </w:rPr>
        <w:tab/>
      </w:r>
      <w:r>
        <w:rPr>
          <w:rFonts w:hint="eastAsia"/>
          <w:sz w:val="24"/>
          <w:szCs w:val="24"/>
        </w:rPr>
        <w:t>元（小写：</w:t>
      </w:r>
      <w:r>
        <w:rPr>
          <w:rFonts w:hint="eastAsia"/>
          <w:sz w:val="24"/>
          <w:szCs w:val="24"/>
          <w:u w:val="single"/>
        </w:rPr>
        <w:t xml:space="preserve"> </w:t>
      </w:r>
      <w:r>
        <w:rPr>
          <w:rFonts w:hint="eastAsia"/>
          <w:sz w:val="24"/>
          <w:szCs w:val="24"/>
          <w:u w:val="single"/>
        </w:rPr>
        <w:tab/>
      </w:r>
      <w:r>
        <w:rPr>
          <w:rFonts w:hint="eastAsia"/>
          <w:sz w:val="24"/>
          <w:szCs w:val="24"/>
        </w:rPr>
        <w:t>元）。本项目合 同价款采用总价合同</w:t>
      </w:r>
      <w:r>
        <w:rPr>
          <w:rFonts w:hint="eastAsia"/>
          <w:spacing w:val="-51"/>
          <w:sz w:val="24"/>
          <w:szCs w:val="24"/>
        </w:rPr>
        <w:t>，</w:t>
      </w:r>
      <w:r>
        <w:rPr>
          <w:rFonts w:hint="eastAsia"/>
          <w:sz w:val="24"/>
          <w:szCs w:val="24"/>
        </w:rPr>
        <w:t>即成交供应商的投标具体内容及其中标总金额不受市场和工作量变化的影响。</w:t>
      </w:r>
    </w:p>
    <w:p w14:paraId="33A8F86C">
      <w:pPr>
        <w:pStyle w:val="4"/>
        <w:tabs>
          <w:tab w:val="left" w:pos="5518"/>
        </w:tabs>
        <w:kinsoku w:val="0"/>
        <w:overflowPunct w:val="0"/>
        <w:spacing w:before="24"/>
        <w:ind w:left="598"/>
        <w:rPr>
          <w:rFonts w:hint="eastAsia"/>
          <w:sz w:val="24"/>
          <w:szCs w:val="24"/>
        </w:rPr>
      </w:pPr>
      <w:r>
        <w:rPr>
          <w:rFonts w:hint="eastAsia"/>
          <w:sz w:val="24"/>
          <w:szCs w:val="24"/>
        </w:rPr>
        <w:t>2.本合同价款：</w:t>
      </w:r>
      <w:r>
        <w:rPr>
          <w:rFonts w:hint="eastAsia"/>
          <w:sz w:val="24"/>
          <w:szCs w:val="24"/>
          <w:u w:val="single"/>
        </w:rPr>
        <w:t xml:space="preserve"> </w:t>
      </w:r>
      <w:r>
        <w:rPr>
          <w:rFonts w:hint="eastAsia"/>
          <w:sz w:val="24"/>
          <w:szCs w:val="24"/>
          <w:u w:val="single"/>
        </w:rPr>
        <w:tab/>
      </w:r>
      <w:r>
        <w:rPr>
          <w:rFonts w:hint="eastAsia"/>
          <w:sz w:val="24"/>
          <w:szCs w:val="24"/>
        </w:rPr>
        <w:t>。</w:t>
      </w:r>
    </w:p>
    <w:p w14:paraId="03240705">
      <w:pPr>
        <w:pStyle w:val="4"/>
        <w:kinsoku w:val="0"/>
        <w:overflowPunct w:val="0"/>
        <w:ind w:left="598"/>
        <w:rPr>
          <w:rFonts w:hint="eastAsia"/>
          <w:sz w:val="24"/>
          <w:szCs w:val="24"/>
        </w:rPr>
      </w:pPr>
      <w:r>
        <w:rPr>
          <w:rFonts w:hint="eastAsia"/>
          <w:sz w:val="24"/>
          <w:szCs w:val="24"/>
        </w:rPr>
        <w:t>3.本合同价款还应包含乙方在采购中的采购服务费及售后服务费用。</w:t>
      </w:r>
    </w:p>
    <w:p w14:paraId="0D3AB705">
      <w:pPr>
        <w:pStyle w:val="4"/>
        <w:kinsoku w:val="0"/>
        <w:overflowPunct w:val="0"/>
        <w:spacing w:line="321" w:lineRule="auto"/>
        <w:ind w:right="92" w:firstLine="480"/>
        <w:rPr>
          <w:rFonts w:hint="eastAsia"/>
          <w:sz w:val="24"/>
          <w:szCs w:val="24"/>
        </w:rPr>
      </w:pPr>
      <w:r>
        <w:rPr>
          <w:rFonts w:hint="eastAsia"/>
          <w:sz w:val="24"/>
          <w:szCs w:val="24"/>
        </w:rPr>
        <w:t>4.本合同执行期间合同价款不变，甲方无须另向乙方支付本合同规定之外的其他任何费用。</w:t>
      </w:r>
    </w:p>
    <w:p w14:paraId="779F7665">
      <w:pPr>
        <w:pStyle w:val="3"/>
        <w:tabs>
          <w:tab w:val="left" w:pos="1560"/>
        </w:tabs>
        <w:kinsoku w:val="0"/>
        <w:overflowPunct w:val="0"/>
        <w:rPr>
          <w:rFonts w:hint="eastAsia"/>
          <w:w w:val="95"/>
          <w:sz w:val="24"/>
          <w:szCs w:val="24"/>
        </w:rPr>
      </w:pPr>
      <w:r>
        <w:rPr>
          <w:rFonts w:hint="eastAsia"/>
          <w:sz w:val="24"/>
          <w:szCs w:val="24"/>
        </w:rPr>
        <w:t>第三条</w:t>
      </w:r>
      <w:r>
        <w:rPr>
          <w:rFonts w:hint="eastAsia"/>
          <w:sz w:val="24"/>
          <w:szCs w:val="24"/>
        </w:rPr>
        <w:tab/>
      </w:r>
      <w:r>
        <w:rPr>
          <w:rFonts w:hint="eastAsia"/>
          <w:w w:val="95"/>
          <w:sz w:val="24"/>
          <w:szCs w:val="24"/>
        </w:rPr>
        <w:t>合同价款支付</w:t>
      </w:r>
    </w:p>
    <w:p w14:paraId="411A7F61">
      <w:pPr>
        <w:pStyle w:val="3"/>
        <w:tabs>
          <w:tab w:val="left" w:pos="1560"/>
        </w:tabs>
        <w:kinsoku w:val="0"/>
        <w:overflowPunct w:val="0"/>
        <w:rPr>
          <w:rFonts w:hint="eastAsia"/>
          <w:w w:val="95"/>
          <w:sz w:val="24"/>
          <w:szCs w:val="24"/>
        </w:rPr>
        <w:sectPr>
          <w:type w:val="continuous"/>
          <w:pgSz w:w="11910" w:h="16840"/>
          <w:pgMar w:top="1480" w:right="1260" w:bottom="1180" w:left="1300" w:header="720" w:footer="720" w:gutter="0"/>
          <w:lnNumType w:countBy="0" w:distance="360"/>
          <w:cols w:space="720" w:num="1"/>
        </w:sectPr>
      </w:pPr>
    </w:p>
    <w:p w14:paraId="0AD4FAFB">
      <w:pPr>
        <w:pStyle w:val="4"/>
        <w:kinsoku w:val="0"/>
        <w:overflowPunct w:val="0"/>
        <w:spacing w:before="1"/>
        <w:ind w:left="595"/>
        <w:rPr>
          <w:rFonts w:hint="eastAsia"/>
          <w:sz w:val="24"/>
          <w:szCs w:val="24"/>
        </w:rPr>
      </w:pPr>
      <w:r>
        <w:rPr>
          <w:rFonts w:hint="eastAsia"/>
          <w:sz w:val="24"/>
          <w:szCs w:val="24"/>
        </w:rPr>
        <w:t>1.合同价款支付方式：甲乙双方自行商定。</w:t>
      </w:r>
    </w:p>
    <w:p w14:paraId="44461FC2">
      <w:pPr>
        <w:pStyle w:val="4"/>
        <w:kinsoku w:val="0"/>
        <w:overflowPunct w:val="0"/>
        <w:spacing w:before="106"/>
        <w:ind w:left="595"/>
        <w:rPr>
          <w:rFonts w:hint="eastAsia"/>
          <w:sz w:val="24"/>
          <w:szCs w:val="24"/>
        </w:rPr>
      </w:pPr>
      <w:r>
        <w:rPr>
          <w:rFonts w:hint="eastAsia"/>
          <w:sz w:val="24"/>
          <w:szCs w:val="24"/>
        </w:rPr>
        <w:t>2.乙方须向甲方出具合法有效的完税发票，甲方进行支付结算。</w:t>
      </w:r>
    </w:p>
    <w:p w14:paraId="1F88296D">
      <w:pPr>
        <w:pStyle w:val="4"/>
        <w:kinsoku w:val="0"/>
        <w:overflowPunct w:val="0"/>
        <w:spacing w:before="106" w:line="321" w:lineRule="auto"/>
        <w:ind w:left="598" w:right="6172"/>
        <w:rPr>
          <w:rFonts w:hint="eastAsia"/>
          <w:b/>
          <w:sz w:val="24"/>
          <w:szCs w:val="24"/>
        </w:rPr>
      </w:pPr>
      <w:r>
        <w:rPr>
          <w:rFonts w:hint="eastAsia"/>
          <w:sz w:val="24"/>
          <w:szCs w:val="24"/>
        </w:rPr>
        <w:t>3.结算方式：银行转账。</w:t>
      </w:r>
      <w:r>
        <w:rPr>
          <w:rFonts w:hint="eastAsia"/>
          <w:b/>
          <w:sz w:val="24"/>
          <w:szCs w:val="24"/>
        </w:rPr>
        <w:t>第四条 交货时间与地点</w:t>
      </w:r>
    </w:p>
    <w:p w14:paraId="430D4558">
      <w:pPr>
        <w:pStyle w:val="4"/>
        <w:kinsoku w:val="0"/>
        <w:overflowPunct w:val="0"/>
        <w:spacing w:before="24"/>
        <w:ind w:left="680"/>
        <w:rPr>
          <w:rFonts w:hint="eastAsia"/>
          <w:sz w:val="24"/>
          <w:szCs w:val="24"/>
        </w:rPr>
      </w:pPr>
      <w:r>
        <w:rPr>
          <w:rFonts w:hint="eastAsia"/>
          <w:sz w:val="24"/>
          <w:szCs w:val="24"/>
        </w:rPr>
        <w:t>1.乙方在合同签订生效之日起，按甲方指定时间完成各项服务内容。</w:t>
      </w:r>
    </w:p>
    <w:p w14:paraId="69D0F8AC">
      <w:pPr>
        <w:pStyle w:val="4"/>
        <w:kinsoku w:val="0"/>
        <w:overflowPunct w:val="0"/>
        <w:spacing w:before="107" w:line="321" w:lineRule="auto"/>
        <w:ind w:right="237" w:firstLine="561"/>
        <w:jc w:val="both"/>
        <w:rPr>
          <w:rFonts w:hint="eastAsia"/>
          <w:spacing w:val="-8"/>
          <w:sz w:val="24"/>
          <w:szCs w:val="24"/>
        </w:rPr>
      </w:pPr>
      <w:r>
        <w:rPr>
          <w:rFonts w:hint="eastAsia"/>
          <w:sz w:val="24"/>
          <w:szCs w:val="24"/>
          <w:lang w:val="en-US" w:eastAsia="zh-CN"/>
        </w:rPr>
        <w:t>2</w:t>
      </w:r>
      <w:r>
        <w:rPr>
          <w:rFonts w:hint="eastAsia"/>
          <w:sz w:val="24"/>
          <w:szCs w:val="24"/>
        </w:rPr>
        <w:t>.成交供应商遇到可能妨碍按时提供服务的情况，应当及时以书面形式通知采购</w:t>
      </w:r>
      <w:r>
        <w:rPr>
          <w:rFonts w:hint="eastAsia"/>
          <w:spacing w:val="-8"/>
          <w:sz w:val="24"/>
          <w:szCs w:val="24"/>
        </w:rPr>
        <w:t>人，说明原由、拖延的期限等；采购人在收到通知后，尽快进行情况评估并确定是否通过修改合同，酌情延长交货时间或者通过协商加收误期赔偿金。</w:t>
      </w:r>
    </w:p>
    <w:p w14:paraId="1068C96B">
      <w:pPr>
        <w:pStyle w:val="3"/>
        <w:kinsoku w:val="0"/>
        <w:overflowPunct w:val="0"/>
        <w:spacing w:before="23"/>
        <w:rPr>
          <w:rFonts w:hint="eastAsia"/>
          <w:sz w:val="24"/>
          <w:szCs w:val="24"/>
        </w:rPr>
      </w:pPr>
      <w:r>
        <w:rPr>
          <w:rFonts w:hint="eastAsia"/>
          <w:sz w:val="24"/>
          <w:szCs w:val="24"/>
        </w:rPr>
        <w:t>第五条 权利保证</w:t>
      </w:r>
    </w:p>
    <w:p w14:paraId="1AC65AC9">
      <w:pPr>
        <w:pStyle w:val="4"/>
        <w:kinsoku w:val="0"/>
        <w:overflowPunct w:val="0"/>
        <w:ind w:left="598"/>
        <w:rPr>
          <w:rFonts w:hint="eastAsia"/>
          <w:sz w:val="24"/>
          <w:szCs w:val="24"/>
        </w:rPr>
      </w:pPr>
      <w:r>
        <w:rPr>
          <w:rFonts w:hint="eastAsia"/>
          <w:sz w:val="24"/>
          <w:szCs w:val="24"/>
        </w:rPr>
        <w:t>1.乙方保证对其提供的服务内容享有合法的权利。</w:t>
      </w:r>
    </w:p>
    <w:p w14:paraId="3E6325EE">
      <w:pPr>
        <w:pStyle w:val="4"/>
        <w:kinsoku w:val="0"/>
        <w:overflowPunct w:val="0"/>
        <w:ind w:left="598"/>
        <w:rPr>
          <w:rFonts w:hint="eastAsia"/>
          <w:spacing w:val="-9"/>
          <w:sz w:val="24"/>
          <w:szCs w:val="24"/>
        </w:rPr>
      </w:pPr>
      <w:r>
        <w:rPr>
          <w:rFonts w:hint="eastAsia"/>
          <w:sz w:val="24"/>
          <w:szCs w:val="24"/>
        </w:rPr>
        <w:t>2.</w:t>
      </w:r>
      <w:r>
        <w:rPr>
          <w:rFonts w:hint="eastAsia"/>
          <w:spacing w:val="-9"/>
          <w:sz w:val="24"/>
          <w:szCs w:val="24"/>
        </w:rPr>
        <w:t>乙方保证对其提供的服务成果内容真实、合法、有效性，并承担相应的法律责任。</w:t>
      </w:r>
    </w:p>
    <w:p w14:paraId="3EAFF350">
      <w:pPr>
        <w:pStyle w:val="4"/>
        <w:kinsoku w:val="0"/>
        <w:overflowPunct w:val="0"/>
        <w:spacing w:line="321" w:lineRule="auto"/>
        <w:ind w:right="172" w:firstLine="480"/>
        <w:rPr>
          <w:rFonts w:hint="eastAsia"/>
          <w:sz w:val="24"/>
          <w:szCs w:val="24"/>
        </w:rPr>
      </w:pPr>
      <w:r>
        <w:rPr>
          <w:rFonts w:hint="eastAsia"/>
          <w:sz w:val="24"/>
          <w:szCs w:val="24"/>
        </w:rPr>
        <w:t>3.乙方保证对其提供的服务成果内容没有侵犯第三方的专利权、版权、商标权或其他权利。</w:t>
      </w:r>
    </w:p>
    <w:p w14:paraId="49CAA6AA">
      <w:pPr>
        <w:pStyle w:val="4"/>
        <w:tabs>
          <w:tab w:val="left" w:pos="4078"/>
        </w:tabs>
        <w:kinsoku w:val="0"/>
        <w:overflowPunct w:val="0"/>
        <w:spacing w:line="321" w:lineRule="auto"/>
        <w:ind w:right="237" w:firstLine="480"/>
        <w:rPr>
          <w:rFonts w:hint="eastAsia"/>
          <w:sz w:val="24"/>
          <w:szCs w:val="24"/>
        </w:rPr>
      </w:pPr>
      <w:r>
        <w:rPr>
          <w:rFonts w:hint="eastAsia"/>
          <w:sz w:val="24"/>
          <w:szCs w:val="24"/>
        </w:rPr>
        <w:t>4.如甲方在使用中构成上述侵权的，则由乙方承担全部责任。</w:t>
      </w:r>
    </w:p>
    <w:p w14:paraId="3114AE89">
      <w:pPr>
        <w:pStyle w:val="3"/>
        <w:kinsoku w:val="0"/>
        <w:overflowPunct w:val="0"/>
        <w:spacing w:before="23"/>
        <w:rPr>
          <w:rFonts w:hint="eastAsia"/>
          <w:sz w:val="24"/>
          <w:szCs w:val="24"/>
        </w:rPr>
      </w:pPr>
      <w:r>
        <w:rPr>
          <w:rFonts w:hint="eastAsia"/>
          <w:sz w:val="24"/>
          <w:szCs w:val="24"/>
        </w:rPr>
        <w:t>第</w:t>
      </w:r>
      <w:r>
        <w:rPr>
          <w:rFonts w:hint="eastAsia"/>
          <w:sz w:val="24"/>
          <w:szCs w:val="24"/>
          <w:lang w:val="en-US" w:eastAsia="zh-CN"/>
        </w:rPr>
        <w:t>六</w:t>
      </w:r>
      <w:r>
        <w:rPr>
          <w:rFonts w:hint="eastAsia"/>
          <w:sz w:val="24"/>
          <w:szCs w:val="24"/>
        </w:rPr>
        <w:t>条 违约责任</w:t>
      </w:r>
    </w:p>
    <w:p w14:paraId="5852F6E9">
      <w:pPr>
        <w:pStyle w:val="4"/>
        <w:kinsoku w:val="0"/>
        <w:overflowPunct w:val="0"/>
        <w:spacing w:before="107" w:line="321" w:lineRule="auto"/>
        <w:ind w:right="223" w:firstLine="480"/>
        <w:rPr>
          <w:rFonts w:hint="eastAsia"/>
          <w:spacing w:val="-7"/>
          <w:sz w:val="24"/>
          <w:szCs w:val="24"/>
        </w:rPr>
      </w:pPr>
      <w:r>
        <w:rPr>
          <w:rFonts w:hint="eastAsia"/>
          <w:sz w:val="24"/>
          <w:szCs w:val="24"/>
        </w:rPr>
        <w:t>1.</w:t>
      </w:r>
      <w:r>
        <w:rPr>
          <w:rFonts w:hint="eastAsia"/>
          <w:spacing w:val="-7"/>
          <w:sz w:val="24"/>
          <w:szCs w:val="24"/>
        </w:rPr>
        <w:t>依据《中华人民共和国</w:t>
      </w:r>
      <w:r>
        <w:rPr>
          <w:rFonts w:hint="eastAsia"/>
          <w:sz w:val="24"/>
          <w:szCs w:val="24"/>
        </w:rPr>
        <w:t>民法典</w:t>
      </w:r>
      <w:r>
        <w:rPr>
          <w:rFonts w:hint="eastAsia"/>
          <w:spacing w:val="-7"/>
          <w:sz w:val="24"/>
          <w:szCs w:val="24"/>
        </w:rPr>
        <w:t>》、《中华人民共和国政府采购法》</w:t>
      </w:r>
      <w:r>
        <w:rPr>
          <w:rFonts w:hint="eastAsia"/>
          <w:spacing w:val="-7"/>
          <w:sz w:val="24"/>
          <w:szCs w:val="24"/>
          <w:lang w:val="en-US" w:eastAsia="zh-CN"/>
        </w:rPr>
        <w:t>等</w:t>
      </w:r>
      <w:r>
        <w:rPr>
          <w:rFonts w:hint="eastAsia"/>
          <w:spacing w:val="-7"/>
          <w:sz w:val="24"/>
          <w:szCs w:val="24"/>
        </w:rPr>
        <w:t>相关条款规定和本合同约定。</w:t>
      </w:r>
    </w:p>
    <w:p w14:paraId="1E71DABD">
      <w:pPr>
        <w:pStyle w:val="4"/>
        <w:kinsoku w:val="0"/>
        <w:overflowPunct w:val="0"/>
        <w:spacing w:before="23"/>
        <w:ind w:left="598"/>
        <w:rPr>
          <w:rFonts w:hint="eastAsia"/>
          <w:sz w:val="24"/>
          <w:szCs w:val="24"/>
        </w:rPr>
      </w:pPr>
      <w:r>
        <w:rPr>
          <w:rFonts w:hint="eastAsia"/>
          <w:sz w:val="24"/>
          <w:szCs w:val="24"/>
        </w:rPr>
        <w:t>2.甲方违约责任</w:t>
      </w:r>
    </w:p>
    <w:p w14:paraId="0E726075">
      <w:pPr>
        <w:pStyle w:val="8"/>
        <w:numPr>
          <w:ilvl w:val="0"/>
          <w:numId w:val="0"/>
        </w:numPr>
        <w:tabs>
          <w:tab w:val="left" w:pos="960"/>
        </w:tabs>
        <w:kinsoku w:val="0"/>
        <w:overflowPunct w:val="0"/>
        <w:ind w:left="598" w:firstLine="0"/>
        <w:rPr>
          <w:rFonts w:hint="eastAsia"/>
          <w:spacing w:val="15"/>
          <w:sz w:val="24"/>
          <w:szCs w:val="24"/>
        </w:rPr>
      </w:pPr>
      <w:r>
        <w:rPr>
          <w:rFonts w:hint="eastAsia"/>
          <w:sz w:val="24"/>
          <w:szCs w:val="24"/>
          <w:lang w:val="en-US" w:eastAsia="zh-CN"/>
        </w:rPr>
        <w:t>2.1</w:t>
      </w:r>
      <w:r>
        <w:rPr>
          <w:rFonts w:hint="eastAsia"/>
          <w:sz w:val="24"/>
          <w:szCs w:val="24"/>
        </w:rPr>
        <w:t>.甲方无正当理由拒收接受服务成果的，甲方应偿付合同总价</w:t>
      </w:r>
      <w:r>
        <w:rPr>
          <w:rFonts w:hint="eastAsia"/>
          <w:spacing w:val="15"/>
          <w:sz w:val="24"/>
          <w:szCs w:val="24"/>
          <w:u w:val="single"/>
        </w:rPr>
        <w:t xml:space="preserve"> %</w:t>
      </w:r>
      <w:r>
        <w:rPr>
          <w:rFonts w:hint="eastAsia"/>
          <w:spacing w:val="15"/>
          <w:sz w:val="24"/>
          <w:szCs w:val="24"/>
        </w:rPr>
        <w:t>的违约金；</w:t>
      </w:r>
    </w:p>
    <w:p w14:paraId="7B24447B">
      <w:pPr>
        <w:pStyle w:val="8"/>
        <w:numPr>
          <w:ilvl w:val="0"/>
          <w:numId w:val="0"/>
        </w:numPr>
        <w:tabs>
          <w:tab w:val="left" w:pos="964"/>
          <w:tab w:val="left" w:pos="8642"/>
        </w:tabs>
        <w:kinsoku w:val="0"/>
        <w:overflowPunct w:val="0"/>
        <w:spacing w:line="321" w:lineRule="auto"/>
        <w:ind w:left="598" w:right="237" w:firstLine="0"/>
        <w:rPr>
          <w:rFonts w:hint="eastAsia"/>
          <w:sz w:val="24"/>
          <w:szCs w:val="24"/>
        </w:rPr>
      </w:pPr>
      <w:r>
        <w:rPr>
          <w:rFonts w:hint="eastAsia"/>
          <w:sz w:val="24"/>
          <w:szCs w:val="24"/>
          <w:lang w:val="en-US" w:eastAsia="zh-CN"/>
        </w:rPr>
        <w:t>2.2</w:t>
      </w:r>
      <w:r>
        <w:rPr>
          <w:rFonts w:hint="eastAsia"/>
          <w:sz w:val="24"/>
          <w:szCs w:val="24"/>
        </w:rPr>
        <w:t>.甲方逾期付款的，除应及时付足费用外，应向乙方每天支付欠款总额</w:t>
      </w:r>
      <w:r>
        <w:rPr>
          <w:rFonts w:hint="eastAsia"/>
          <w:sz w:val="24"/>
          <w:szCs w:val="24"/>
          <w:u w:val="single"/>
        </w:rPr>
        <w:tab/>
      </w:r>
      <w:r>
        <w:rPr>
          <w:rFonts w:hint="eastAsia"/>
          <w:sz w:val="24"/>
          <w:szCs w:val="24"/>
        </w:rPr>
        <w:t>‰的滞纳金；但累计滞纳金总额不超过欠款总额的</w:t>
      </w:r>
      <w:r>
        <w:rPr>
          <w:rFonts w:hint="eastAsia"/>
          <w:spacing w:val="118"/>
          <w:sz w:val="24"/>
          <w:szCs w:val="24"/>
          <w:u w:val="single"/>
        </w:rPr>
        <w:t xml:space="preserve"> </w:t>
      </w:r>
      <w:r>
        <w:rPr>
          <w:rFonts w:hint="eastAsia"/>
          <w:sz w:val="24"/>
          <w:szCs w:val="24"/>
          <w:u w:val="single"/>
        </w:rPr>
        <w:t>%</w:t>
      </w:r>
      <w:r>
        <w:rPr>
          <w:rFonts w:hint="eastAsia"/>
          <w:sz w:val="24"/>
          <w:szCs w:val="24"/>
        </w:rPr>
        <w:t>。</w:t>
      </w:r>
    </w:p>
    <w:p w14:paraId="3CFE19ED">
      <w:pPr>
        <w:pStyle w:val="4"/>
        <w:kinsoku w:val="0"/>
        <w:overflowPunct w:val="0"/>
        <w:spacing w:before="23"/>
        <w:ind w:left="598"/>
        <w:rPr>
          <w:rFonts w:hint="eastAsia"/>
          <w:sz w:val="24"/>
          <w:szCs w:val="24"/>
        </w:rPr>
      </w:pPr>
      <w:r>
        <w:rPr>
          <w:rFonts w:hint="eastAsia"/>
          <w:sz w:val="24"/>
          <w:szCs w:val="24"/>
        </w:rPr>
        <w:t>3.乙方违约责任</w:t>
      </w:r>
    </w:p>
    <w:p w14:paraId="3708BE7A">
      <w:pPr>
        <w:pStyle w:val="8"/>
        <w:numPr>
          <w:ilvl w:val="1"/>
          <w:numId w:val="2"/>
        </w:numPr>
        <w:tabs>
          <w:tab w:val="left" w:pos="960"/>
        </w:tabs>
        <w:kinsoku w:val="0"/>
        <w:overflowPunct w:val="0"/>
        <w:spacing w:line="321" w:lineRule="auto"/>
        <w:ind w:right="237" w:firstLine="480"/>
        <w:rPr>
          <w:rFonts w:hint="eastAsia"/>
          <w:spacing w:val="15"/>
          <w:sz w:val="24"/>
          <w:szCs w:val="24"/>
        </w:rPr>
      </w:pPr>
      <w:r>
        <w:rPr>
          <w:rFonts w:hint="eastAsia"/>
          <w:spacing w:val="-3"/>
          <w:sz w:val="24"/>
          <w:szCs w:val="24"/>
        </w:rPr>
        <w:t>.如乙方不能交付服务成果的</w:t>
      </w:r>
      <w:r>
        <w:rPr>
          <w:rFonts w:hint="eastAsia"/>
          <w:spacing w:val="-3"/>
          <w:sz w:val="24"/>
          <w:szCs w:val="24"/>
          <w:lang w:eastAsia="zh-CN"/>
        </w:rPr>
        <w:t>，</w:t>
      </w:r>
      <w:r>
        <w:rPr>
          <w:rFonts w:hint="eastAsia"/>
          <w:spacing w:val="-3"/>
          <w:sz w:val="24"/>
          <w:szCs w:val="24"/>
        </w:rPr>
        <w:t>乙方应向甲方支付合同总价</w:t>
      </w:r>
      <w:r>
        <w:rPr>
          <w:rFonts w:hint="eastAsia"/>
          <w:spacing w:val="15"/>
          <w:sz w:val="24"/>
          <w:szCs w:val="24"/>
          <w:u w:val="single"/>
        </w:rPr>
        <w:t xml:space="preserve"> ％</w:t>
      </w:r>
      <w:r>
        <w:rPr>
          <w:rFonts w:hint="eastAsia"/>
          <w:spacing w:val="15"/>
          <w:sz w:val="24"/>
          <w:szCs w:val="24"/>
        </w:rPr>
        <w:t>的违约金；</w:t>
      </w:r>
    </w:p>
    <w:p w14:paraId="34198B1B">
      <w:pPr>
        <w:pStyle w:val="8"/>
        <w:numPr>
          <w:ilvl w:val="1"/>
          <w:numId w:val="2"/>
        </w:numPr>
        <w:tabs>
          <w:tab w:val="left" w:pos="960"/>
          <w:tab w:val="left" w:pos="5998"/>
        </w:tabs>
        <w:kinsoku w:val="0"/>
        <w:overflowPunct w:val="0"/>
        <w:spacing w:before="24" w:line="324" w:lineRule="auto"/>
        <w:ind w:right="237" w:firstLine="480"/>
        <w:rPr>
          <w:rFonts w:hint="eastAsia"/>
          <w:sz w:val="24"/>
          <w:szCs w:val="24"/>
        </w:rPr>
      </w:pPr>
      <w:r>
        <w:rPr>
          <w:rFonts w:hint="eastAsia"/>
          <w:sz w:val="24"/>
          <w:szCs w:val="24"/>
        </w:rPr>
        <w:t>.乙方逾期交付服务成果的</w:t>
      </w:r>
      <w:r>
        <w:rPr>
          <w:rFonts w:hint="eastAsia"/>
          <w:spacing w:val="-27"/>
          <w:sz w:val="24"/>
          <w:szCs w:val="24"/>
        </w:rPr>
        <w:t>，</w:t>
      </w:r>
      <w:r>
        <w:rPr>
          <w:rFonts w:hint="eastAsia"/>
          <w:sz w:val="24"/>
          <w:szCs w:val="24"/>
        </w:rPr>
        <w:t>每逾期</w:t>
      </w:r>
      <w:r>
        <w:rPr>
          <w:rFonts w:hint="eastAsia"/>
          <w:spacing w:val="-60"/>
          <w:sz w:val="24"/>
          <w:szCs w:val="24"/>
        </w:rPr>
        <w:t xml:space="preserve"> </w:t>
      </w:r>
      <w:r>
        <w:rPr>
          <w:rFonts w:hint="eastAsia"/>
          <w:sz w:val="24"/>
          <w:szCs w:val="24"/>
        </w:rPr>
        <w:t>1</w:t>
      </w:r>
      <w:r>
        <w:rPr>
          <w:rFonts w:hint="eastAsia"/>
          <w:spacing w:val="-60"/>
          <w:sz w:val="24"/>
          <w:szCs w:val="24"/>
        </w:rPr>
        <w:t xml:space="preserve"> </w:t>
      </w:r>
      <w:r>
        <w:rPr>
          <w:rFonts w:hint="eastAsia"/>
          <w:sz w:val="24"/>
          <w:szCs w:val="24"/>
        </w:rPr>
        <w:t>天</w:t>
      </w:r>
      <w:r>
        <w:rPr>
          <w:rFonts w:hint="eastAsia"/>
          <w:spacing w:val="-24"/>
          <w:sz w:val="24"/>
          <w:szCs w:val="24"/>
        </w:rPr>
        <w:t>，</w:t>
      </w:r>
      <w:r>
        <w:rPr>
          <w:rFonts w:hint="eastAsia"/>
          <w:sz w:val="24"/>
          <w:szCs w:val="24"/>
        </w:rPr>
        <w:t>乙方向甲方偿付逾期交付服务成果费用总额的</w:t>
      </w:r>
      <w:r>
        <w:rPr>
          <w:rFonts w:hint="eastAsia"/>
          <w:spacing w:val="118"/>
          <w:sz w:val="24"/>
          <w:szCs w:val="24"/>
          <w:u w:val="single"/>
        </w:rPr>
        <w:t xml:space="preserve"> </w:t>
      </w:r>
      <w:r>
        <w:rPr>
          <w:rFonts w:hint="eastAsia"/>
          <w:sz w:val="24"/>
          <w:szCs w:val="24"/>
          <w:u w:val="single"/>
        </w:rPr>
        <w:t>‰</w:t>
      </w:r>
      <w:r>
        <w:rPr>
          <w:rFonts w:hint="eastAsia"/>
          <w:sz w:val="24"/>
          <w:szCs w:val="24"/>
        </w:rPr>
        <w:t>的滞纳金。如乙方逾期交付服务成果达</w:t>
      </w:r>
      <w:r>
        <w:rPr>
          <w:rFonts w:hint="eastAsia"/>
          <w:sz w:val="24"/>
          <w:szCs w:val="24"/>
          <w:u w:val="single"/>
        </w:rPr>
        <w:t xml:space="preserve"> </w:t>
      </w:r>
      <w:r>
        <w:rPr>
          <w:rFonts w:hint="eastAsia"/>
          <w:sz w:val="24"/>
          <w:szCs w:val="24"/>
          <w:u w:val="single"/>
        </w:rPr>
        <w:tab/>
      </w:r>
      <w:r>
        <w:rPr>
          <w:rFonts w:hint="eastAsia"/>
          <w:sz w:val="24"/>
          <w:szCs w:val="24"/>
        </w:rPr>
        <w:t>天，甲方有权解除合同，解除</w:t>
      </w:r>
    </w:p>
    <w:p w14:paraId="565F6712">
      <w:pPr>
        <w:pStyle w:val="4"/>
        <w:kinsoku w:val="0"/>
        <w:overflowPunct w:val="0"/>
        <w:spacing w:before="1"/>
        <w:ind w:left="0"/>
        <w:rPr>
          <w:rFonts w:hint="eastAsia"/>
          <w:sz w:val="24"/>
          <w:szCs w:val="24"/>
        </w:rPr>
      </w:pPr>
      <w:r>
        <w:rPr>
          <w:rFonts w:hint="eastAsia"/>
          <w:sz w:val="24"/>
          <w:szCs w:val="24"/>
        </w:rPr>
        <w:t>合同的通知自到达乙方时生效；</w:t>
      </w:r>
    </w:p>
    <w:p w14:paraId="6DB45654">
      <w:pPr>
        <w:pStyle w:val="8"/>
        <w:numPr>
          <w:ilvl w:val="1"/>
          <w:numId w:val="2"/>
        </w:numPr>
        <w:tabs>
          <w:tab w:val="left" w:pos="1080"/>
        </w:tabs>
        <w:kinsoku w:val="0"/>
        <w:overflowPunct w:val="0"/>
        <w:spacing w:before="106" w:line="321" w:lineRule="auto"/>
        <w:ind w:left="238" w:right="105" w:firstLine="480"/>
        <w:jc w:val="both"/>
        <w:rPr>
          <w:rFonts w:hint="eastAsia"/>
          <w:spacing w:val="15"/>
          <w:sz w:val="24"/>
          <w:szCs w:val="24"/>
        </w:rPr>
      </w:pPr>
      <w:r>
        <w:rPr>
          <w:rFonts w:hint="eastAsia"/>
          <w:sz w:val="24"/>
          <w:szCs w:val="24"/>
        </w:rPr>
        <w:t>.乙方所交付的服务成果内容不符合合同规定的，甲方有权拒收。甲方拒收的， 乙方应向甲方支付成果费用总额</w:t>
      </w:r>
      <w:r>
        <w:rPr>
          <w:rFonts w:hint="eastAsia"/>
          <w:spacing w:val="15"/>
          <w:sz w:val="24"/>
          <w:szCs w:val="24"/>
          <w:u w:val="single"/>
        </w:rPr>
        <w:t xml:space="preserve"> %</w:t>
      </w:r>
      <w:r>
        <w:rPr>
          <w:rFonts w:hint="eastAsia"/>
          <w:spacing w:val="15"/>
          <w:sz w:val="24"/>
          <w:szCs w:val="24"/>
        </w:rPr>
        <w:t>的违约金；</w:t>
      </w:r>
    </w:p>
    <w:p w14:paraId="40F3A7F0">
      <w:pPr>
        <w:pStyle w:val="8"/>
        <w:numPr>
          <w:ilvl w:val="1"/>
          <w:numId w:val="2"/>
        </w:numPr>
        <w:tabs>
          <w:tab w:val="left" w:pos="1084"/>
        </w:tabs>
        <w:kinsoku w:val="0"/>
        <w:overflowPunct w:val="0"/>
        <w:spacing w:before="26" w:line="321" w:lineRule="auto"/>
        <w:ind w:left="238" w:right="158" w:firstLine="480"/>
        <w:jc w:val="both"/>
        <w:rPr>
          <w:rFonts w:hint="eastAsia"/>
          <w:spacing w:val="6"/>
          <w:sz w:val="24"/>
          <w:szCs w:val="24"/>
        </w:rPr>
      </w:pPr>
      <w:r>
        <w:rPr>
          <w:rFonts w:hint="eastAsia"/>
          <w:sz w:val="24"/>
          <w:szCs w:val="24"/>
        </w:rPr>
        <w:t>.乙方未按本合同的规定和“服务承诺”提供伴随服务/售后服务的，应按合同总价款的</w:t>
      </w:r>
      <w:r>
        <w:rPr>
          <w:rFonts w:hint="eastAsia"/>
          <w:spacing w:val="6"/>
          <w:sz w:val="24"/>
          <w:szCs w:val="24"/>
          <w:u w:val="single"/>
        </w:rPr>
        <w:t xml:space="preserve"> %</w:t>
      </w:r>
      <w:r>
        <w:rPr>
          <w:rFonts w:hint="eastAsia"/>
          <w:spacing w:val="6"/>
          <w:sz w:val="24"/>
          <w:szCs w:val="24"/>
        </w:rPr>
        <w:t>向甲方承担违约责任；</w:t>
      </w:r>
    </w:p>
    <w:p w14:paraId="7EE70A70">
      <w:pPr>
        <w:pStyle w:val="8"/>
        <w:numPr>
          <w:ilvl w:val="1"/>
          <w:numId w:val="2"/>
        </w:numPr>
        <w:tabs>
          <w:tab w:val="left" w:pos="1080"/>
        </w:tabs>
        <w:kinsoku w:val="0"/>
        <w:overflowPunct w:val="0"/>
        <w:spacing w:before="24"/>
        <w:ind w:left="1079"/>
        <w:rPr>
          <w:rFonts w:hint="eastAsia"/>
          <w:spacing w:val="-12"/>
          <w:sz w:val="24"/>
          <w:szCs w:val="24"/>
        </w:rPr>
      </w:pPr>
      <w:r>
        <w:rPr>
          <w:rFonts w:hint="eastAsia"/>
          <w:spacing w:val="-7"/>
          <w:sz w:val="24"/>
          <w:szCs w:val="24"/>
        </w:rPr>
        <w:t xml:space="preserve">.乙方在承担上述 </w:t>
      </w:r>
      <w:r>
        <w:rPr>
          <w:rFonts w:hint="eastAsia"/>
          <w:sz w:val="24"/>
          <w:szCs w:val="24"/>
        </w:rPr>
        <w:t>1-</w:t>
      </w:r>
      <w:r>
        <w:rPr>
          <w:rFonts w:hint="eastAsia"/>
          <w:sz w:val="24"/>
          <w:szCs w:val="24"/>
          <w:lang w:val="en-US" w:eastAsia="zh-CN"/>
        </w:rPr>
        <w:t>4</w:t>
      </w:r>
      <w:r>
        <w:rPr>
          <w:rFonts w:hint="eastAsia"/>
          <w:spacing w:val="-12"/>
          <w:sz w:val="24"/>
          <w:szCs w:val="24"/>
        </w:rPr>
        <w:t xml:space="preserve"> 款一项或多项违约责任后，仍应继续履行合同规定的义务</w:t>
      </w:r>
    </w:p>
    <w:p w14:paraId="51A2D5C9">
      <w:pPr>
        <w:pStyle w:val="4"/>
        <w:kinsoku w:val="0"/>
        <w:overflowPunct w:val="0"/>
        <w:spacing w:before="106" w:line="321" w:lineRule="auto"/>
        <w:ind w:left="238" w:right="12" w:hanging="120"/>
        <w:rPr>
          <w:rFonts w:hint="eastAsia"/>
          <w:sz w:val="24"/>
          <w:szCs w:val="24"/>
        </w:rPr>
      </w:pPr>
      <w:r>
        <w:rPr>
          <w:rFonts w:hint="eastAsia"/>
          <w:sz w:val="24"/>
          <w:szCs w:val="24"/>
        </w:rPr>
        <w:t>（甲方解除合同的除外）。甲方未能及时追究乙方的任何一项违约责任并不表明甲方放弃追究乙方该项或其他违约责任；</w:t>
      </w:r>
    </w:p>
    <w:p w14:paraId="792D1EC3">
      <w:pPr>
        <w:pStyle w:val="3"/>
        <w:kinsoku w:val="0"/>
        <w:overflowPunct w:val="0"/>
        <w:ind w:left="718"/>
        <w:rPr>
          <w:rFonts w:hint="eastAsia"/>
          <w:sz w:val="24"/>
          <w:szCs w:val="24"/>
        </w:rPr>
      </w:pPr>
      <w:r>
        <w:rPr>
          <w:rFonts w:hint="eastAsia"/>
          <w:sz w:val="24"/>
          <w:szCs w:val="24"/>
        </w:rPr>
        <w:t>第八条 合同的变更和终止</w:t>
      </w:r>
    </w:p>
    <w:p w14:paraId="20FE05CD">
      <w:pPr>
        <w:pStyle w:val="4"/>
        <w:kinsoku w:val="0"/>
        <w:overflowPunct w:val="0"/>
        <w:spacing w:before="106" w:line="321" w:lineRule="auto"/>
        <w:ind w:left="238" w:right="157" w:firstLine="360"/>
        <w:jc w:val="both"/>
        <w:rPr>
          <w:rFonts w:hint="eastAsia"/>
          <w:spacing w:val="-10"/>
          <w:sz w:val="24"/>
          <w:szCs w:val="24"/>
        </w:rPr>
      </w:pPr>
      <w:r>
        <w:rPr>
          <w:rFonts w:hint="eastAsia"/>
          <w:spacing w:val="-3"/>
          <w:sz w:val="24"/>
          <w:szCs w:val="24"/>
        </w:rPr>
        <w:t xml:space="preserve">除《中华人民共和国政府采购法》第 </w:t>
      </w:r>
      <w:r>
        <w:rPr>
          <w:rFonts w:hint="eastAsia"/>
          <w:sz w:val="24"/>
          <w:szCs w:val="24"/>
        </w:rPr>
        <w:t>49</w:t>
      </w:r>
      <w:r>
        <w:rPr>
          <w:rFonts w:hint="eastAsia"/>
          <w:spacing w:val="-20"/>
          <w:sz w:val="24"/>
          <w:szCs w:val="24"/>
        </w:rPr>
        <w:t xml:space="preserve"> 条、第 </w:t>
      </w:r>
      <w:r>
        <w:rPr>
          <w:rFonts w:hint="eastAsia"/>
          <w:sz w:val="24"/>
          <w:szCs w:val="24"/>
        </w:rPr>
        <w:t>50</w:t>
      </w:r>
      <w:r>
        <w:rPr>
          <w:rFonts w:hint="eastAsia"/>
          <w:spacing w:val="-7"/>
          <w:sz w:val="24"/>
          <w:szCs w:val="24"/>
        </w:rPr>
        <w:t xml:space="preserve"> 条第二款规定的情形外，本合同</w:t>
      </w:r>
      <w:r>
        <w:rPr>
          <w:rFonts w:hint="eastAsia"/>
          <w:spacing w:val="-10"/>
          <w:sz w:val="24"/>
          <w:szCs w:val="24"/>
        </w:rPr>
        <w:t>一经签订，甲乙双方不得擅自变更、中止或终止合同。对确需变更、调整或者中止、终止合同的，应按规定履行相应的手续。</w:t>
      </w:r>
    </w:p>
    <w:p w14:paraId="0F5AB615">
      <w:pPr>
        <w:pStyle w:val="3"/>
        <w:kinsoku w:val="0"/>
        <w:overflowPunct w:val="0"/>
        <w:ind w:left="718"/>
        <w:rPr>
          <w:rFonts w:hint="eastAsia"/>
          <w:sz w:val="24"/>
          <w:szCs w:val="24"/>
        </w:rPr>
      </w:pPr>
      <w:r>
        <w:rPr>
          <w:rFonts w:hint="eastAsia"/>
          <w:sz w:val="24"/>
          <w:szCs w:val="24"/>
        </w:rPr>
        <w:t>第九条 争议的解决</w:t>
      </w:r>
    </w:p>
    <w:p w14:paraId="3A2B244E">
      <w:pPr>
        <w:pStyle w:val="4"/>
        <w:kinsoku w:val="0"/>
        <w:overflowPunct w:val="0"/>
        <w:spacing w:line="321" w:lineRule="auto"/>
        <w:ind w:left="238" w:right="157" w:firstLine="480"/>
        <w:jc w:val="both"/>
        <w:rPr>
          <w:rFonts w:hint="eastAsia"/>
          <w:spacing w:val="-8"/>
          <w:sz w:val="24"/>
          <w:szCs w:val="24"/>
        </w:rPr>
      </w:pPr>
      <w:r>
        <w:rPr>
          <w:rFonts w:hint="eastAsia"/>
          <w:sz w:val="24"/>
          <w:szCs w:val="24"/>
        </w:rPr>
        <w:t>1.</w:t>
      </w:r>
      <w:r>
        <w:rPr>
          <w:rFonts w:hint="eastAsia"/>
          <w:spacing w:val="-4"/>
          <w:sz w:val="24"/>
          <w:szCs w:val="24"/>
        </w:rPr>
        <w:t>因服务成果内容问题发生争议，由质量技术监督部门或其指定的质量鉴定机构进</w:t>
      </w:r>
      <w:r>
        <w:rPr>
          <w:rFonts w:hint="eastAsia"/>
          <w:spacing w:val="-8"/>
          <w:sz w:val="24"/>
          <w:szCs w:val="24"/>
        </w:rPr>
        <w:t>行质量鉴定。服务成果内容符合标准的，鉴定费由甲方承担；服务成果内容不符合质量标准的，鉴定费由乙方承担。</w:t>
      </w:r>
    </w:p>
    <w:p w14:paraId="072A843D">
      <w:pPr>
        <w:pStyle w:val="4"/>
        <w:kinsoku w:val="0"/>
        <w:overflowPunct w:val="0"/>
        <w:spacing w:before="23" w:line="321" w:lineRule="auto"/>
        <w:ind w:left="238" w:right="157" w:firstLine="480"/>
        <w:jc w:val="both"/>
        <w:rPr>
          <w:rFonts w:hint="eastAsia"/>
          <w:sz w:val="24"/>
          <w:szCs w:val="24"/>
        </w:rPr>
      </w:pPr>
      <w:r>
        <w:rPr>
          <w:rFonts w:hint="eastAsia"/>
          <w:sz w:val="24"/>
          <w:szCs w:val="24"/>
        </w:rPr>
        <w:t>2.</w:t>
      </w:r>
      <w:r>
        <w:rPr>
          <w:rFonts w:hint="eastAsia"/>
          <w:spacing w:val="-3"/>
          <w:sz w:val="24"/>
          <w:szCs w:val="24"/>
        </w:rPr>
        <w:t>因履行本合同引起的或与本合同有关的争议，甲、乙双方应首先通过友好协商解决，如果协商不成，则采取以下第</w:t>
      </w:r>
      <w:r>
        <w:rPr>
          <w:rFonts w:hint="eastAsia"/>
          <w:spacing w:val="-3"/>
          <w:sz w:val="24"/>
          <w:szCs w:val="24"/>
          <w:u w:val="single"/>
        </w:rPr>
        <w:t xml:space="preserve"> </w:t>
      </w:r>
      <w:r>
        <w:rPr>
          <w:rFonts w:hint="eastAsia"/>
          <w:spacing w:val="-3"/>
          <w:sz w:val="24"/>
          <w:szCs w:val="24"/>
          <w:u w:val="single"/>
          <w:lang w:val="en-US" w:eastAsia="zh-CN"/>
        </w:rPr>
        <w:t xml:space="preserve"> </w:t>
      </w:r>
      <w:r>
        <w:rPr>
          <w:rFonts w:hint="eastAsia"/>
          <w:sz w:val="24"/>
          <w:szCs w:val="24"/>
          <w:u w:val="single"/>
        </w:rPr>
        <w:t xml:space="preserve"> </w:t>
      </w:r>
      <w:r>
        <w:rPr>
          <w:rFonts w:hint="eastAsia"/>
          <w:sz w:val="24"/>
          <w:szCs w:val="24"/>
        </w:rPr>
        <w:t>种方式解决争议：</w:t>
      </w:r>
    </w:p>
    <w:p w14:paraId="48FAE49D">
      <w:pPr>
        <w:pStyle w:val="8"/>
        <w:numPr>
          <w:ilvl w:val="1"/>
          <w:numId w:val="3"/>
        </w:numPr>
        <w:tabs>
          <w:tab w:val="left" w:pos="1080"/>
        </w:tabs>
        <w:kinsoku w:val="0"/>
        <w:overflowPunct w:val="0"/>
        <w:spacing w:before="23"/>
        <w:ind w:left="1079"/>
        <w:rPr>
          <w:rFonts w:hint="eastAsia"/>
          <w:sz w:val="24"/>
          <w:szCs w:val="24"/>
        </w:rPr>
      </w:pPr>
      <w:r>
        <w:rPr>
          <w:rFonts w:hint="eastAsia"/>
          <w:sz w:val="24"/>
          <w:szCs w:val="24"/>
        </w:rPr>
        <w:t>.向甲方所在地有管辖权的人民法院提起诉讼；</w:t>
      </w:r>
    </w:p>
    <w:p w14:paraId="07FAB4C9">
      <w:pPr>
        <w:pStyle w:val="8"/>
        <w:numPr>
          <w:ilvl w:val="1"/>
          <w:numId w:val="3"/>
        </w:numPr>
        <w:tabs>
          <w:tab w:val="left" w:pos="1080"/>
        </w:tabs>
        <w:kinsoku w:val="0"/>
        <w:overflowPunct w:val="0"/>
        <w:ind w:left="1079"/>
        <w:rPr>
          <w:rFonts w:hint="eastAsia"/>
          <w:sz w:val="24"/>
          <w:szCs w:val="24"/>
        </w:rPr>
      </w:pPr>
      <w:r>
        <w:rPr>
          <w:rFonts w:hint="eastAsia"/>
          <w:sz w:val="24"/>
          <w:szCs w:val="24"/>
        </w:rPr>
        <w:t>.向甲方仲裁委员会按其仲裁规则申请仲裁。</w:t>
      </w:r>
    </w:p>
    <w:p w14:paraId="78987506">
      <w:pPr>
        <w:pStyle w:val="4"/>
        <w:kinsoku w:val="0"/>
        <w:overflowPunct w:val="0"/>
        <w:spacing w:line="321" w:lineRule="auto"/>
        <w:ind w:left="718" w:right="4772"/>
        <w:rPr>
          <w:rFonts w:hint="eastAsia"/>
          <w:b/>
          <w:sz w:val="24"/>
          <w:szCs w:val="24"/>
        </w:rPr>
      </w:pPr>
      <w:r>
        <w:rPr>
          <w:rFonts w:hint="eastAsia"/>
          <w:sz w:val="24"/>
          <w:szCs w:val="24"/>
        </w:rPr>
        <w:t>3．在仲裁期间，本合同应继续履行。</w:t>
      </w:r>
      <w:r>
        <w:rPr>
          <w:rFonts w:hint="eastAsia"/>
          <w:b/>
          <w:sz w:val="24"/>
          <w:szCs w:val="24"/>
        </w:rPr>
        <w:t>第十条 合同文件</w:t>
      </w:r>
    </w:p>
    <w:p w14:paraId="167A47F4">
      <w:pPr>
        <w:pStyle w:val="4"/>
        <w:kinsoku w:val="0"/>
        <w:overflowPunct w:val="0"/>
        <w:spacing w:before="23" w:line="321" w:lineRule="auto"/>
        <w:ind w:left="238" w:right="157" w:firstLine="480"/>
        <w:jc w:val="both"/>
        <w:rPr>
          <w:rFonts w:hint="eastAsia"/>
          <w:spacing w:val="-7"/>
          <w:sz w:val="24"/>
          <w:szCs w:val="24"/>
        </w:rPr>
      </w:pPr>
      <w:r>
        <w:rPr>
          <w:rFonts w:hint="eastAsia"/>
          <w:spacing w:val="-2"/>
          <w:sz w:val="24"/>
          <w:szCs w:val="24"/>
        </w:rPr>
        <w:t>详细技术说明及其他有关合同项目的特定信息由合同附件予以说明，下列文件构成</w:t>
      </w:r>
      <w:r>
        <w:rPr>
          <w:rFonts w:hint="eastAsia"/>
          <w:spacing w:val="-7"/>
          <w:sz w:val="24"/>
          <w:szCs w:val="24"/>
        </w:rPr>
        <w:t>本合同的组成部分，应该认为是一个整体，彼此相互解释，相互补充。组成合同的多个文件的优先支配地位的次序如下：</w:t>
      </w:r>
    </w:p>
    <w:p w14:paraId="42D782D1">
      <w:pPr>
        <w:pStyle w:val="4"/>
        <w:kinsoku w:val="0"/>
        <w:overflowPunct w:val="0"/>
        <w:spacing w:before="23"/>
        <w:ind w:left="776"/>
        <w:rPr>
          <w:rFonts w:hint="eastAsia"/>
          <w:sz w:val="24"/>
          <w:szCs w:val="24"/>
        </w:rPr>
      </w:pPr>
      <w:r>
        <w:rPr>
          <w:rFonts w:hint="eastAsia"/>
          <w:sz w:val="24"/>
          <w:szCs w:val="24"/>
        </w:rPr>
        <w:t>1.本合同协议书</w:t>
      </w:r>
    </w:p>
    <w:p w14:paraId="60BCE4AD">
      <w:pPr>
        <w:pStyle w:val="4"/>
        <w:kinsoku w:val="0"/>
        <w:overflowPunct w:val="0"/>
        <w:ind w:left="776"/>
        <w:rPr>
          <w:rFonts w:hint="eastAsia"/>
          <w:sz w:val="24"/>
          <w:szCs w:val="24"/>
        </w:rPr>
      </w:pPr>
      <w:r>
        <w:rPr>
          <w:rFonts w:hint="eastAsia"/>
          <w:sz w:val="24"/>
          <w:szCs w:val="24"/>
        </w:rPr>
        <w:t>2.中标通知书</w:t>
      </w:r>
    </w:p>
    <w:p w14:paraId="1CCC3438">
      <w:pPr>
        <w:pStyle w:val="4"/>
        <w:kinsoku w:val="0"/>
        <w:overflowPunct w:val="0"/>
        <w:spacing w:before="23"/>
        <w:ind w:left="776"/>
        <w:rPr>
          <w:rFonts w:hint="eastAsia" w:cs="Times New Roman"/>
          <w:sz w:val="24"/>
          <w:szCs w:val="24"/>
        </w:rPr>
      </w:pPr>
      <w:r>
        <w:rPr>
          <w:rFonts w:hint="eastAsia" w:cs="Times New Roman"/>
          <w:sz w:val="24"/>
          <w:szCs w:val="24"/>
        </w:rPr>
        <w:t>3.招标文件(含澄清文件)</w:t>
      </w:r>
    </w:p>
    <w:p w14:paraId="7CE85B3D">
      <w:pPr>
        <w:pStyle w:val="4"/>
        <w:kinsoku w:val="0"/>
        <w:overflowPunct w:val="0"/>
        <w:spacing w:before="23"/>
        <w:ind w:left="776"/>
        <w:rPr>
          <w:rFonts w:hint="eastAsia" w:cs="Times New Roman"/>
          <w:sz w:val="24"/>
          <w:szCs w:val="24"/>
        </w:rPr>
      </w:pPr>
      <w:r>
        <w:rPr>
          <w:rFonts w:hint="eastAsia" w:cs="Times New Roman"/>
          <w:sz w:val="24"/>
          <w:szCs w:val="24"/>
        </w:rPr>
        <w:t>4.投标响应文件</w:t>
      </w:r>
    </w:p>
    <w:p w14:paraId="1AC0B951">
      <w:pPr>
        <w:pStyle w:val="3"/>
        <w:kinsoku w:val="0"/>
        <w:overflowPunct w:val="0"/>
        <w:spacing w:before="106"/>
        <w:ind w:left="736"/>
        <w:rPr>
          <w:rFonts w:hint="eastAsia"/>
          <w:sz w:val="24"/>
          <w:szCs w:val="24"/>
        </w:rPr>
      </w:pPr>
      <w:r>
        <w:rPr>
          <w:rFonts w:hint="eastAsia"/>
          <w:sz w:val="24"/>
          <w:szCs w:val="24"/>
        </w:rPr>
        <w:t>第十一条 合同生效及其他</w:t>
      </w:r>
    </w:p>
    <w:p w14:paraId="59B1464C">
      <w:pPr>
        <w:pStyle w:val="4"/>
        <w:kinsoku w:val="0"/>
        <w:overflowPunct w:val="0"/>
        <w:spacing w:before="106"/>
        <w:ind w:left="736"/>
        <w:rPr>
          <w:rFonts w:hint="eastAsia"/>
          <w:sz w:val="24"/>
          <w:szCs w:val="24"/>
        </w:rPr>
      </w:pPr>
      <w:r>
        <w:rPr>
          <w:rFonts w:hint="eastAsia"/>
          <w:sz w:val="24"/>
          <w:szCs w:val="24"/>
        </w:rPr>
        <w:t>1.如有未尽事宜，由双方依法订立补充合同。</w:t>
      </w:r>
    </w:p>
    <w:p w14:paraId="61C6A0A3">
      <w:pPr>
        <w:pStyle w:val="4"/>
        <w:kinsoku w:val="0"/>
        <w:overflowPunct w:val="0"/>
        <w:spacing w:before="106"/>
        <w:ind w:left="736"/>
        <w:rPr>
          <w:rFonts w:hint="eastAsia"/>
          <w:sz w:val="24"/>
          <w:szCs w:val="24"/>
        </w:rPr>
      </w:pPr>
      <w:r>
        <w:rPr>
          <w:rFonts w:hint="eastAsia"/>
          <w:sz w:val="24"/>
          <w:szCs w:val="24"/>
        </w:rPr>
        <w:t>2.本合同自签订之日起生效。</w:t>
      </w:r>
    </w:p>
    <w:p w14:paraId="5F4D70D2">
      <w:pPr>
        <w:pStyle w:val="4"/>
        <w:tabs>
          <w:tab w:val="left" w:pos="2535"/>
          <w:tab w:val="left" w:pos="7023"/>
          <w:tab w:val="left" w:pos="7827"/>
        </w:tabs>
        <w:kinsoku w:val="0"/>
        <w:overflowPunct w:val="0"/>
        <w:spacing w:before="106" w:line="321" w:lineRule="auto"/>
        <w:ind w:left="198" w:right="197" w:firstLine="537"/>
        <w:rPr>
          <w:rFonts w:hint="eastAsia"/>
          <w:sz w:val="24"/>
          <w:szCs w:val="24"/>
        </w:rPr>
      </w:pPr>
      <w:r>
        <w:rPr>
          <w:rFonts w:hint="eastAsia"/>
          <w:sz w:val="24"/>
          <w:szCs w:val="24"/>
        </w:rPr>
        <w:t>3.本合同一式</w:t>
      </w:r>
      <w:r>
        <w:rPr>
          <w:rFonts w:hint="eastAsia"/>
          <w:sz w:val="24"/>
          <w:szCs w:val="24"/>
          <w:u w:val="single"/>
        </w:rPr>
        <w:t xml:space="preserve"> </w:t>
      </w:r>
      <w:r>
        <w:rPr>
          <w:rFonts w:hint="eastAsia"/>
          <w:sz w:val="24"/>
          <w:szCs w:val="24"/>
          <w:u w:val="single"/>
        </w:rPr>
        <w:tab/>
      </w:r>
      <w:r>
        <w:rPr>
          <w:rFonts w:hint="eastAsia"/>
          <w:sz w:val="24"/>
          <w:szCs w:val="24"/>
        </w:rPr>
        <w:t>份</w:t>
      </w:r>
      <w:r>
        <w:rPr>
          <w:rFonts w:hint="eastAsia"/>
          <w:spacing w:val="-36"/>
          <w:sz w:val="24"/>
          <w:szCs w:val="24"/>
        </w:rPr>
        <w:t>，</w:t>
      </w:r>
      <w:r>
        <w:rPr>
          <w:rFonts w:hint="eastAsia"/>
          <w:sz w:val="24"/>
          <w:szCs w:val="24"/>
        </w:rPr>
        <w:t>具有同等法律效力</w:t>
      </w:r>
      <w:r>
        <w:rPr>
          <w:rFonts w:hint="eastAsia"/>
          <w:spacing w:val="-36"/>
          <w:sz w:val="24"/>
          <w:szCs w:val="24"/>
        </w:rPr>
        <w:t>，</w:t>
      </w:r>
      <w:r>
        <w:rPr>
          <w:rFonts w:hint="eastAsia"/>
          <w:sz w:val="24"/>
          <w:szCs w:val="24"/>
        </w:rPr>
        <w:t>甲乙双方各执</w:t>
      </w:r>
      <w:r>
        <w:rPr>
          <w:rFonts w:hint="eastAsia"/>
          <w:sz w:val="24"/>
          <w:szCs w:val="24"/>
          <w:u w:val="single"/>
        </w:rPr>
        <w:t xml:space="preserve"> </w:t>
      </w:r>
      <w:r>
        <w:rPr>
          <w:rFonts w:hint="eastAsia"/>
          <w:sz w:val="24"/>
          <w:szCs w:val="24"/>
          <w:u w:val="single"/>
        </w:rPr>
        <w:tab/>
      </w:r>
      <w:r>
        <w:rPr>
          <w:rFonts w:hint="eastAsia"/>
          <w:sz w:val="24"/>
          <w:szCs w:val="24"/>
        </w:rPr>
        <w:t>份</w:t>
      </w:r>
      <w:r>
        <w:rPr>
          <w:rFonts w:hint="eastAsia"/>
          <w:spacing w:val="-36"/>
          <w:sz w:val="24"/>
          <w:szCs w:val="24"/>
        </w:rPr>
        <w:t>，</w:t>
      </w:r>
      <w:r>
        <w:rPr>
          <w:rFonts w:hint="eastAsia"/>
          <w:spacing w:val="-36"/>
          <w:sz w:val="24"/>
          <w:szCs w:val="24"/>
          <w:u w:val="single"/>
        </w:rPr>
        <w:t xml:space="preserve"> </w:t>
      </w:r>
      <w:r>
        <w:rPr>
          <w:rFonts w:hint="eastAsia"/>
          <w:spacing w:val="-36"/>
          <w:sz w:val="24"/>
          <w:szCs w:val="24"/>
          <w:u w:val="single"/>
        </w:rPr>
        <w:tab/>
      </w:r>
      <w:r>
        <w:rPr>
          <w:rFonts w:hint="eastAsia"/>
          <w:sz w:val="24"/>
          <w:szCs w:val="24"/>
        </w:rPr>
        <w:t>份报送政府采购监督管理部门备案，一份采购代理机构存档。</w:t>
      </w:r>
    </w:p>
    <w:p w14:paraId="4EE69350">
      <w:pPr>
        <w:pStyle w:val="4"/>
        <w:kinsoku w:val="0"/>
        <w:overflowPunct w:val="0"/>
        <w:spacing w:before="9"/>
        <w:ind w:left="0"/>
        <w:rPr>
          <w:rFonts w:hint="eastAsia"/>
          <w:sz w:val="28"/>
          <w:szCs w:val="24"/>
        </w:rPr>
      </w:pPr>
    </w:p>
    <w:tbl>
      <w:tblPr>
        <w:tblStyle w:val="5"/>
        <w:tblW w:w="0" w:type="auto"/>
        <w:tblInd w:w="2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09"/>
        <w:gridCol w:w="4610"/>
      </w:tblGrid>
      <w:tr w14:paraId="5C30F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6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C2855D">
            <w:pPr>
              <w:pStyle w:val="7"/>
              <w:tabs>
                <w:tab w:val="left" w:pos="696"/>
              </w:tabs>
              <w:kinsoku w:val="0"/>
              <w:overflowPunct w:val="0"/>
              <w:spacing w:before="72"/>
              <w:ind w:left="217"/>
              <w:jc w:val="center"/>
              <w:rPr>
                <w:rFonts w:hint="eastAsia"/>
                <w:sz w:val="24"/>
                <w:szCs w:val="24"/>
              </w:rPr>
            </w:pPr>
            <w:r>
              <w:rPr>
                <w:rFonts w:hint="eastAsia"/>
                <w:sz w:val="24"/>
                <w:szCs w:val="24"/>
              </w:rPr>
              <w:t>甲</w:t>
            </w:r>
            <w:r>
              <w:rPr>
                <w:rFonts w:hint="eastAsia"/>
                <w:sz w:val="24"/>
                <w:szCs w:val="24"/>
              </w:rPr>
              <w:tab/>
            </w:r>
            <w:r>
              <w:rPr>
                <w:rFonts w:hint="eastAsia"/>
                <w:sz w:val="24"/>
                <w:szCs w:val="24"/>
              </w:rPr>
              <w:t>方</w:t>
            </w:r>
          </w:p>
        </w:tc>
        <w:tc>
          <w:tcPr>
            <w:tcW w:w="461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8ED960B">
            <w:pPr>
              <w:pStyle w:val="7"/>
              <w:tabs>
                <w:tab w:val="left" w:pos="698"/>
              </w:tabs>
              <w:kinsoku w:val="0"/>
              <w:overflowPunct w:val="0"/>
              <w:spacing w:before="72"/>
              <w:ind w:left="218"/>
              <w:jc w:val="center"/>
              <w:rPr>
                <w:rFonts w:hint="eastAsia"/>
                <w:sz w:val="24"/>
                <w:szCs w:val="24"/>
              </w:rPr>
            </w:pPr>
            <w:r>
              <w:rPr>
                <w:rFonts w:hint="eastAsia"/>
                <w:sz w:val="24"/>
                <w:szCs w:val="24"/>
              </w:rPr>
              <w:t>乙</w:t>
            </w:r>
            <w:r>
              <w:rPr>
                <w:rFonts w:hint="eastAsia"/>
                <w:sz w:val="24"/>
                <w:szCs w:val="24"/>
              </w:rPr>
              <w:tab/>
            </w:r>
            <w:r>
              <w:rPr>
                <w:rFonts w:hint="eastAsia"/>
                <w:sz w:val="24"/>
                <w:szCs w:val="24"/>
              </w:rPr>
              <w:t>方</w:t>
            </w:r>
          </w:p>
        </w:tc>
      </w:tr>
      <w:tr w14:paraId="076AE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46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F8DD9E4">
            <w:pPr>
              <w:pStyle w:val="7"/>
              <w:kinsoku w:val="0"/>
              <w:overflowPunct w:val="0"/>
              <w:spacing w:before="156"/>
              <w:ind w:left="103"/>
              <w:rPr>
                <w:rFonts w:hint="eastAsia"/>
                <w:sz w:val="24"/>
                <w:szCs w:val="24"/>
              </w:rPr>
            </w:pPr>
            <w:r>
              <w:rPr>
                <w:rFonts w:hint="eastAsia"/>
                <w:sz w:val="24"/>
                <w:szCs w:val="24"/>
              </w:rPr>
              <w:t>采购人（盖章）</w:t>
            </w:r>
          </w:p>
        </w:tc>
        <w:tc>
          <w:tcPr>
            <w:tcW w:w="461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29C27C0">
            <w:pPr>
              <w:pStyle w:val="7"/>
              <w:kinsoku w:val="0"/>
              <w:overflowPunct w:val="0"/>
              <w:spacing w:before="156"/>
              <w:ind w:left="102"/>
              <w:rPr>
                <w:rFonts w:hint="eastAsia"/>
                <w:sz w:val="24"/>
                <w:szCs w:val="24"/>
              </w:rPr>
            </w:pPr>
            <w:r>
              <w:rPr>
                <w:rFonts w:hint="eastAsia"/>
                <w:sz w:val="24"/>
                <w:szCs w:val="24"/>
              </w:rPr>
              <w:t>成交供应商全称（盖章）</w:t>
            </w:r>
          </w:p>
        </w:tc>
      </w:tr>
      <w:tr w14:paraId="7AE46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6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9475808">
            <w:pPr>
              <w:pStyle w:val="7"/>
              <w:kinsoku w:val="0"/>
              <w:overflowPunct w:val="0"/>
              <w:spacing w:before="73"/>
              <w:ind w:left="103"/>
              <w:rPr>
                <w:rFonts w:hint="eastAsia"/>
                <w:sz w:val="24"/>
                <w:szCs w:val="24"/>
              </w:rPr>
            </w:pPr>
            <w:r>
              <w:rPr>
                <w:rFonts w:hint="eastAsia"/>
                <w:sz w:val="24"/>
                <w:szCs w:val="24"/>
              </w:rPr>
              <w:t>地址：</w:t>
            </w:r>
          </w:p>
        </w:tc>
        <w:tc>
          <w:tcPr>
            <w:tcW w:w="461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02B9576">
            <w:pPr>
              <w:pStyle w:val="7"/>
              <w:kinsoku w:val="0"/>
              <w:overflowPunct w:val="0"/>
              <w:spacing w:before="73"/>
              <w:ind w:left="102"/>
              <w:rPr>
                <w:rFonts w:hint="eastAsia"/>
                <w:sz w:val="24"/>
                <w:szCs w:val="24"/>
              </w:rPr>
            </w:pPr>
            <w:r>
              <w:rPr>
                <w:rFonts w:hint="eastAsia"/>
                <w:sz w:val="24"/>
                <w:szCs w:val="24"/>
              </w:rPr>
              <w:t>地址：</w:t>
            </w:r>
          </w:p>
        </w:tc>
      </w:tr>
      <w:tr w14:paraId="6E021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6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D398C37">
            <w:pPr>
              <w:pStyle w:val="7"/>
              <w:kinsoku w:val="0"/>
              <w:overflowPunct w:val="0"/>
              <w:spacing w:before="73"/>
              <w:ind w:left="103"/>
              <w:rPr>
                <w:rFonts w:hint="eastAsia"/>
                <w:sz w:val="24"/>
                <w:szCs w:val="24"/>
              </w:rPr>
            </w:pPr>
            <w:r>
              <w:rPr>
                <w:rFonts w:hint="eastAsia"/>
                <w:sz w:val="24"/>
                <w:szCs w:val="24"/>
              </w:rPr>
              <w:t>邮编：</w:t>
            </w:r>
          </w:p>
        </w:tc>
        <w:tc>
          <w:tcPr>
            <w:tcW w:w="461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5BAC152">
            <w:pPr>
              <w:pStyle w:val="7"/>
              <w:kinsoku w:val="0"/>
              <w:overflowPunct w:val="0"/>
              <w:spacing w:before="73"/>
              <w:ind w:left="102"/>
              <w:rPr>
                <w:rFonts w:hint="eastAsia"/>
                <w:sz w:val="24"/>
                <w:szCs w:val="24"/>
              </w:rPr>
            </w:pPr>
            <w:r>
              <w:rPr>
                <w:rFonts w:hint="eastAsia"/>
                <w:sz w:val="24"/>
                <w:szCs w:val="24"/>
              </w:rPr>
              <w:t>邮编：</w:t>
            </w:r>
          </w:p>
        </w:tc>
      </w:tr>
      <w:tr w14:paraId="4073B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46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DEF6769">
            <w:pPr>
              <w:pStyle w:val="7"/>
              <w:kinsoku w:val="0"/>
              <w:overflowPunct w:val="0"/>
              <w:spacing w:before="73"/>
              <w:ind w:left="103"/>
              <w:rPr>
                <w:rFonts w:hint="eastAsia"/>
                <w:sz w:val="24"/>
                <w:szCs w:val="24"/>
              </w:rPr>
            </w:pPr>
            <w:r>
              <w:rPr>
                <w:rFonts w:hint="eastAsia"/>
                <w:sz w:val="24"/>
                <w:szCs w:val="24"/>
              </w:rPr>
              <w:t>法定代表人或被授权代表：</w:t>
            </w:r>
          </w:p>
          <w:p w14:paraId="676E7E48">
            <w:pPr>
              <w:pStyle w:val="7"/>
              <w:kinsoku w:val="0"/>
              <w:overflowPunct w:val="0"/>
              <w:spacing w:before="125"/>
              <w:ind w:left="2503"/>
              <w:rPr>
                <w:rFonts w:hint="eastAsia"/>
                <w:sz w:val="24"/>
                <w:szCs w:val="24"/>
              </w:rPr>
            </w:pPr>
            <w:r>
              <w:rPr>
                <w:rFonts w:hint="eastAsia"/>
                <w:sz w:val="24"/>
                <w:szCs w:val="24"/>
              </w:rPr>
              <w:t>（签字或盖章）：</w:t>
            </w:r>
          </w:p>
        </w:tc>
        <w:tc>
          <w:tcPr>
            <w:tcW w:w="461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552818">
            <w:pPr>
              <w:pStyle w:val="7"/>
              <w:kinsoku w:val="0"/>
              <w:overflowPunct w:val="0"/>
              <w:spacing w:before="73"/>
              <w:ind w:left="102"/>
              <w:rPr>
                <w:rFonts w:hint="eastAsia"/>
                <w:sz w:val="24"/>
                <w:szCs w:val="24"/>
              </w:rPr>
            </w:pPr>
            <w:r>
              <w:rPr>
                <w:rFonts w:hint="eastAsia"/>
                <w:sz w:val="24"/>
                <w:szCs w:val="24"/>
              </w:rPr>
              <w:t>法定代表人或被授权代表：</w:t>
            </w:r>
          </w:p>
          <w:p w14:paraId="3DA7EDA4">
            <w:pPr>
              <w:pStyle w:val="7"/>
              <w:kinsoku w:val="0"/>
              <w:overflowPunct w:val="0"/>
              <w:spacing w:before="125"/>
              <w:ind w:left="2502"/>
              <w:rPr>
                <w:rFonts w:hint="eastAsia"/>
                <w:sz w:val="24"/>
                <w:szCs w:val="24"/>
              </w:rPr>
            </w:pPr>
            <w:r>
              <w:rPr>
                <w:rFonts w:hint="eastAsia"/>
                <w:sz w:val="24"/>
                <w:szCs w:val="24"/>
              </w:rPr>
              <w:t>（签字或盖章）：</w:t>
            </w:r>
          </w:p>
        </w:tc>
      </w:tr>
      <w:tr w14:paraId="06BF4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6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BD07DA6">
            <w:pPr>
              <w:pStyle w:val="7"/>
              <w:kinsoku w:val="0"/>
              <w:overflowPunct w:val="0"/>
              <w:spacing w:before="73"/>
              <w:ind w:left="103"/>
              <w:rPr>
                <w:rFonts w:hint="eastAsia"/>
                <w:sz w:val="24"/>
                <w:szCs w:val="24"/>
              </w:rPr>
            </w:pPr>
            <w:r>
              <w:rPr>
                <w:rFonts w:hint="eastAsia"/>
                <w:sz w:val="24"/>
                <w:szCs w:val="24"/>
              </w:rPr>
              <w:t>电话：</w:t>
            </w:r>
          </w:p>
        </w:tc>
        <w:tc>
          <w:tcPr>
            <w:tcW w:w="461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F00314A">
            <w:pPr>
              <w:pStyle w:val="7"/>
              <w:kinsoku w:val="0"/>
              <w:overflowPunct w:val="0"/>
              <w:spacing w:before="73"/>
              <w:ind w:left="102"/>
              <w:rPr>
                <w:rFonts w:hint="eastAsia"/>
                <w:sz w:val="24"/>
                <w:szCs w:val="24"/>
              </w:rPr>
            </w:pPr>
            <w:r>
              <w:rPr>
                <w:rFonts w:hint="eastAsia"/>
                <w:sz w:val="24"/>
                <w:szCs w:val="24"/>
              </w:rPr>
              <w:t>电话：</w:t>
            </w:r>
          </w:p>
        </w:tc>
      </w:tr>
      <w:tr w14:paraId="78C22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6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CB74B89">
            <w:pPr>
              <w:pStyle w:val="7"/>
              <w:kinsoku w:val="0"/>
              <w:overflowPunct w:val="0"/>
              <w:spacing w:before="73"/>
              <w:ind w:left="103"/>
              <w:rPr>
                <w:rFonts w:hint="eastAsia"/>
                <w:sz w:val="24"/>
                <w:szCs w:val="24"/>
              </w:rPr>
            </w:pPr>
            <w:r>
              <w:rPr>
                <w:rFonts w:hint="eastAsia"/>
                <w:sz w:val="24"/>
                <w:szCs w:val="24"/>
              </w:rPr>
              <w:t>传真：</w:t>
            </w:r>
          </w:p>
        </w:tc>
        <w:tc>
          <w:tcPr>
            <w:tcW w:w="461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A6A1BC0">
            <w:pPr>
              <w:pStyle w:val="7"/>
              <w:kinsoku w:val="0"/>
              <w:overflowPunct w:val="0"/>
              <w:spacing w:before="73"/>
              <w:ind w:left="102"/>
              <w:rPr>
                <w:rFonts w:hint="eastAsia"/>
                <w:sz w:val="24"/>
                <w:szCs w:val="24"/>
              </w:rPr>
            </w:pPr>
            <w:r>
              <w:rPr>
                <w:rFonts w:hint="eastAsia"/>
                <w:sz w:val="24"/>
                <w:szCs w:val="24"/>
              </w:rPr>
              <w:t>传真：</w:t>
            </w:r>
          </w:p>
        </w:tc>
      </w:tr>
      <w:tr w14:paraId="5DB5D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6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6AD1997">
            <w:pPr>
              <w:pStyle w:val="7"/>
              <w:kinsoku w:val="0"/>
              <w:overflowPunct w:val="0"/>
              <w:spacing w:before="73"/>
              <w:ind w:left="103"/>
              <w:rPr>
                <w:rFonts w:hint="eastAsia"/>
                <w:sz w:val="24"/>
                <w:szCs w:val="24"/>
              </w:rPr>
            </w:pPr>
            <w:r>
              <w:rPr>
                <w:rFonts w:hint="eastAsia"/>
                <w:sz w:val="24"/>
                <w:szCs w:val="24"/>
              </w:rPr>
              <w:t>开户银行：</w:t>
            </w:r>
          </w:p>
        </w:tc>
        <w:tc>
          <w:tcPr>
            <w:tcW w:w="461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2554289">
            <w:pPr>
              <w:pStyle w:val="7"/>
              <w:kinsoku w:val="0"/>
              <w:overflowPunct w:val="0"/>
              <w:spacing w:before="73"/>
              <w:ind w:left="102"/>
              <w:rPr>
                <w:rFonts w:hint="eastAsia"/>
                <w:sz w:val="24"/>
                <w:szCs w:val="24"/>
              </w:rPr>
            </w:pPr>
            <w:r>
              <w:rPr>
                <w:rFonts w:hint="eastAsia"/>
                <w:sz w:val="24"/>
                <w:szCs w:val="24"/>
              </w:rPr>
              <w:t>开户银行：</w:t>
            </w:r>
          </w:p>
        </w:tc>
      </w:tr>
      <w:tr w14:paraId="5DBCF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6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6B58F12">
            <w:pPr>
              <w:pStyle w:val="7"/>
              <w:kinsoku w:val="0"/>
              <w:overflowPunct w:val="0"/>
              <w:spacing w:before="73"/>
              <w:ind w:left="103"/>
              <w:rPr>
                <w:rFonts w:hint="eastAsia"/>
                <w:sz w:val="24"/>
                <w:szCs w:val="24"/>
              </w:rPr>
            </w:pPr>
            <w:r>
              <w:rPr>
                <w:rFonts w:hint="eastAsia"/>
                <w:sz w:val="24"/>
                <w:szCs w:val="24"/>
              </w:rPr>
              <w:t>账号：</w:t>
            </w:r>
          </w:p>
        </w:tc>
        <w:tc>
          <w:tcPr>
            <w:tcW w:w="461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306A162">
            <w:pPr>
              <w:pStyle w:val="7"/>
              <w:kinsoku w:val="0"/>
              <w:overflowPunct w:val="0"/>
              <w:spacing w:before="73"/>
              <w:ind w:left="102"/>
              <w:rPr>
                <w:rFonts w:hint="eastAsia"/>
                <w:sz w:val="24"/>
                <w:szCs w:val="24"/>
              </w:rPr>
            </w:pPr>
            <w:r>
              <w:rPr>
                <w:rFonts w:hint="eastAsia"/>
                <w:sz w:val="24"/>
                <w:szCs w:val="24"/>
              </w:rPr>
              <w:t>账号：</w:t>
            </w:r>
          </w:p>
        </w:tc>
      </w:tr>
      <w:tr w14:paraId="18D10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60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0001EAF">
            <w:pPr>
              <w:pStyle w:val="7"/>
              <w:tabs>
                <w:tab w:val="left" w:pos="1423"/>
                <w:tab w:val="left" w:pos="2023"/>
                <w:tab w:val="left" w:pos="2623"/>
              </w:tabs>
              <w:kinsoku w:val="0"/>
              <w:overflowPunct w:val="0"/>
              <w:spacing w:before="109"/>
              <w:ind w:left="103"/>
              <w:rPr>
                <w:rFonts w:hint="eastAsia"/>
                <w:sz w:val="24"/>
                <w:szCs w:val="24"/>
              </w:rPr>
            </w:pPr>
            <w:r>
              <w:rPr>
                <w:rFonts w:hint="eastAsia"/>
                <w:sz w:val="24"/>
                <w:szCs w:val="24"/>
              </w:rPr>
              <w:t>日期：</w:t>
            </w:r>
            <w:r>
              <w:rPr>
                <w:rFonts w:hint="eastAsia"/>
                <w:sz w:val="24"/>
                <w:szCs w:val="24"/>
              </w:rPr>
              <w:tab/>
            </w:r>
            <w:r>
              <w:rPr>
                <w:rFonts w:hint="eastAsia"/>
                <w:sz w:val="24"/>
                <w:szCs w:val="24"/>
              </w:rPr>
              <w:t>年</w:t>
            </w:r>
            <w:r>
              <w:rPr>
                <w:rFonts w:hint="eastAsia"/>
                <w:sz w:val="24"/>
                <w:szCs w:val="24"/>
              </w:rPr>
              <w:tab/>
            </w:r>
            <w:r>
              <w:rPr>
                <w:rFonts w:hint="eastAsia"/>
                <w:sz w:val="24"/>
                <w:szCs w:val="24"/>
              </w:rPr>
              <w:t>月</w:t>
            </w:r>
            <w:r>
              <w:rPr>
                <w:rFonts w:hint="eastAsia"/>
                <w:sz w:val="24"/>
                <w:szCs w:val="24"/>
              </w:rPr>
              <w:tab/>
            </w:r>
            <w:r>
              <w:rPr>
                <w:rFonts w:hint="eastAsia"/>
                <w:sz w:val="24"/>
                <w:szCs w:val="24"/>
              </w:rPr>
              <w:t>日</w:t>
            </w:r>
          </w:p>
        </w:tc>
        <w:tc>
          <w:tcPr>
            <w:tcW w:w="461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BE87FFE">
            <w:pPr>
              <w:pStyle w:val="7"/>
              <w:tabs>
                <w:tab w:val="left" w:pos="1422"/>
                <w:tab w:val="left" w:pos="2022"/>
                <w:tab w:val="left" w:pos="2622"/>
              </w:tabs>
              <w:kinsoku w:val="0"/>
              <w:overflowPunct w:val="0"/>
              <w:spacing w:before="109"/>
              <w:ind w:left="102"/>
              <w:rPr>
                <w:rFonts w:hint="eastAsia"/>
                <w:sz w:val="24"/>
                <w:szCs w:val="24"/>
              </w:rPr>
            </w:pPr>
            <w:r>
              <w:rPr>
                <w:rFonts w:hint="eastAsia"/>
                <w:sz w:val="24"/>
                <w:szCs w:val="24"/>
              </w:rPr>
              <w:t>日期：</w:t>
            </w:r>
            <w:r>
              <w:rPr>
                <w:rFonts w:hint="eastAsia"/>
                <w:sz w:val="24"/>
                <w:szCs w:val="24"/>
              </w:rPr>
              <w:tab/>
            </w:r>
            <w:r>
              <w:rPr>
                <w:rFonts w:hint="eastAsia"/>
                <w:sz w:val="24"/>
                <w:szCs w:val="24"/>
              </w:rPr>
              <w:t>年</w:t>
            </w:r>
            <w:r>
              <w:rPr>
                <w:rFonts w:hint="eastAsia"/>
                <w:sz w:val="24"/>
                <w:szCs w:val="24"/>
              </w:rPr>
              <w:tab/>
            </w:r>
            <w:r>
              <w:rPr>
                <w:rFonts w:hint="eastAsia"/>
                <w:sz w:val="24"/>
                <w:szCs w:val="24"/>
              </w:rPr>
              <w:t>月</w:t>
            </w:r>
            <w:r>
              <w:rPr>
                <w:rFonts w:hint="eastAsia"/>
                <w:sz w:val="24"/>
                <w:szCs w:val="24"/>
              </w:rPr>
              <w:tab/>
            </w:r>
            <w:r>
              <w:rPr>
                <w:rFonts w:hint="eastAsia"/>
                <w:sz w:val="24"/>
                <w:szCs w:val="24"/>
              </w:rPr>
              <w:t>日</w:t>
            </w:r>
          </w:p>
        </w:tc>
      </w:tr>
    </w:tbl>
    <w:p w14:paraId="617CDA4D">
      <w:pPr>
        <w:rPr>
          <w:rFonts w:hint="eastAsia"/>
          <w:sz w:val="24"/>
          <w:szCs w:val="24"/>
        </w:rPr>
      </w:pPr>
    </w:p>
    <w:p w14:paraId="2704792C">
      <w:bookmarkStart w:id="12" w:name="_GoBack"/>
      <w:bookmarkEnd w:id="12"/>
    </w:p>
    <w:sectPr>
      <w:pgSz w:w="11910" w:h="16840"/>
      <w:pgMar w:top="1360" w:right="1220" w:bottom="1180" w:left="1220" w:header="0" w:footer="100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82F42">
    <w:pPr>
      <w:pStyle w:val="4"/>
      <w:kinsoku w:val="0"/>
      <w:overflowPunct w:val="0"/>
      <w:spacing w:before="0" w:line="14" w:lineRule="auto"/>
      <w:ind w:left="0"/>
      <w:rPr>
        <w:rFonts w:hint="eastAsia"/>
        <w:sz w:val="20"/>
        <w:szCs w:val="24"/>
      </w:rPr>
    </w:pPr>
    <w:r>
      <w:rPr>
        <w:rFonts w:hint="default"/>
        <w:sz w:val="24"/>
        <w:szCs w:val="24"/>
      </w:rPr>
      <mc:AlternateContent>
        <mc:Choice Requires="wps">
          <w:drawing>
            <wp:anchor distT="0" distB="0" distL="114300" distR="114300" simplePos="0" relativeHeight="251659264" behindDoc="1" locked="0" layoutInCell="1" allowOverlap="1">
              <wp:simplePos x="0" y="0"/>
              <wp:positionH relativeFrom="page">
                <wp:posOffset>3697605</wp:posOffset>
              </wp:positionH>
              <wp:positionV relativeFrom="page">
                <wp:posOffset>9917430</wp:posOffset>
              </wp:positionV>
              <wp:extent cx="16637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66370" cy="139700"/>
                      </a:xfrm>
                      <a:prstGeom prst="rect">
                        <a:avLst/>
                      </a:prstGeom>
                      <a:noFill/>
                      <a:ln>
                        <a:noFill/>
                      </a:ln>
                    </wps:spPr>
                    <wps:txbx>
                      <w:txbxContent>
                        <w:p w14:paraId="05A2AB7A">
                          <w:pPr>
                            <w:pStyle w:val="4"/>
                            <w:kinsoku w:val="0"/>
                            <w:overflowPunct w:val="0"/>
                            <w:spacing w:before="0" w:line="200" w:lineRule="exact"/>
                            <w:ind w:left="40"/>
                            <w:rPr>
                              <w:rFonts w:hint="eastAsia" w:ascii="宋体" w:hAnsi="宋体" w:eastAsia="宋体"/>
                              <w:sz w:val="18"/>
                              <w:szCs w:val="24"/>
                            </w:rPr>
                          </w:pPr>
                          <w:r>
                            <w:rPr>
                              <w:rFonts w:hint="eastAsia" w:ascii="宋体" w:hAnsi="宋体" w:eastAsia="宋体"/>
                              <w:sz w:val="18"/>
                              <w:szCs w:val="24"/>
                            </w:rPr>
                            <w:fldChar w:fldCharType="begin"/>
                          </w:r>
                          <w:r>
                            <w:rPr>
                              <w:rFonts w:hint="eastAsia" w:ascii="宋体" w:hAnsi="宋体" w:eastAsia="宋体"/>
                              <w:sz w:val="18"/>
                              <w:szCs w:val="24"/>
                            </w:rPr>
                            <w:instrText xml:space="preserve"> PAGE </w:instrText>
                          </w:r>
                          <w:r>
                            <w:rPr>
                              <w:rFonts w:hint="eastAsia" w:ascii="宋体" w:hAnsi="宋体" w:eastAsia="宋体"/>
                              <w:sz w:val="18"/>
                              <w:szCs w:val="24"/>
                            </w:rPr>
                            <w:fldChar w:fldCharType="separate"/>
                          </w:r>
                          <w:r>
                            <w:rPr>
                              <w:rFonts w:hint="eastAsia" w:ascii="宋体" w:hAnsi="宋体" w:eastAsia="宋体"/>
                              <w:sz w:val="18"/>
                              <w:szCs w:val="24"/>
                            </w:rPr>
                            <w:fldChar w:fldCharType="end"/>
                          </w:r>
                        </w:p>
                      </w:txbxContent>
                    </wps:txbx>
                    <wps:bodyPr lIns="0" tIns="0" rIns="0" bIns="0" upright="1"/>
                  </wps:wsp>
                </a:graphicData>
              </a:graphic>
            </wp:anchor>
          </w:drawing>
        </mc:Choice>
        <mc:Fallback>
          <w:pict>
            <v:shape id="_x0000_s1026" o:spid="_x0000_s1026" o:spt="202" type="#_x0000_t202" style="position:absolute;left:0pt;margin-left:291.15pt;margin-top:780.9pt;height:11pt;width:13.1pt;mso-position-horizontal-relative:page;mso-position-vertical-relative:page;z-index:-251657216;mso-width-relative:page;mso-height-relative:page;" filled="f" stroked="f" coordsize="21600,21600" o:gfxdata="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3KXbt2gAAAA0BAAAPAAAAAAAAAAEAIAAAACIAAABkcnMvZG93bnJldi54bWxQSwEC&#10;FAAUAAAACACHTuJAjDxXObkBAABxAwAADgAAAAAAAAABACAAAAApAQAAZHJzL2Uyb0RvYy54bWxQ&#10;SwUGAAAAAAYABgBZAQAAVAUAAAAA&#10;">
              <v:path/>
              <v:fill on="f" focussize="0,0"/>
              <v:stroke on="f"/>
              <v:imagedata o:title=""/>
              <o:lock v:ext="edit"/>
              <v:textbox inset="0mm,0mm,0mm,0mm">
                <w:txbxContent>
                  <w:p w14:paraId="05A2AB7A">
                    <w:pPr>
                      <w:pStyle w:val="4"/>
                      <w:kinsoku w:val="0"/>
                      <w:overflowPunct w:val="0"/>
                      <w:spacing w:before="0" w:line="200" w:lineRule="exact"/>
                      <w:ind w:left="40"/>
                      <w:rPr>
                        <w:rFonts w:hint="eastAsia" w:ascii="宋体" w:hAnsi="宋体" w:eastAsia="宋体"/>
                        <w:sz w:val="18"/>
                        <w:szCs w:val="24"/>
                      </w:rPr>
                    </w:pPr>
                    <w:r>
                      <w:rPr>
                        <w:rFonts w:hint="eastAsia" w:ascii="宋体" w:hAnsi="宋体" w:eastAsia="宋体"/>
                        <w:sz w:val="18"/>
                        <w:szCs w:val="24"/>
                      </w:rPr>
                      <w:fldChar w:fldCharType="begin"/>
                    </w:r>
                    <w:r>
                      <w:rPr>
                        <w:rFonts w:hint="eastAsia" w:ascii="宋体" w:hAnsi="宋体" w:eastAsia="宋体"/>
                        <w:sz w:val="18"/>
                        <w:szCs w:val="24"/>
                      </w:rPr>
                      <w:instrText xml:space="preserve"> PAGE </w:instrText>
                    </w:r>
                    <w:r>
                      <w:rPr>
                        <w:rFonts w:hint="eastAsia" w:ascii="宋体" w:hAnsi="宋体" w:eastAsia="宋体"/>
                        <w:sz w:val="18"/>
                        <w:szCs w:val="24"/>
                      </w:rPr>
                      <w:fldChar w:fldCharType="separate"/>
                    </w:r>
                    <w:r>
                      <w:rPr>
                        <w:rFonts w:hint="eastAsia" w:ascii="宋体" w:hAnsi="宋体" w:eastAsia="宋体"/>
                        <w:sz w:val="18"/>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65F7D6"/>
    <w:multiLevelType w:val="multilevel"/>
    <w:tmpl w:val="FF65F7D6"/>
    <w:lvl w:ilvl="0" w:tentative="0">
      <w:start w:val="1"/>
      <w:numFmt w:val="chineseCounting"/>
      <w:suff w:val="space"/>
      <w:lvlText w:val="第%1条"/>
      <w:lvlJc w:val="left"/>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00000402"/>
    <w:multiLevelType w:val="multilevel"/>
    <w:tmpl w:val="00000402"/>
    <w:lvl w:ilvl="0" w:tentative="0">
      <w:start w:val="2"/>
      <w:numFmt w:val="decimal"/>
      <w:lvlText w:val="%1"/>
      <w:lvlJc w:val="left"/>
      <w:pPr>
        <w:ind w:left="118" w:hanging="361"/>
      </w:pPr>
      <w:rPr>
        <w:rFonts w:hint="default"/>
        <w:u w:val="none" w:color="auto"/>
      </w:rPr>
    </w:lvl>
    <w:lvl w:ilvl="1" w:tentative="0">
      <w:start w:val="1"/>
      <w:numFmt w:val="decimal"/>
      <w:lvlText w:val="%1.%2"/>
      <w:lvlJc w:val="left"/>
      <w:pPr>
        <w:ind w:left="118" w:hanging="361"/>
      </w:pPr>
      <w:rPr>
        <w:rFonts w:hint="eastAsia" w:ascii="仿宋" w:hAnsi="仿宋" w:eastAsia="仿宋"/>
        <w:spacing w:val="-1"/>
        <w:sz w:val="24"/>
        <w:u w:val="none" w:color="auto"/>
      </w:rPr>
    </w:lvl>
    <w:lvl w:ilvl="2" w:tentative="0">
      <w:start w:val="1"/>
      <w:numFmt w:val="bullet"/>
      <w:lvlText w:val="•"/>
      <w:lvlJc w:val="left"/>
      <w:pPr>
        <w:ind w:left="1981" w:hanging="361"/>
      </w:pPr>
      <w:rPr>
        <w:rFonts w:hint="default"/>
        <w:u w:val="none" w:color="auto"/>
      </w:rPr>
    </w:lvl>
    <w:lvl w:ilvl="3" w:tentative="0">
      <w:start w:val="1"/>
      <w:numFmt w:val="bullet"/>
      <w:lvlText w:val="•"/>
      <w:lvlJc w:val="left"/>
      <w:pPr>
        <w:ind w:left="2911" w:hanging="361"/>
      </w:pPr>
      <w:rPr>
        <w:rFonts w:hint="default"/>
        <w:u w:val="none" w:color="auto"/>
      </w:rPr>
    </w:lvl>
    <w:lvl w:ilvl="4" w:tentative="0">
      <w:start w:val="1"/>
      <w:numFmt w:val="bullet"/>
      <w:lvlText w:val="•"/>
      <w:lvlJc w:val="left"/>
      <w:pPr>
        <w:ind w:left="3842" w:hanging="361"/>
      </w:pPr>
      <w:rPr>
        <w:rFonts w:hint="default"/>
        <w:u w:val="none" w:color="auto"/>
      </w:rPr>
    </w:lvl>
    <w:lvl w:ilvl="5" w:tentative="0">
      <w:start w:val="1"/>
      <w:numFmt w:val="bullet"/>
      <w:lvlText w:val="•"/>
      <w:lvlJc w:val="left"/>
      <w:pPr>
        <w:ind w:left="4773" w:hanging="361"/>
      </w:pPr>
      <w:rPr>
        <w:rFonts w:hint="default"/>
        <w:u w:val="none" w:color="auto"/>
      </w:rPr>
    </w:lvl>
    <w:lvl w:ilvl="6" w:tentative="0">
      <w:start w:val="1"/>
      <w:numFmt w:val="bullet"/>
      <w:lvlText w:val="•"/>
      <w:lvlJc w:val="left"/>
      <w:pPr>
        <w:ind w:left="5703" w:hanging="361"/>
      </w:pPr>
      <w:rPr>
        <w:rFonts w:hint="default"/>
        <w:u w:val="none" w:color="auto"/>
      </w:rPr>
    </w:lvl>
    <w:lvl w:ilvl="7" w:tentative="0">
      <w:start w:val="1"/>
      <w:numFmt w:val="bullet"/>
      <w:lvlText w:val="•"/>
      <w:lvlJc w:val="left"/>
      <w:pPr>
        <w:ind w:left="6634" w:hanging="361"/>
      </w:pPr>
      <w:rPr>
        <w:rFonts w:hint="default"/>
        <w:u w:val="none" w:color="auto"/>
      </w:rPr>
    </w:lvl>
    <w:lvl w:ilvl="8" w:tentative="0">
      <w:start w:val="1"/>
      <w:numFmt w:val="bullet"/>
      <w:lvlText w:val="•"/>
      <w:lvlJc w:val="left"/>
      <w:pPr>
        <w:ind w:left="7564" w:hanging="361"/>
      </w:pPr>
      <w:rPr>
        <w:rFonts w:hint="default"/>
        <w:u w:val="none" w:color="auto"/>
      </w:rPr>
    </w:lvl>
  </w:abstractNum>
  <w:abstractNum w:abstractNumId="2">
    <w:nsid w:val="00000403"/>
    <w:multiLevelType w:val="multilevel"/>
    <w:tmpl w:val="00000403"/>
    <w:lvl w:ilvl="0" w:tentative="0">
      <w:start w:val="3"/>
      <w:numFmt w:val="decimal"/>
      <w:lvlText w:val="%1"/>
      <w:lvlJc w:val="left"/>
      <w:pPr>
        <w:ind w:left="118" w:hanging="361"/>
      </w:pPr>
      <w:rPr>
        <w:rFonts w:hint="default"/>
        <w:u w:val="none" w:color="auto"/>
      </w:rPr>
    </w:lvl>
    <w:lvl w:ilvl="1" w:tentative="0">
      <w:start w:val="1"/>
      <w:numFmt w:val="decimal"/>
      <w:lvlText w:val="%1.%2"/>
      <w:lvlJc w:val="left"/>
      <w:pPr>
        <w:ind w:left="118" w:hanging="361"/>
      </w:pPr>
      <w:rPr>
        <w:rFonts w:hint="eastAsia" w:ascii="仿宋" w:hAnsi="仿宋" w:eastAsia="仿宋"/>
        <w:spacing w:val="-27"/>
        <w:sz w:val="24"/>
        <w:u w:val="none" w:color="auto"/>
      </w:rPr>
    </w:lvl>
    <w:lvl w:ilvl="2" w:tentative="0">
      <w:start w:val="1"/>
      <w:numFmt w:val="bullet"/>
      <w:lvlText w:val="•"/>
      <w:lvlJc w:val="left"/>
      <w:pPr>
        <w:ind w:left="1981" w:hanging="361"/>
      </w:pPr>
      <w:rPr>
        <w:rFonts w:hint="default"/>
        <w:u w:val="none" w:color="auto"/>
      </w:rPr>
    </w:lvl>
    <w:lvl w:ilvl="3" w:tentative="0">
      <w:start w:val="1"/>
      <w:numFmt w:val="bullet"/>
      <w:lvlText w:val="•"/>
      <w:lvlJc w:val="left"/>
      <w:pPr>
        <w:ind w:left="2911" w:hanging="361"/>
      </w:pPr>
      <w:rPr>
        <w:rFonts w:hint="default"/>
        <w:u w:val="none" w:color="auto"/>
      </w:rPr>
    </w:lvl>
    <w:lvl w:ilvl="4" w:tentative="0">
      <w:start w:val="1"/>
      <w:numFmt w:val="bullet"/>
      <w:lvlText w:val="•"/>
      <w:lvlJc w:val="left"/>
      <w:pPr>
        <w:ind w:left="3842" w:hanging="361"/>
      </w:pPr>
      <w:rPr>
        <w:rFonts w:hint="default"/>
        <w:u w:val="none" w:color="auto"/>
      </w:rPr>
    </w:lvl>
    <w:lvl w:ilvl="5" w:tentative="0">
      <w:start w:val="1"/>
      <w:numFmt w:val="bullet"/>
      <w:lvlText w:val="•"/>
      <w:lvlJc w:val="left"/>
      <w:pPr>
        <w:ind w:left="4773" w:hanging="361"/>
      </w:pPr>
      <w:rPr>
        <w:rFonts w:hint="default"/>
        <w:u w:val="none" w:color="auto"/>
      </w:rPr>
    </w:lvl>
    <w:lvl w:ilvl="6" w:tentative="0">
      <w:start w:val="1"/>
      <w:numFmt w:val="bullet"/>
      <w:lvlText w:val="•"/>
      <w:lvlJc w:val="left"/>
      <w:pPr>
        <w:ind w:left="5703" w:hanging="361"/>
      </w:pPr>
      <w:rPr>
        <w:rFonts w:hint="default"/>
        <w:u w:val="none" w:color="auto"/>
      </w:rPr>
    </w:lvl>
    <w:lvl w:ilvl="7" w:tentative="0">
      <w:start w:val="1"/>
      <w:numFmt w:val="bullet"/>
      <w:lvlText w:val="•"/>
      <w:lvlJc w:val="left"/>
      <w:pPr>
        <w:ind w:left="6634" w:hanging="361"/>
      </w:pPr>
      <w:rPr>
        <w:rFonts w:hint="default"/>
        <w:u w:val="none" w:color="auto"/>
      </w:rPr>
    </w:lvl>
    <w:lvl w:ilvl="8" w:tentative="0">
      <w:start w:val="1"/>
      <w:numFmt w:val="bullet"/>
      <w:lvlText w:val="•"/>
      <w:lvlJc w:val="left"/>
      <w:pPr>
        <w:ind w:left="7564" w:hanging="361"/>
      </w:pPr>
      <w:rPr>
        <w:rFonts w:hint="default"/>
        <w:u w:val="none" w:color="auto"/>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F65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hint="eastAsia" w:ascii="仿宋" w:hAnsi="仿宋" w:eastAsia="仿宋" w:cs="Times New Roman"/>
      <w:sz w:val="24"/>
      <w:szCs w:val="24"/>
    </w:rPr>
  </w:style>
  <w:style w:type="paragraph" w:styleId="2">
    <w:name w:val="heading 1"/>
    <w:basedOn w:val="1"/>
    <w:unhideWhenUsed/>
    <w:qFormat/>
    <w:uiPriority w:val="1"/>
    <w:pPr>
      <w:ind w:right="1189"/>
      <w:jc w:val="center"/>
      <w:outlineLvl w:val="0"/>
    </w:pPr>
    <w:rPr>
      <w:rFonts w:hint="eastAsia"/>
      <w:b/>
      <w:sz w:val="32"/>
      <w:szCs w:val="24"/>
    </w:rPr>
  </w:style>
  <w:style w:type="paragraph" w:styleId="3">
    <w:name w:val="heading 2"/>
    <w:basedOn w:val="1"/>
    <w:unhideWhenUsed/>
    <w:qFormat/>
    <w:uiPriority w:val="1"/>
    <w:pPr>
      <w:spacing w:before="24"/>
      <w:ind w:left="598"/>
      <w:outlineLvl w:val="1"/>
    </w:pPr>
    <w:rPr>
      <w:rFonts w:hint="eastAsia"/>
      <w:b/>
      <w:sz w:val="24"/>
      <w:szCs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unhideWhenUsed/>
    <w:qFormat/>
    <w:uiPriority w:val="1"/>
    <w:pPr>
      <w:spacing w:before="105"/>
      <w:ind w:left="118"/>
    </w:pPr>
    <w:rPr>
      <w:rFonts w:hint="eastAsia"/>
      <w:sz w:val="24"/>
      <w:szCs w:val="24"/>
    </w:rPr>
  </w:style>
  <w:style w:type="paragraph" w:customStyle="1" w:styleId="7">
    <w:name w:val="Table Paragraph"/>
    <w:basedOn w:val="1"/>
    <w:unhideWhenUsed/>
    <w:qFormat/>
    <w:uiPriority w:val="1"/>
    <w:rPr>
      <w:rFonts w:hint="eastAsia"/>
      <w:sz w:val="24"/>
      <w:szCs w:val="24"/>
    </w:rPr>
  </w:style>
  <w:style w:type="paragraph" w:styleId="8">
    <w:name w:val="List Paragraph"/>
    <w:basedOn w:val="1"/>
    <w:unhideWhenUsed/>
    <w:qFormat/>
    <w:uiPriority w:val="1"/>
    <w:pPr>
      <w:spacing w:before="105"/>
      <w:ind w:left="118" w:firstLine="480"/>
    </w:pPr>
    <w:rPr>
      <w:rFonts w:hint="eastAsia"/>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2025-12-08T11:12:51Z</dcterms:created>
  <dc:creator>Administrator</dc:creator>
  <cp:lastModifiedBy>WPS_1718632522</cp:lastModifiedBy>
  <dcterms:modified xsi:type="dcterms:W3CDTF">2025-12-08T11:13:00Z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eyJoZGlkIjoiNzg2YzRjMjhhYTBkZWJlNzgzMjM1N2JlMTgxOTE4NTIiLCJ1c2VySWQiOiIxNjA4OTI5NTgyIn0=</vt:lpwstr>
  </property>
  <property fmtid="{D5CDD505-2E9C-101B-9397-08002B2CF9AE}" pid="4" name="ICV">
    <vt:lpwstr>D0756374BA4440F49E9E8CE1E0930DC6_12</vt:lpwstr>
  </property>
</Properties>
</file>