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版本号：SXHN-ZC2025-00120250214001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永洁卫生垃圾填埋场渗滤液处理站水质继续检测项目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SXHN-ZC2025-001</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陕西汇宁建设项目管理有限公司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陕西汇宁建设项目管理有限公司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永洁卫生垃圾填埋场渗滤液处理站水质继续检测项目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SXHN-ZC2025-001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永洁卫生垃圾填埋场渗滤液处理站水质继续检测项目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依据《排污许可管理办法》《生活垃圾填埋场污染控制标准GB 16889-2024》标准及《宜君县永洁垃圾卫生填埋场排污许可变更》污染源自行监测方案2024.11.14要求进行检测。本项目涉及废水和废气。 1、废水 本项目废水主要是垃圾填埋后的渗滤液和生活污水，渗滤液其主要污染物是COD、氨氮、总氮、总磷、粪大肠菌群、总汞、总镉、总铬等，采用“预处理+活性污泥”污水处理工艺，出水水质达《生活垃圾填埋场污染控制标准》（GB16889-2008）表3要求，拉运至宜君县污水处理厂处理。生活污水经化粪池收集后定期清掏用于农肥。 2、废气 本项目主要为垃圾产生的恶臭气体及粉尘，通过及时喷洒除臭剂等措施，无组织粉尘厂界浓度达到《大气污染物综合排放标准》（GB16297-1996）排放标准，恶臭气体厂界监控点浓度满足《恶臭污染物排放标准》（GB14554-93）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采购包1（永洁卫生垃圾填埋场渗滤液处理站水质继续检测项目）：属于专门面向中小企业采购。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1、独立法人资格：具有独立承担民事责任能力的法人、其他组织或自然人，并出具合法有效的营业执照或事业单位法人证书等国家规定的相关证明，自然人参与的提供其身份证明书。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2、企业资格：供应商应具备省级或省级以上计量主管单位核发的 CMA 认证证书。</w:t>
      </w:r>
    </w:p>
    <w:p>
      <w:pPr>
        <w:pStyle w:val="null3"/>
      </w:pPr>
      <w:r>
        <w:rPr>
          <w:rFonts w:ascii="仿宋_GB2312" w:hAnsi="仿宋_GB2312" w:cs="仿宋_GB2312" w:eastAsia="仿宋_GB2312"/>
        </w:rPr>
        <w:t>3、法定代表人授权委托书：法定代表人授权委托书（附法定代表人、被授权人身份证复印件并加盖公章）和被授权人身份证原件。（法定代表人参加投标只须提供法定代表人身份证明书及身份证原件）。</w:t>
      </w:r>
    </w:p>
    <w:p>
      <w:pPr>
        <w:pStyle w:val="null3"/>
      </w:pPr>
      <w:r>
        <w:rPr>
          <w:rFonts w:ascii="仿宋_GB2312" w:hAnsi="仿宋_GB2312" w:cs="仿宋_GB2312" w:eastAsia="仿宋_GB2312"/>
        </w:rPr>
        <w:t>4、企业信誉：投标人不得为“信用中国”网站（www.creditchina.gov.cn），或者被司法机关列入失信被执行人和重大税收违法失信主体的投标人。</w:t>
      </w:r>
    </w:p>
    <w:p>
      <w:pPr>
        <w:pStyle w:val="null3"/>
      </w:pPr>
      <w:r>
        <w:rPr>
          <w:rFonts w:ascii="仿宋_GB2312" w:hAnsi="仿宋_GB2312" w:cs="仿宋_GB2312" w:eastAsia="仿宋_GB2312"/>
        </w:rPr>
        <w:t>5、中小企业要求：本项目为专门面向中小企业采购。</w:t>
      </w:r>
    </w:p>
    <w:p>
      <w:pPr>
        <w:pStyle w:val="null3"/>
      </w:pPr>
      <w:r>
        <w:rPr>
          <w:rFonts w:ascii="仿宋_GB2312" w:hAnsi="仿宋_GB2312" w:cs="仿宋_GB2312" w:eastAsia="仿宋_GB2312"/>
        </w:rPr>
        <w:t>6、联合体要求：本次招标不接受联合体磋商。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13992987918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陕西省西安市雁塔区含光南路216号嘉翔大厦1号楼1802室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王永攀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代理服务费收费标准：本项目招标代理服务费按照国家计委颁布的《招标代理服务收费管理暂行办法》(计价格 [2002]1980号)收费标准计取。成交供应商在领取成交通知书前一次性向代理机构全额支付。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陕西汇宁建设项目管理有限公司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联系人：王永攀</w:t>
      </w:r>
    </w:p>
    <w:p>
      <w:pPr>
        <w:pStyle w:val="null3"/>
      </w:pPr>
      <w:r>
        <w:rPr>
          <w:rFonts w:ascii="仿宋_GB2312" w:hAnsi="仿宋_GB2312" w:cs="仿宋_GB2312" w:eastAsia="仿宋_GB2312"/>
        </w:rPr>
        <w:t>联系电话：029-88222381</w:t>
      </w:r>
    </w:p>
    <w:p>
      <w:pPr>
        <w:pStyle w:val="null3"/>
      </w:pPr>
      <w:r>
        <w:rPr>
          <w:rFonts w:ascii="仿宋_GB2312" w:hAnsi="仿宋_GB2312" w:cs="仿宋_GB2312" w:eastAsia="仿宋_GB2312"/>
        </w:rPr>
        <w:t>地址：陕西省西安市雁塔区含光南路216号嘉翔大厦1号楼1802室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依据《排污许可管理办法》《生活垃圾填埋场污染控制标准GB 16889-2024》标准及《宜君县永洁垃圾卫生填埋场排污许可变更》污染源自行监测方案2024.11.14要求进行检测。本项目涉及废水和废气。 1、废水 本项目废水主要是垃圾填埋后的渗滤液和生活污水，渗滤液其主要污染物是COD、氨氮、总氮、总磷、粪大肠菌群、总汞、总镉、总铬等，采用“预处理+活性污泥”污水处理工艺，出水水质达《生活垃圾填埋场污染控制标准》（GB16889-2008）表3要求，拉运至宜君县污水处理厂处理。生活污水经化粪池收集后定期清掏用于农肥。 2、废气 本项目主要为垃圾产生的恶臭气体及粉尘，通过及时喷洒除臭剂等措施，无组织粉尘厂界浓度达到《大气污染物综合排放标准》（GB16297-1996）排放标准，恶臭气体厂界监控点浓度满足《恶臭污染物排放标准》（GB14554-93）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永洁卫生垃圾填埋场渗滤液处理站水质继续检测项目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标的名称：永洁卫生垃圾填埋场渗滤液处理站水质继续检测项目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both"/>
            </w:pPr>
            <w:r>
              <w:rPr>
                <w:rFonts w:ascii="仿宋_GB2312" w:hAnsi="仿宋_GB2312" w:cs="仿宋_GB2312" w:eastAsia="仿宋_GB2312"/>
                <w:sz w:val="21"/>
              </w:rPr>
              <w:t>后期自行检测计划参照排污许可中规定的监测内容，同时为进一步确定环境质量状况，建议加入土壤检测。</w:t>
            </w:r>
          </w:p>
          <w:p>
            <w:pPr>
              <w:pStyle w:val="null3"/>
              <w:jc w:val="both"/>
            </w:pPr>
            <w:r>
              <w:rPr>
                <w:rFonts w:ascii="仿宋_GB2312" w:hAnsi="仿宋_GB2312" w:cs="仿宋_GB2312" w:eastAsia="仿宋_GB2312"/>
                <w:sz w:val="21"/>
              </w:rPr>
              <w:t>参照相关规定并结合渗滤液特征因子的特性，本次论证拟定以下监测方案：</w:t>
            </w:r>
          </w:p>
          <w:tbl>
            <w:tblPr>
              <w:tblInd w:type="dxa" w:w="120"/>
              <w:tblBorders>
                <w:top w:val="none" w:color="000000" w:sz="4"/>
                <w:left w:val="none" w:color="000000" w:sz="4"/>
                <w:bottom w:val="none" w:color="000000" w:sz="4"/>
                <w:right w:val="none" w:color="000000" w:sz="4"/>
                <w:insideH w:val="none"/>
                <w:insideV w:val="none"/>
              </w:tblBorders>
            </w:tblPr>
            <w:tblGrid>
              <w:gridCol w:w="146"/>
              <w:gridCol w:w="292"/>
              <w:gridCol w:w="420"/>
              <w:gridCol w:w="704"/>
              <w:gridCol w:w="297"/>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污染源类别</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监测点位</w:t>
                  </w:r>
                </w:p>
              </w:tc>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监测因子</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监测频次</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废气</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厂界无组织</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甲烷、臭气浓度、氨、硫化氢、颗粒物</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1次/季；监测一天，每天四次</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废水</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废水排放口</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pH、色度、总汞、总镉、总铬、六价铬、总砷、总铅、总磷、粪大肠菌群数</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1次/年</w:t>
                  </w:r>
                </w:p>
              </w:tc>
            </w:tr>
            <w:tr>
              <w:tc>
                <w:tcPr>
                  <w:tcW w:type="dxa" w:w="146"/>
                  <w:vMerge/>
                  <w:tcBorders>
                    <w:top w:val="none" w:color="000000" w:sz="4"/>
                    <w:left w:val="single" w:color="000000" w:sz="4"/>
                    <w:bottom w:val="single" w:color="000000" w:sz="4"/>
                    <w:right w:val="single" w:color="000000" w:sz="4"/>
                  </w:tcBorders>
                </w:tcPr>
                <w:p/>
              </w:tc>
              <w:tc>
                <w:tcPr>
                  <w:tcW w:type="dxa" w:w="29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废水排放口</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悬浮物、五日生化需氧量、化学需氧量、总氮、氨氮</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1次/季</w:t>
                  </w:r>
                </w:p>
              </w:tc>
            </w:tr>
            <w:tr>
              <w:tc>
                <w:tcPr>
                  <w:tcW w:type="dxa" w:w="146"/>
                  <w:vMerge/>
                  <w:tcBorders>
                    <w:top w:val="none" w:color="000000" w:sz="4"/>
                    <w:left w:val="single" w:color="000000" w:sz="4"/>
                    <w:bottom w:val="single" w:color="000000" w:sz="4"/>
                    <w:right w:val="single" w:color="000000" w:sz="4"/>
                  </w:tcBorders>
                </w:tcPr>
                <w:p/>
              </w:tc>
              <w:tc>
                <w:tcPr>
                  <w:tcW w:type="dxa" w:w="29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填</w:t>
                  </w:r>
                  <w:r>
                    <w:rPr>
                      <w:rFonts w:ascii="仿宋_GB2312" w:hAnsi="仿宋_GB2312" w:cs="仿宋_GB2312" w:eastAsia="仿宋_GB2312"/>
                      <w:sz w:val="20"/>
                    </w:rPr>
                    <w:t>满</w:t>
                  </w:r>
                  <w:r>
                    <w:rPr>
                      <w:rFonts w:ascii="仿宋_GB2312" w:hAnsi="仿宋_GB2312" w:cs="仿宋_GB2312" w:eastAsia="仿宋_GB2312"/>
                      <w:sz w:val="20"/>
                    </w:rPr>
                    <w:t>区雨水排放口</w:t>
                  </w:r>
                </w:p>
              </w:tc>
              <w:tc>
                <w:tcPr>
                  <w:tcW w:type="dxa" w:w="7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悬浮物、化学需氧量</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1次/季</w:t>
                  </w:r>
                </w:p>
              </w:tc>
            </w:tr>
            <w:tr>
              <w:tc>
                <w:tcPr>
                  <w:tcW w:type="dxa" w:w="146"/>
                  <w:vMerge/>
                  <w:tcBorders>
                    <w:top w:val="none" w:color="000000" w:sz="4"/>
                    <w:left w:val="single" w:color="000000" w:sz="4"/>
                    <w:bottom w:val="single" w:color="000000" w:sz="4"/>
                    <w:right w:val="single" w:color="000000" w:sz="4"/>
                  </w:tcBorders>
                </w:tcPr>
                <w:p/>
              </w:tc>
              <w:tc>
                <w:tcPr>
                  <w:tcW w:type="dxa" w:w="29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生活区雨水排放口</w:t>
                  </w:r>
                </w:p>
              </w:tc>
              <w:tc>
                <w:tcPr>
                  <w:tcW w:type="dxa" w:w="704"/>
                  <w:vMerge/>
                  <w:tcBorders>
                    <w:top w:val="none" w:color="000000" w:sz="4"/>
                    <w:left w:val="single" w:color="000000" w:sz="4"/>
                    <w:bottom w:val="single" w:color="000000" w:sz="4"/>
                    <w:right w:val="single" w:color="000000" w:sz="4"/>
                  </w:tcBorders>
                </w:tcPr>
                <w:p/>
              </w:tc>
              <w:tc>
                <w:tcPr>
                  <w:tcW w:type="dxa" w:w="297"/>
                  <w:vMerge/>
                  <w:tcBorders>
                    <w:top w:val="none" w:color="000000" w:sz="4"/>
                    <w:left w:val="single" w:color="000000" w:sz="4"/>
                    <w:bottom w:val="single" w:color="000000" w:sz="4"/>
                    <w:right w:val="single" w:color="000000" w:sz="4"/>
                  </w:tcBorders>
                </w:tcP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地下水</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本井底</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pH、溶解性总固体、总硬度、</w:t>
                  </w:r>
                  <w:r>
                    <w:rPr>
                      <w:rFonts w:ascii="仿宋_GB2312" w:hAnsi="仿宋_GB2312" w:cs="仿宋_GB2312" w:eastAsia="仿宋_GB2312"/>
                      <w:sz w:val="20"/>
                    </w:rPr>
                    <w:t>耗氧量、总</w:t>
                  </w:r>
                  <w:r>
                    <w:rPr>
                      <w:rFonts w:ascii="仿宋_GB2312" w:hAnsi="仿宋_GB2312" w:cs="仿宋_GB2312" w:eastAsia="仿宋_GB2312"/>
                      <w:sz w:val="20"/>
                    </w:rPr>
                    <w:t>大肠菌群、总汞、总镉、六价铬、总砷、总铅、总铜、总锌、总锰、总铁、氨氮、亚硝酸盐、硝酸盐、氰化物、氟化物、氯化物、硫酸盐、挥发酚</w:t>
                  </w:r>
                  <w:r>
                    <w:rPr>
                      <w:rFonts w:ascii="仿宋_GB2312" w:hAnsi="仿宋_GB2312" w:cs="仿宋_GB2312" w:eastAsia="仿宋_GB2312"/>
                      <w:sz w:val="20"/>
                    </w:rPr>
                    <w:t>、总</w:t>
                  </w:r>
                  <w:r>
                    <w:rPr>
                      <w:rFonts w:ascii="仿宋_GB2312" w:hAnsi="仿宋_GB2312" w:cs="仿宋_GB2312" w:eastAsia="仿宋_GB2312"/>
                      <w:sz w:val="20"/>
                    </w:rPr>
                    <w:t>镍</w:t>
                  </w:r>
                  <w:r>
                    <w:rPr>
                      <w:rFonts w:ascii="仿宋_GB2312" w:hAnsi="仿宋_GB2312" w:cs="仿宋_GB2312" w:eastAsia="仿宋_GB2312"/>
                      <w:sz w:val="20"/>
                    </w:rPr>
                    <w:t>、总铍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r>
            <w:tr>
              <w:tc>
                <w:tcPr>
                  <w:tcW w:type="dxa" w:w="146"/>
                  <w:vMerge/>
                  <w:tcBorders>
                    <w:top w:val="none" w:color="000000" w:sz="4"/>
                    <w:left w:val="single" w:color="000000" w:sz="4"/>
                    <w:bottom w:val="single" w:color="000000" w:sz="4"/>
                    <w:right w:val="single" w:color="000000" w:sz="4"/>
                  </w:tcBorders>
                </w:tcPr>
                <w:p/>
              </w:tc>
              <w:tc>
                <w:tcPr>
                  <w:tcW w:type="dxa" w:w="29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污染监视井</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pH、溶解性总固体、总硬度、</w:t>
                  </w:r>
                  <w:r>
                    <w:rPr>
                      <w:rFonts w:ascii="仿宋_GB2312" w:hAnsi="仿宋_GB2312" w:cs="仿宋_GB2312" w:eastAsia="仿宋_GB2312"/>
                      <w:sz w:val="20"/>
                    </w:rPr>
                    <w:t>耗氧量、总</w:t>
                  </w:r>
                  <w:r>
                    <w:rPr>
                      <w:rFonts w:ascii="仿宋_GB2312" w:hAnsi="仿宋_GB2312" w:cs="仿宋_GB2312" w:eastAsia="仿宋_GB2312"/>
                      <w:sz w:val="20"/>
                    </w:rPr>
                    <w:t>大肠菌群、总汞、总镉、六价铬、总砷、总铅、总铜、总锌、总锰、总铁、氨氮、亚硝酸盐、硝酸盐、氰化物、氟化物、氯化物、硫酸盐、挥发酚</w:t>
                  </w:r>
                  <w:r>
                    <w:rPr>
                      <w:rFonts w:ascii="仿宋_GB2312" w:hAnsi="仿宋_GB2312" w:cs="仿宋_GB2312" w:eastAsia="仿宋_GB2312"/>
                      <w:sz w:val="20"/>
                    </w:rPr>
                    <w:t>、总</w:t>
                  </w:r>
                  <w:r>
                    <w:rPr>
                      <w:rFonts w:ascii="仿宋_GB2312" w:hAnsi="仿宋_GB2312" w:cs="仿宋_GB2312" w:eastAsia="仿宋_GB2312"/>
                      <w:sz w:val="20"/>
                    </w:rPr>
                    <w:t>镍</w:t>
                  </w:r>
                  <w:r>
                    <w:rPr>
                      <w:rFonts w:ascii="仿宋_GB2312" w:hAnsi="仿宋_GB2312" w:cs="仿宋_GB2312" w:eastAsia="仿宋_GB2312"/>
                      <w:sz w:val="20"/>
                    </w:rPr>
                    <w:t>、总铍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r>
            <w:tr>
              <w:tc>
                <w:tcPr>
                  <w:tcW w:type="dxa" w:w="146"/>
                  <w:vMerge/>
                  <w:tcBorders>
                    <w:top w:val="none" w:color="000000" w:sz="4"/>
                    <w:left w:val="single" w:color="000000" w:sz="4"/>
                    <w:bottom w:val="single" w:color="000000" w:sz="4"/>
                    <w:right w:val="single" w:color="000000" w:sz="4"/>
                  </w:tcBorders>
                </w:tcPr>
                <w:p/>
              </w:tc>
              <w:tc>
                <w:tcPr>
                  <w:tcW w:type="dxa" w:w="292"/>
                  <w:vMerge/>
                  <w:tcBorders>
                    <w:top w:val="none" w:color="000000" w:sz="4"/>
                    <w:left w:val="single" w:color="000000" w:sz="4"/>
                    <w:bottom w:val="single" w:color="000000" w:sz="4"/>
                    <w:right w:val="single" w:color="000000" w:sz="4"/>
                  </w:tcBorders>
                </w:tcP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污染扩散井</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pH、溶解性总固体、总硬度、</w:t>
                  </w:r>
                  <w:r>
                    <w:rPr>
                      <w:rFonts w:ascii="仿宋_GB2312" w:hAnsi="仿宋_GB2312" w:cs="仿宋_GB2312" w:eastAsia="仿宋_GB2312"/>
                      <w:sz w:val="20"/>
                    </w:rPr>
                    <w:t>耗氧量、总</w:t>
                  </w:r>
                  <w:r>
                    <w:rPr>
                      <w:rFonts w:ascii="仿宋_GB2312" w:hAnsi="仿宋_GB2312" w:cs="仿宋_GB2312" w:eastAsia="仿宋_GB2312"/>
                      <w:sz w:val="20"/>
                    </w:rPr>
                    <w:t>大肠菌群、阴离子表面活性剂、总汞、总镉、六价铬、总砷、总铅、总铜、总锌、总锰、总铁、氨氮、亚硝酸盐、硝酸盐、氰化物、氟化物、氯化物、硫酸盐、挥发酚</w:t>
                  </w:r>
                  <w:r>
                    <w:rPr>
                      <w:rFonts w:ascii="仿宋_GB2312" w:hAnsi="仿宋_GB2312" w:cs="仿宋_GB2312" w:eastAsia="仿宋_GB2312"/>
                      <w:sz w:val="20"/>
                    </w:rPr>
                    <w:t>、总</w:t>
                  </w:r>
                  <w:r>
                    <w:rPr>
                      <w:rFonts w:ascii="仿宋_GB2312" w:hAnsi="仿宋_GB2312" w:cs="仿宋_GB2312" w:eastAsia="仿宋_GB2312"/>
                      <w:sz w:val="20"/>
                    </w:rPr>
                    <w:t>镍</w:t>
                  </w:r>
                  <w:r>
                    <w:rPr>
                      <w:rFonts w:ascii="仿宋_GB2312" w:hAnsi="仿宋_GB2312" w:cs="仿宋_GB2312" w:eastAsia="仿宋_GB2312"/>
                      <w:sz w:val="20"/>
                    </w:rPr>
                    <w:t>、总铍</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厂界</w:t>
                  </w:r>
                </w:p>
              </w:tc>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等效</w:t>
                  </w:r>
                  <w:r>
                    <w:rPr>
                      <w:rFonts w:ascii="仿宋_GB2312" w:hAnsi="仿宋_GB2312" w:cs="仿宋_GB2312" w:eastAsia="仿宋_GB2312"/>
                      <w:sz w:val="20"/>
                    </w:rPr>
                    <w:t>A声级</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1次/季，昼夜间各一次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服务成果符合国家标准和相关政策法规技术规范要求，须按行业管理要求履行备案。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付款条件说明：合同签订后，第一季度满足采购人服务要求，符合国家有关行业规范和标准，在付款前须开具等额发票给采购人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第二季度满足采购人服务要求，符合国家有关行业规范和标准，在付款前须开具等额发票给采购人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第三季度满足采购人服务要求，符合国家有关行业规范和标准，在付款前须开具等额发票给采购人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第四季度满足采购人服务要求，符合国家有关行业规范和标准，在付款前须开具等额发票给采购人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1、执行本合同中发生的或与本合同有关的争端，双方应通过友好协商的方式解决， 若在 30 天内不能达成协议时，应提交仲裁。 2、合同争端的仲裁应由甲方当地仲裁委员会进行仲裁，其仲裁裁决对双方具有约束力。 3、除另有裁决外，仲裁费应由败诉方负担。 4、在仲裁期间，除正在进行仲裁部分外，合同其它部分继续执行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供应商须提供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独立法人资格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供应商应具备省级或省级以上计量主管单位核发的 CMA 认证证书。</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法定代表人授权委托书（附法定代表人、被授权人身份证复印件并加盖公章）和被授权人身份证原件。（法定代表人参加投标只须提供法定代表人身份证明书及身份证原件）。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投标人不得为“信用中国”网站（www.creditchina.gov.cn），或者被司法机关列入失信被执行人和重大税收违法失信主体的投标人。</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中小企业要求</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本次招标不接受联合体磋商。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分项报价.docx 相关资格证明材料.docx 响应文件封面 残疾人福利性单位声明函 标的清单 响应函 服务方案.docx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整体方案详细、合理、针对性强、内容全面与项目实际结合紧密，对项目具有高度指导性，且工作依据、执行标准、规范规程明确，内容完整，技术方法、方案具体详细、切实可行，工作思路清晰、计划科学合理、安排紧凑得当得 10.1-15 分；整体方案较为详细、内容基本全面，得 5.1-10 分；整体方案标准缺失或者描述不详细不具体，得 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检测实施方案</w:t>
            </w:r>
          </w:p>
        </w:tc>
        <w:tc>
          <w:tcPr>
            <w:tcW w:type="dxa" w:w="2492"/>
          </w:tcPr>
          <w:p>
            <w:pPr>
              <w:pStyle w:val="null3"/>
            </w:pPr>
            <w:r>
              <w:rPr>
                <w:rFonts w:ascii="仿宋_GB2312" w:hAnsi="仿宋_GB2312" w:cs="仿宋_GB2312" w:eastAsia="仿宋_GB2312"/>
              </w:rPr>
              <w:t>优良标准：根据本项目采购服务内容及要求编制，方案应包含检测方案、检测进度保证措施、检测结果质量保证措施、预防性管理方法、报告送达时间等内容，内容全面详尽，具有较强的可实施性，完全满足采购需求。得 10.1-15分；一般标准：根据本项目采购服务内容及要求编制，方案应包含检测方案、检测进度保证措施、检测结果质量保证措施、预防性管理方法、报告送达时间等内容，内容不全（缺少 1 项方案内容），可实施性一般，基本满足采购需求。得 5.1-10 分；差标准：根据本项目采购服务内容及要求编制，方案应包含检测方案、检测进度保证措施、检测结果质量保证措施、预防性管理方法、报告送达时间等内容，内容不全（缺少 2 项及以上方案内容），可实施性差，不满足采购需求。得 0-5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不可抗力因素、特殊情况、突发情况等原因的应急保障措施。该项措施详细准确、可行性强、科学合理，针对性强，完全满足本项目需求的得3.1-5分；措施比较详细、基本可行、基本合理，比较有针对性，基本能满足本项目需求的得1-3分；未提供或不合理不可行不能满足本项目需求不得分。 2、有详细的组织进度安排、时间节点控制，能够承诺在规定时间按质按量完成项目，得3.1-5分；有较详细的组织进度安排、时间节点控制，能够承诺在规定时间按质按量完成项目，得1—3分；未提供或不合理不可行不能满足本项目需求不得分。 3、针对本项目提出有利于采购人降低成本、提高服务质量的合理化建议，得3.1-5分；针对本项目提出较有利于采购人降低成本、提高服务质量的合理化建议，得1-3分；未提供不得分。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项目人员组织安排</w:t>
            </w:r>
          </w:p>
        </w:tc>
        <w:tc>
          <w:tcPr>
            <w:tcW w:type="dxa" w:w="2492"/>
          </w:tcPr>
          <w:p>
            <w:pPr>
              <w:pStyle w:val="null3"/>
            </w:pPr>
            <w:r>
              <w:rPr>
                <w:rFonts w:ascii="仿宋_GB2312" w:hAnsi="仿宋_GB2312" w:cs="仿宋_GB2312" w:eastAsia="仿宋_GB2312"/>
              </w:rPr>
              <w:t>优良标准：有完善的项目人员组织方案，人员设置及人员分工安排合理、职责划分明确，具备能承担检验检测任务的专业人员，完全满足采购需求；得 8.1-12 分；一般标准：项目人员组织方案基本可行，人员设置及人员分工安排不够清晰、职责划分不够明确，承担检验检测任务的专业人员基本满足采购需求；4.1-8 分； 差标准：项目人员组织方案不可行，人员设置及人员分工安排不清晰、职责划分不明确，承担检验检测任务的专业人员不满足采购需求；得 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1、突发事件应急处理能力和资源调配能力方案完整科学性、可操作性高得 3.1-6 分； 2、突发事件应急处理能力和资源调配能力方案不够完整、不够科学、基本可操作得 1.1-3分 3、突发事件应急处理能力和资源调配能力方案欠缺完整科学性、可操作性低得 0-1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供应商投入的设备、工具、机具配置专业合理，满足服务要求检测设备： 1.设施设备先进，数量充足，种类齐全，完全满足项目需求得5.1-7分。 2.设施设备较先进，数量较充足，种类较齐全，基本满足项目需求得2.1-5分。 3.拟投设施设备一般，部分满足项目需求得0.1-2分。未提供不得分。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供应商具有完整的考核的措施与承诺，并且在项目实施阶段及完成后所承诺的责任、服务内容，并针对本项目实际需求提供实质性服务承诺，确有利于本项目，服务内容全面合理，实施性强计 5.1-10 分，内容不全面、实施性不强计 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供应商提供(自 2022年 1月 1 日起至今)具有一个类似项目业绩计 2 分。最高 10 分。提供合同复印件，时间以合同签订时间为准。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有效供应商最低报价作为基准价，各供应商的报价得分按下列公式计算：（基准价/投标报价）×10%×100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