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38" w:line="222" w:lineRule="auto"/>
        <w:jc w:val="center"/>
        <w:rPr>
          <w:rFonts w:hint="eastAsia"/>
          <w:b/>
          <w:bCs/>
          <w:spacing w:val="-12"/>
          <w:sz w:val="36"/>
          <w:szCs w:val="36"/>
        </w:rPr>
      </w:pPr>
    </w:p>
    <w:p>
      <w:pPr>
        <w:pStyle w:val="4"/>
        <w:spacing w:before="338" w:line="222" w:lineRule="auto"/>
        <w:jc w:val="center"/>
        <w:rPr>
          <w:rFonts w:hint="eastAsia" w:eastAsia="宋体"/>
          <w:b/>
          <w:bCs/>
          <w:spacing w:val="-12"/>
          <w:sz w:val="44"/>
          <w:szCs w:val="44"/>
          <w:lang w:eastAsia="zh-CN"/>
        </w:rPr>
      </w:pPr>
      <w:r>
        <w:rPr>
          <w:rFonts w:hint="eastAsia" w:eastAsia="宋体"/>
          <w:b/>
          <w:bCs/>
          <w:spacing w:val="-12"/>
          <w:sz w:val="44"/>
          <w:szCs w:val="44"/>
          <w:lang w:eastAsia="zh-CN"/>
        </w:rPr>
        <w:t>永洁卫生垃圾填埋场渗滤液处理站水质继续检测项目</w:t>
      </w:r>
    </w:p>
    <w:p>
      <w:pPr>
        <w:pStyle w:val="4"/>
        <w:spacing w:before="338" w:line="222" w:lineRule="auto"/>
        <w:jc w:val="center"/>
        <w:rPr>
          <w:rFonts w:hint="eastAsia"/>
          <w:b/>
          <w:bCs/>
          <w:spacing w:val="-12"/>
          <w:sz w:val="36"/>
          <w:szCs w:val="36"/>
          <w:lang w:val="en-US" w:eastAsia="zh-CN"/>
        </w:rPr>
      </w:pPr>
    </w:p>
    <w:p>
      <w:pPr>
        <w:pStyle w:val="4"/>
        <w:spacing w:before="338" w:line="222" w:lineRule="auto"/>
        <w:jc w:val="center"/>
        <w:rPr>
          <w:rFonts w:hint="eastAsia"/>
          <w:b/>
          <w:bCs/>
          <w:spacing w:val="-12"/>
          <w:sz w:val="36"/>
          <w:szCs w:val="36"/>
          <w:lang w:val="en-US" w:eastAsia="zh-CN"/>
        </w:rPr>
      </w:pPr>
    </w:p>
    <w:p>
      <w:pPr>
        <w:pStyle w:val="4"/>
        <w:spacing w:before="338" w:line="222" w:lineRule="auto"/>
        <w:jc w:val="center"/>
        <w:rPr>
          <w:rFonts w:hint="eastAsia"/>
          <w:b/>
          <w:bCs/>
          <w:spacing w:val="-12"/>
          <w:sz w:val="56"/>
          <w:szCs w:val="56"/>
          <w:lang w:val="en-US" w:eastAsia="zh-CN"/>
        </w:rPr>
      </w:pPr>
      <w:r>
        <w:rPr>
          <w:rFonts w:hint="eastAsia"/>
          <w:b/>
          <w:bCs/>
          <w:spacing w:val="-12"/>
          <w:sz w:val="56"/>
          <w:szCs w:val="56"/>
          <w:lang w:val="en-US" w:eastAsia="zh-CN"/>
        </w:rPr>
        <w:t>合</w:t>
      </w:r>
    </w:p>
    <w:p>
      <w:pPr>
        <w:pStyle w:val="4"/>
        <w:spacing w:before="338" w:line="222" w:lineRule="auto"/>
        <w:jc w:val="center"/>
        <w:rPr>
          <w:rFonts w:hint="eastAsia"/>
          <w:b/>
          <w:bCs/>
          <w:spacing w:val="-12"/>
          <w:sz w:val="56"/>
          <w:szCs w:val="56"/>
          <w:lang w:val="en-US" w:eastAsia="zh-CN"/>
        </w:rPr>
      </w:pPr>
      <w:r>
        <w:rPr>
          <w:rFonts w:hint="eastAsia"/>
          <w:b/>
          <w:bCs/>
          <w:spacing w:val="-12"/>
          <w:sz w:val="56"/>
          <w:szCs w:val="56"/>
          <w:lang w:val="en-US" w:eastAsia="zh-CN"/>
        </w:rPr>
        <w:t>同</w:t>
      </w:r>
    </w:p>
    <w:p>
      <w:pPr>
        <w:pStyle w:val="4"/>
        <w:spacing w:before="338" w:line="222" w:lineRule="auto"/>
        <w:jc w:val="center"/>
        <w:rPr>
          <w:rFonts w:hint="eastAsia" w:eastAsia="黑体"/>
          <w:b/>
          <w:bCs/>
          <w:spacing w:val="-12"/>
          <w:sz w:val="56"/>
          <w:szCs w:val="56"/>
          <w:lang w:val="en-US" w:eastAsia="zh-CN"/>
        </w:rPr>
      </w:pPr>
      <w:r>
        <w:rPr>
          <w:rFonts w:hint="eastAsia"/>
          <w:b/>
          <w:bCs/>
          <w:spacing w:val="-12"/>
          <w:sz w:val="56"/>
          <w:szCs w:val="56"/>
          <w:lang w:val="en-US" w:eastAsia="zh-CN"/>
        </w:rPr>
        <w:t>书</w:t>
      </w:r>
    </w:p>
    <w:p>
      <w:pPr>
        <w:rPr>
          <w:rFonts w:hint="eastAsia" w:eastAsia="宋体"/>
          <w:b/>
          <w:bCs/>
          <w:sz w:val="32"/>
          <w:szCs w:val="32"/>
          <w:lang w:val="en-US" w:eastAsia="zh-CN"/>
        </w:rPr>
      </w:pPr>
    </w:p>
    <w:p>
      <w:pPr>
        <w:rPr>
          <w:rFonts w:hint="eastAsia" w:eastAsia="宋体"/>
          <w:b/>
          <w:bCs/>
          <w:sz w:val="32"/>
          <w:szCs w:val="32"/>
          <w:lang w:val="en-US" w:eastAsia="zh-CN"/>
        </w:rPr>
      </w:pPr>
    </w:p>
    <w:p>
      <w:pPr>
        <w:rPr>
          <w:rFonts w:hint="eastAsia" w:eastAsia="宋体"/>
          <w:b/>
          <w:bCs/>
          <w:sz w:val="32"/>
          <w:szCs w:val="32"/>
          <w:u w:val="single"/>
          <w:lang w:val="en-US" w:eastAsia="zh-CN"/>
        </w:rPr>
      </w:pPr>
      <w:r>
        <w:rPr>
          <w:rFonts w:hint="eastAsia" w:eastAsia="宋体"/>
          <w:b/>
          <w:bCs/>
          <w:sz w:val="32"/>
          <w:szCs w:val="32"/>
          <w:lang w:val="en-US" w:eastAsia="zh-CN"/>
        </w:rPr>
        <w:t>采购单位：</w:t>
      </w:r>
      <w:r>
        <w:rPr>
          <w:rFonts w:hint="eastAsia" w:eastAsia="宋体"/>
          <w:b/>
          <w:bCs/>
          <w:sz w:val="32"/>
          <w:szCs w:val="32"/>
          <w:u w:val="single"/>
          <w:lang w:val="en-US" w:eastAsia="zh-CN"/>
        </w:rPr>
        <w:t xml:space="preserve"> </w:t>
      </w:r>
      <w:r>
        <w:rPr>
          <w:rFonts w:hint="eastAsia"/>
          <w:b/>
          <w:bCs/>
          <w:sz w:val="32"/>
          <w:szCs w:val="32"/>
          <w:u w:val="single"/>
          <w:lang w:val="en-US" w:eastAsia="zh-CN"/>
        </w:rPr>
        <w:t>宜君县城乡建设和交通运输局</w:t>
      </w:r>
    </w:p>
    <w:p>
      <w:pPr>
        <w:rPr>
          <w:rFonts w:hint="eastAsia" w:eastAsia="宋体"/>
          <w:b/>
          <w:bCs/>
          <w:sz w:val="32"/>
          <w:szCs w:val="32"/>
          <w:lang w:val="en-US" w:eastAsia="zh-CN"/>
        </w:rPr>
      </w:pPr>
    </w:p>
    <w:p>
      <w:pPr>
        <w:rPr>
          <w:rFonts w:hint="default" w:eastAsia="宋体"/>
          <w:b/>
          <w:bCs/>
          <w:sz w:val="32"/>
          <w:szCs w:val="32"/>
          <w:u w:val="single"/>
          <w:lang w:val="en-US" w:eastAsia="zh-CN"/>
        </w:rPr>
      </w:pPr>
      <w:r>
        <w:rPr>
          <w:rFonts w:hint="eastAsia" w:eastAsia="宋体"/>
          <w:b/>
          <w:bCs/>
          <w:sz w:val="32"/>
          <w:szCs w:val="32"/>
          <w:lang w:val="en-US" w:eastAsia="zh-CN"/>
        </w:rPr>
        <w:t>供应商：</w:t>
      </w:r>
      <w:r>
        <w:rPr>
          <w:rFonts w:hint="eastAsia" w:eastAsia="宋体"/>
          <w:b/>
          <w:bCs/>
          <w:sz w:val="32"/>
          <w:szCs w:val="32"/>
          <w:u w:val="single"/>
          <w:lang w:val="en-US" w:eastAsia="zh-CN"/>
        </w:rPr>
        <w:t xml:space="preserve">   </w:t>
      </w:r>
      <w:r>
        <w:rPr>
          <w:rFonts w:hint="eastAsia"/>
          <w:b/>
          <w:bCs/>
          <w:sz w:val="32"/>
          <w:szCs w:val="32"/>
          <w:u w:val="single"/>
          <w:lang w:val="en-US" w:eastAsia="zh-CN"/>
        </w:rPr>
        <w:t xml:space="preserve">                      </w:t>
      </w:r>
      <w:r>
        <w:rPr>
          <w:rFonts w:hint="eastAsia" w:eastAsia="宋体"/>
          <w:b/>
          <w:bCs/>
          <w:sz w:val="32"/>
          <w:szCs w:val="32"/>
          <w:u w:val="single"/>
          <w:lang w:val="en-US" w:eastAsia="zh-CN"/>
        </w:rPr>
        <w:t xml:space="preserve">     </w:t>
      </w:r>
    </w:p>
    <w:p/>
    <w:p>
      <w:pPr>
        <w:rPr>
          <w:rFonts w:hint="default" w:eastAsia="宋体"/>
          <w:b/>
          <w:bCs/>
          <w:sz w:val="32"/>
          <w:szCs w:val="32"/>
          <w:u w:val="single"/>
          <w:lang w:val="en-US" w:eastAsia="zh-CN"/>
        </w:rPr>
      </w:pPr>
      <w:r>
        <w:rPr>
          <w:rFonts w:hint="eastAsia" w:eastAsia="宋体"/>
          <w:b/>
          <w:bCs/>
          <w:sz w:val="32"/>
          <w:szCs w:val="32"/>
          <w:lang w:val="en-US" w:eastAsia="zh-CN"/>
        </w:rPr>
        <w:t>日期：</w:t>
      </w:r>
      <w:r>
        <w:rPr>
          <w:rFonts w:hint="eastAsia" w:eastAsia="宋体"/>
          <w:b/>
          <w:bCs/>
          <w:sz w:val="32"/>
          <w:szCs w:val="32"/>
          <w:u w:val="single"/>
          <w:lang w:val="en-US" w:eastAsia="zh-CN"/>
        </w:rPr>
        <w:t xml:space="preserve">          </w:t>
      </w:r>
      <w:r>
        <w:rPr>
          <w:rFonts w:hint="eastAsia"/>
          <w:b/>
          <w:bCs/>
          <w:sz w:val="32"/>
          <w:szCs w:val="32"/>
          <w:u w:val="single"/>
          <w:lang w:val="en-US" w:eastAsia="zh-CN"/>
        </w:rPr>
        <w:t>年     月     日</w:t>
      </w:r>
      <w:r>
        <w:rPr>
          <w:rFonts w:hint="eastAsia" w:eastAsia="宋体"/>
          <w:b/>
          <w:bCs/>
          <w:sz w:val="32"/>
          <w:szCs w:val="32"/>
          <w:u w:val="single"/>
          <w:lang w:val="en-US" w:eastAsia="zh-CN"/>
        </w:rPr>
        <w:t xml:space="preserve">      </w:t>
      </w:r>
    </w:p>
    <w:p>
      <w:pPr>
        <w:rPr>
          <w:rFonts w:ascii="仿宋" w:hAnsi="仿宋" w:eastAsia="仿宋" w:cs="仿宋"/>
          <w:b/>
          <w:bCs/>
          <w:spacing w:val="3"/>
          <w:sz w:val="35"/>
          <w:szCs w:val="35"/>
        </w:rPr>
      </w:pPr>
      <w:bookmarkStart w:id="0" w:name="_GoBack"/>
      <w:bookmarkEnd w:id="0"/>
    </w:p>
    <w:p>
      <w:pPr>
        <w:spacing w:before="73" w:line="228" w:lineRule="auto"/>
        <w:ind w:left="2975"/>
        <w:outlineLvl w:val="0"/>
        <w:rPr>
          <w:rFonts w:ascii="仿宋" w:hAnsi="仿宋" w:eastAsia="仿宋" w:cs="仿宋"/>
          <w:b/>
          <w:bCs/>
          <w:spacing w:val="3"/>
          <w:sz w:val="35"/>
          <w:szCs w:val="35"/>
        </w:rPr>
      </w:pPr>
    </w:p>
    <w:p>
      <w:pPr>
        <w:spacing w:before="73" w:line="228" w:lineRule="auto"/>
        <w:ind w:left="2975"/>
        <w:outlineLvl w:val="0"/>
        <w:rPr>
          <w:rFonts w:ascii="仿宋" w:hAnsi="仿宋" w:eastAsia="仿宋" w:cs="仿宋"/>
          <w:b/>
          <w:bCs/>
          <w:spacing w:val="3"/>
          <w:sz w:val="35"/>
          <w:szCs w:val="35"/>
        </w:rPr>
      </w:pPr>
      <w:r>
        <w:rPr>
          <w:rFonts w:ascii="仿宋" w:hAnsi="仿宋" w:eastAsia="仿宋" w:cs="仿宋"/>
          <w:b/>
          <w:bCs/>
          <w:spacing w:val="3"/>
          <w:sz w:val="35"/>
          <w:szCs w:val="35"/>
        </w:rPr>
        <w:t>合同格式及主要条款</w:t>
      </w:r>
    </w:p>
    <w:p>
      <w:pPr>
        <w:spacing w:before="73" w:line="228" w:lineRule="auto"/>
        <w:ind w:left="2975"/>
        <w:outlineLvl w:val="0"/>
        <w:rPr>
          <w:rFonts w:hint="eastAsia" w:ascii="仿宋_GB2312" w:hAnsi="仿宋_GB2312" w:eastAsia="仿宋_GB2312" w:cs="仿宋_GB2312"/>
          <w:b/>
          <w:bCs/>
          <w:spacing w:val="3"/>
          <w:sz w:val="24"/>
          <w:szCs w:val="24"/>
        </w:rPr>
      </w:pPr>
    </w:p>
    <w:p>
      <w:pPr>
        <w:pStyle w:val="4"/>
        <w:rPr>
          <w:rFonts w:hint="eastAsia" w:ascii="仿宋_GB2312" w:hAnsi="仿宋_GB2312" w:eastAsia="仿宋_GB2312" w:cs="仿宋_GB2312"/>
          <w:sz w:val="24"/>
          <w:szCs w:val="24"/>
        </w:rPr>
      </w:pPr>
    </w:p>
    <w:p>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仿宋_GB2312" w:hAnsi="仿宋_GB2312" w:eastAsia="仿宋_GB2312" w:cs="仿宋_GB2312"/>
          <w:bCs/>
          <w:color w:val="auto"/>
          <w:kern w:val="2"/>
          <w:sz w:val="24"/>
          <w:szCs w:val="24"/>
          <w:highlight w:val="none"/>
          <w:u w:val="none"/>
          <w:lang w:val="en-US" w:eastAsia="zh-CN" w:bidi="ar-SA"/>
        </w:rPr>
      </w:pPr>
      <w:r>
        <w:rPr>
          <w:rFonts w:hint="eastAsia" w:ascii="仿宋_GB2312" w:hAnsi="仿宋_GB2312" w:eastAsia="仿宋_GB2312" w:cs="仿宋_GB2312"/>
          <w:bCs/>
          <w:color w:val="auto"/>
          <w:kern w:val="2"/>
          <w:sz w:val="24"/>
          <w:szCs w:val="24"/>
          <w:highlight w:val="none"/>
          <w:u w:val="single"/>
          <w:lang w:val="en-US" w:eastAsia="zh-CN" w:bidi="ar-SA"/>
        </w:rPr>
        <w:t xml:space="preserve">永洁卫生垃圾填埋场渗滤液处理站水质继续检测项目 </w:t>
      </w:r>
      <w:r>
        <w:rPr>
          <w:rFonts w:hint="eastAsia" w:ascii="仿宋_GB2312" w:hAnsi="仿宋_GB2312" w:eastAsia="仿宋_GB2312" w:cs="仿宋_GB2312"/>
          <w:bCs/>
          <w:color w:val="auto"/>
          <w:kern w:val="2"/>
          <w:sz w:val="24"/>
          <w:szCs w:val="24"/>
          <w:highlight w:val="none"/>
          <w:u w:val="none"/>
          <w:lang w:val="en-US" w:eastAsia="zh-CN" w:bidi="ar-SA"/>
        </w:rPr>
        <w:t xml:space="preserve">( 项 目 编 SXHN-ZC2025-001 ) 由亿诚建设项目管理有限公司组织招标采购， </w:t>
      </w:r>
      <w:r>
        <w:rPr>
          <w:rFonts w:hint="eastAsia" w:ascii="仿宋_GB2312" w:hAnsi="仿宋_GB2312" w:eastAsia="仿宋_GB2312" w:cs="仿宋_GB2312"/>
          <w:bCs/>
          <w:color w:val="auto"/>
          <w:kern w:val="2"/>
          <w:sz w:val="24"/>
          <w:szCs w:val="24"/>
          <w:highlight w:val="none"/>
          <w:u w:val="single"/>
          <w:lang w:val="en-US" w:eastAsia="zh-CN" w:bidi="ar-SA"/>
        </w:rPr>
        <w:t xml:space="preserve">宜君县城乡建设和交通运输局  </w:t>
      </w:r>
      <w:r>
        <w:rPr>
          <w:rFonts w:hint="eastAsia" w:ascii="仿宋_GB2312" w:hAnsi="仿宋_GB2312" w:eastAsia="仿宋_GB2312" w:cs="仿宋_GB2312"/>
          <w:bCs/>
          <w:color w:val="auto"/>
          <w:kern w:val="2"/>
          <w:sz w:val="24"/>
          <w:szCs w:val="24"/>
          <w:highlight w:val="none"/>
          <w:u w:val="none"/>
          <w:lang w:val="en-US" w:eastAsia="zh-CN" w:bidi="ar-SA"/>
        </w:rPr>
        <w:t>(以下简称“甲方”)确定</w:t>
      </w:r>
      <w:r>
        <w:rPr>
          <w:rFonts w:hint="eastAsia" w:ascii="仿宋_GB2312" w:hAnsi="仿宋_GB2312" w:eastAsia="仿宋_GB2312" w:cs="仿宋_GB2312"/>
          <w:bCs/>
          <w:color w:val="auto"/>
          <w:kern w:val="2"/>
          <w:sz w:val="24"/>
          <w:szCs w:val="24"/>
          <w:highlight w:val="none"/>
          <w:u w:val="single"/>
          <w:lang w:val="en-US" w:eastAsia="zh-CN" w:bidi="ar-SA"/>
        </w:rPr>
        <w:t xml:space="preserve">               </w:t>
      </w:r>
      <w:r>
        <w:rPr>
          <w:rFonts w:hint="eastAsia" w:ascii="仿宋_GB2312" w:hAnsi="仿宋_GB2312" w:eastAsia="仿宋_GB2312" w:cs="仿宋_GB2312"/>
          <w:bCs/>
          <w:color w:val="auto"/>
          <w:kern w:val="2"/>
          <w:sz w:val="24"/>
          <w:szCs w:val="24"/>
          <w:highlight w:val="none"/>
          <w:u w:val="none"/>
          <w:lang w:val="en-US" w:eastAsia="zh-CN" w:bidi="ar-SA"/>
        </w:rPr>
        <w:t xml:space="preserve"> ( 以下简称“乙 方”)为成交供应商。</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依据《中华人民共和国民法典》和《中华人民共和国政府采购法》，经双方协商按下述条款和条件签署本合同。</w:t>
      </w:r>
    </w:p>
    <w:p>
      <w:pPr>
        <w:tabs>
          <w:tab w:val="left" w:pos="840"/>
        </w:tabs>
        <w:kinsoku w:val="0"/>
        <w:spacing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color w:val="auto"/>
          <w:sz w:val="24"/>
          <w:szCs w:val="24"/>
          <w:highlight w:val="none"/>
        </w:rPr>
        <w:t>第一条：合同双方当事人</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甲方（采购人）：</w:t>
      </w:r>
      <w:r>
        <w:rPr>
          <w:rFonts w:hint="eastAsia" w:ascii="仿宋_GB2312" w:hAnsi="仿宋_GB2312" w:eastAsia="仿宋_GB2312" w:cs="仿宋_GB2312"/>
          <w:color w:val="auto"/>
          <w:sz w:val="24"/>
          <w:szCs w:val="24"/>
          <w:highlight w:val="none"/>
          <w:lang w:eastAsia="zh-CN"/>
        </w:rPr>
        <w:t>宜君县城乡建设和交通运输局</w:t>
      </w:r>
      <w:r>
        <w:rPr>
          <w:rFonts w:hint="eastAsia" w:ascii="仿宋_GB2312" w:hAnsi="仿宋_GB2312" w:eastAsia="仿宋_GB2312" w:cs="仿宋_GB2312"/>
          <w:color w:val="auto"/>
          <w:sz w:val="24"/>
          <w:szCs w:val="24"/>
          <w:highlight w:val="none"/>
          <w:lang w:val="en-US" w:eastAsia="zh-CN"/>
        </w:rPr>
        <w:t xml:space="preserve">  </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法定代表人/负责人：</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乙方（</w:t>
      </w:r>
      <w:r>
        <w:rPr>
          <w:rFonts w:hint="eastAsia" w:ascii="仿宋_GB2312" w:hAnsi="仿宋_GB2312" w:eastAsia="仿宋_GB2312" w:cs="仿宋_GB2312"/>
          <w:bCs/>
          <w:color w:val="auto"/>
          <w:sz w:val="24"/>
          <w:szCs w:val="24"/>
          <w:highlight w:val="none"/>
        </w:rPr>
        <w:t>中标人</w:t>
      </w:r>
      <w:r>
        <w:rPr>
          <w:rFonts w:hint="eastAsia" w:ascii="仿宋_GB2312" w:hAnsi="仿宋_GB2312" w:eastAsia="仿宋_GB2312" w:cs="仿宋_GB2312"/>
          <w:color w:val="auto"/>
          <w:sz w:val="24"/>
          <w:szCs w:val="24"/>
          <w:highlight w:val="none"/>
        </w:rPr>
        <w:t>）：</w:t>
      </w:r>
    </w:p>
    <w:p>
      <w:pPr>
        <w:tabs>
          <w:tab w:val="left" w:pos="840"/>
        </w:tabs>
        <w:kinsoku w:val="0"/>
        <w:spacing w:line="360" w:lineRule="auto"/>
        <w:ind w:firstLine="480" w:firstLineChars="200"/>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color w:val="auto"/>
          <w:sz w:val="24"/>
          <w:szCs w:val="24"/>
          <w:highlight w:val="none"/>
        </w:rPr>
        <w:t>法定代表人/负责人：</w:t>
      </w:r>
    </w:p>
    <w:p>
      <w:pPr>
        <w:autoSpaceDE w:val="0"/>
        <w:autoSpaceDN w:val="0"/>
        <w:adjustRightInd w:val="0"/>
        <w:spacing w:line="348" w:lineRule="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
          <w:color w:val="auto"/>
          <w:sz w:val="24"/>
          <w:szCs w:val="24"/>
          <w:highlight w:val="none"/>
        </w:rPr>
        <w:t>第</w:t>
      </w:r>
      <w:r>
        <w:rPr>
          <w:rFonts w:hint="eastAsia" w:ascii="仿宋_GB2312" w:hAnsi="仿宋_GB2312" w:eastAsia="仿宋_GB2312" w:cs="仿宋_GB2312"/>
          <w:b/>
          <w:color w:val="auto"/>
          <w:sz w:val="24"/>
          <w:szCs w:val="24"/>
          <w:highlight w:val="none"/>
          <w:lang w:val="en-US" w:eastAsia="zh-CN"/>
        </w:rPr>
        <w:t>二</w:t>
      </w:r>
      <w:r>
        <w:rPr>
          <w:rFonts w:hint="eastAsia" w:ascii="仿宋_GB2312" w:hAnsi="仿宋_GB2312" w:eastAsia="仿宋_GB2312" w:cs="仿宋_GB2312"/>
          <w:b/>
          <w:color w:val="auto"/>
          <w:sz w:val="24"/>
          <w:szCs w:val="24"/>
          <w:highlight w:val="none"/>
        </w:rPr>
        <w:t>条：履行期限及地点</w:t>
      </w:r>
    </w:p>
    <w:p>
      <w:pPr>
        <w:pStyle w:val="14"/>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（一）服务期：</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bCs/>
          <w:color w:val="auto"/>
          <w:sz w:val="24"/>
          <w:szCs w:val="24"/>
          <w:highlight w:val="none"/>
          <w:u w:val="single"/>
          <w:lang w:val="en-US" w:eastAsia="zh-CN"/>
        </w:rPr>
        <w:t xml:space="preserve"> 2年</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w:t>
      </w:r>
    </w:p>
    <w:p>
      <w:pPr>
        <w:autoSpaceDE w:val="0"/>
        <w:autoSpaceDN w:val="0"/>
        <w:adjustRightInd w:val="0"/>
        <w:spacing w:line="348" w:lineRule="auto"/>
        <w:ind w:firstLine="480" w:firstLineChars="200"/>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Cs/>
          <w:color w:val="auto"/>
          <w:sz w:val="24"/>
          <w:szCs w:val="24"/>
          <w:highlight w:val="none"/>
        </w:rPr>
        <w:t>（二）服务地点：</w:t>
      </w:r>
      <w:r>
        <w:rPr>
          <w:rFonts w:hint="eastAsia" w:ascii="仿宋_GB2312" w:hAnsi="仿宋_GB2312" w:eastAsia="仿宋_GB2312" w:cs="仿宋_GB2312"/>
          <w:color w:val="auto"/>
          <w:sz w:val="24"/>
          <w:szCs w:val="24"/>
          <w:highlight w:val="none"/>
          <w:u w:val="single"/>
          <w:lang w:val="en-US" w:eastAsia="zh-CN"/>
        </w:rPr>
        <w:t xml:space="preserve">    业主指定地点         </w:t>
      </w:r>
      <w:r>
        <w:rPr>
          <w:rFonts w:hint="eastAsia" w:ascii="仿宋_GB2312" w:hAnsi="仿宋_GB2312" w:eastAsia="仿宋_GB2312" w:cs="仿宋_GB2312"/>
          <w:color w:val="auto"/>
          <w:sz w:val="24"/>
          <w:szCs w:val="24"/>
          <w:highlight w:val="none"/>
        </w:rPr>
        <w:t>。</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三</w:t>
      </w:r>
      <w:r>
        <w:rPr>
          <w:rFonts w:hint="eastAsia" w:ascii="仿宋_GB2312" w:hAnsi="仿宋_GB2312" w:eastAsia="仿宋_GB2312" w:cs="仿宋_GB2312"/>
          <w:b/>
          <w:bCs/>
          <w:color w:val="auto"/>
          <w:sz w:val="24"/>
          <w:szCs w:val="24"/>
          <w:highlight w:val="none"/>
        </w:rPr>
        <w:t>条：服务质量保证</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（一）乙方需派一名项目负责人，直接与甲方沟通，项目负责人接收甲方提出的问题与要求，并及时反馈给工作组，解决在项目实施过程中遇到的问题。</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（二）项目在实施过程中会出现不可预料的需求变更，乙方需积极配合甲方的需求变更，并按照变更后的需求继续进行方案实施。</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（三）乙方需提交所有实施方案流程及说明文档。</w:t>
      </w:r>
    </w:p>
    <w:p>
      <w:pPr>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四</w:t>
      </w:r>
      <w:r>
        <w:rPr>
          <w:rFonts w:hint="eastAsia" w:ascii="仿宋_GB2312" w:hAnsi="仿宋_GB2312" w:eastAsia="仿宋_GB2312" w:cs="仿宋_GB2312"/>
          <w:b/>
          <w:bCs/>
          <w:color w:val="auto"/>
          <w:sz w:val="24"/>
          <w:szCs w:val="24"/>
          <w:highlight w:val="none"/>
        </w:rPr>
        <w:t>条：合同价款</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（一）合同总价款为人民币（大写）</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u w:val="single"/>
          <w:lang w:val="en-US" w:eastAsia="zh-CN"/>
        </w:rPr>
        <w:t xml:space="preserve">    </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u w:val="single"/>
          <w:lang w:val="en-US" w:eastAsia="zh-CN"/>
        </w:rPr>
        <w:t xml:space="preserve">      </w:t>
      </w:r>
      <w:r>
        <w:rPr>
          <w:rFonts w:hint="eastAsia" w:ascii="仿宋_GB2312" w:hAnsi="仿宋_GB2312" w:eastAsia="仿宋_GB2312" w:cs="仿宋_GB2312"/>
          <w:bCs/>
          <w:color w:val="auto"/>
          <w:sz w:val="24"/>
          <w:szCs w:val="24"/>
          <w:highlight w:val="none"/>
          <w:u w:val="single"/>
        </w:rPr>
        <w:t xml:space="preserve">元  </w:t>
      </w:r>
      <w:r>
        <w:rPr>
          <w:rFonts w:hint="eastAsia" w:ascii="仿宋_GB2312" w:hAnsi="仿宋_GB2312" w:eastAsia="仿宋_GB2312" w:cs="仿宋_GB2312"/>
          <w:bCs/>
          <w:color w:val="auto"/>
          <w:sz w:val="24"/>
          <w:szCs w:val="24"/>
          <w:highlight w:val="none"/>
        </w:rPr>
        <w:t xml:space="preserve"> ）。</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（二）合同总价：包括服务期内提供所有服务费用、</w:t>
      </w:r>
      <w:r>
        <w:rPr>
          <w:rFonts w:hint="eastAsia" w:ascii="仿宋_GB2312" w:hAnsi="仿宋_GB2312" w:eastAsia="仿宋_GB2312" w:cs="仿宋_GB2312"/>
          <w:bCs/>
          <w:color w:val="auto"/>
          <w:sz w:val="24"/>
          <w:szCs w:val="24"/>
          <w:highlight w:val="none"/>
          <w:lang w:val="en-US" w:eastAsia="zh-CN"/>
        </w:rPr>
        <w:t>人工支出、</w:t>
      </w:r>
      <w:r>
        <w:rPr>
          <w:rFonts w:hint="eastAsia" w:ascii="仿宋_GB2312" w:hAnsi="仿宋_GB2312" w:eastAsia="仿宋_GB2312" w:cs="仿宋_GB2312"/>
          <w:bCs/>
          <w:color w:val="auto"/>
          <w:sz w:val="24"/>
          <w:szCs w:val="24"/>
          <w:highlight w:val="none"/>
        </w:rPr>
        <w:t>税金等完成本次服务所需一切费用，不受市场价格变化因素的影响。</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五</w:t>
      </w:r>
      <w:r>
        <w:rPr>
          <w:rFonts w:hint="eastAsia" w:ascii="仿宋_GB2312" w:hAnsi="仿宋_GB2312" w:eastAsia="仿宋_GB2312" w:cs="仿宋_GB2312"/>
          <w:b/>
          <w:bCs/>
          <w:color w:val="auto"/>
          <w:sz w:val="24"/>
          <w:szCs w:val="24"/>
          <w:highlight w:val="none"/>
        </w:rPr>
        <w:t>条：付款进度安排</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（一）支付方式：银行转账。</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rPr>
        <w:t>（二）结算条件：</w:t>
      </w:r>
      <w:r>
        <w:rPr>
          <w:rFonts w:hint="eastAsia" w:ascii="仿宋_GB2312" w:hAnsi="仿宋_GB2312" w:eastAsia="仿宋_GB2312" w:cs="仿宋_GB2312"/>
          <w:color w:val="auto"/>
          <w:sz w:val="24"/>
          <w:szCs w:val="24"/>
          <w:highlight w:val="none"/>
        </w:rPr>
        <w:t>乙方在甲方支付合同款项前，应按各期付款数额以及甲方的要求向甲方开具符合国家法律法规和标准的增值税扣税凭证（包括但不限于增值税专用发票），</w:t>
      </w:r>
    </w:p>
    <w:p>
      <w:pPr>
        <w:autoSpaceDE w:val="0"/>
        <w:autoSpaceDN w:val="0"/>
        <w:adjustRightInd w:val="0"/>
        <w:spacing w:line="348" w:lineRule="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乙方承诺其开具发票的形式与内容均合法、有效、完整、准确，不开具或</w:t>
      </w:r>
      <w:r>
        <w:rPr>
          <w:rFonts w:hint="eastAsia" w:ascii="仿宋_GB2312" w:hAnsi="仿宋_GB2312" w:eastAsia="仿宋_GB2312" w:cs="仿宋_GB2312"/>
          <w:color w:val="auto"/>
          <w:sz w:val="24"/>
          <w:szCs w:val="24"/>
          <w:highlight w:val="none"/>
          <w:lang w:eastAsia="zh-Hans"/>
        </w:rPr>
        <w:t>所</w:t>
      </w:r>
      <w:r>
        <w:rPr>
          <w:rFonts w:hint="eastAsia" w:ascii="仿宋_GB2312" w:hAnsi="仿宋_GB2312" w:eastAsia="仿宋_GB2312" w:cs="仿宋_GB2312"/>
          <w:color w:val="auto"/>
          <w:sz w:val="24"/>
          <w:szCs w:val="24"/>
          <w:highlight w:val="none"/>
        </w:rPr>
        <w:t>开具</w:t>
      </w:r>
      <w:r>
        <w:rPr>
          <w:rFonts w:hint="eastAsia" w:ascii="仿宋_GB2312" w:hAnsi="仿宋_GB2312" w:eastAsia="仿宋_GB2312" w:cs="仿宋_GB2312"/>
          <w:color w:val="auto"/>
          <w:sz w:val="24"/>
          <w:szCs w:val="24"/>
          <w:highlight w:val="none"/>
          <w:lang w:eastAsia="zh-Hans"/>
        </w:rPr>
        <w:t>发票</w:t>
      </w:r>
      <w:r>
        <w:rPr>
          <w:rFonts w:hint="eastAsia" w:ascii="仿宋_GB2312" w:hAnsi="仿宋_GB2312" w:eastAsia="仿宋_GB2312" w:cs="仿宋_GB2312"/>
          <w:color w:val="auto"/>
          <w:sz w:val="24"/>
          <w:szCs w:val="24"/>
          <w:highlight w:val="none"/>
        </w:rPr>
        <w:t>不合格的，甲方有权迟延支付应付款项且不承担任何违约责任，且乙方的各项合同义务仍应按合同约定履行。</w:t>
      </w:r>
    </w:p>
    <w:p>
      <w:pPr>
        <w:numPr>
          <w:ilvl w:val="0"/>
          <w:numId w:val="2"/>
        </w:num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rPr>
        <w:t>付款进度：</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（四）乙方结算相关信息如下：</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乙方银行账户信息如下： </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账户户名：</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开户行：</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银行账号：</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 xml:space="preserve">                                      </w:t>
      </w:r>
    </w:p>
    <w:p>
      <w:pPr>
        <w:spacing w:line="360" w:lineRule="auto"/>
        <w:ind w:firstLine="42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如需改变上述账户，应提前十日以书面通知另一方。如一方未按本合同规定通知而使另一方遭受损失的，应予以赔偿。</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六</w:t>
      </w:r>
      <w:r>
        <w:rPr>
          <w:rFonts w:hint="eastAsia" w:ascii="仿宋_GB2312" w:hAnsi="仿宋_GB2312" w:eastAsia="仿宋_GB2312" w:cs="仿宋_GB2312"/>
          <w:b/>
          <w:bCs/>
          <w:color w:val="auto"/>
          <w:sz w:val="24"/>
          <w:szCs w:val="24"/>
          <w:highlight w:val="none"/>
        </w:rPr>
        <w:t>条：验收要求</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（一）乙方配合采购人验收。若存在验收费用，由乙方自行承担。</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（二）由采购人根据采购合同约定，进行检查验收。</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（三）合同所有内容完成后，由乙方进行自检，合格后，准备验收文件，并书面通知甲方。甲方可选择自行验收或要求采购代理机构配合验收或选择第三方专业机构及专家参与验收。</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（四）乙方向甲方提交实施过程中的所有资料。以便甲方日后管理和维护。</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（五）验收依据：</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1、本合同及附加文本；</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w:t>
      </w:r>
      <w:r>
        <w:rPr>
          <w:rFonts w:hint="eastAsia" w:ascii="仿宋_GB2312" w:hAnsi="仿宋_GB2312" w:eastAsia="仿宋_GB2312" w:cs="仿宋_GB2312"/>
          <w:bCs/>
          <w:color w:val="auto"/>
          <w:sz w:val="24"/>
          <w:szCs w:val="24"/>
          <w:highlight w:val="none"/>
          <w:lang w:val="en-US" w:eastAsia="zh-CN"/>
        </w:rPr>
        <w:t>磋商</w:t>
      </w:r>
      <w:r>
        <w:rPr>
          <w:rFonts w:hint="eastAsia" w:ascii="仿宋_GB2312" w:hAnsi="仿宋_GB2312" w:eastAsia="仿宋_GB2312" w:cs="仿宋_GB2312"/>
          <w:bCs/>
          <w:color w:val="auto"/>
          <w:sz w:val="24"/>
          <w:szCs w:val="24"/>
          <w:highlight w:val="none"/>
        </w:rPr>
        <w:t>文件、</w:t>
      </w:r>
      <w:r>
        <w:rPr>
          <w:rFonts w:hint="eastAsia" w:ascii="仿宋_GB2312" w:hAnsi="仿宋_GB2312" w:eastAsia="仿宋_GB2312" w:cs="仿宋_GB2312"/>
          <w:bCs/>
          <w:color w:val="auto"/>
          <w:sz w:val="24"/>
          <w:szCs w:val="24"/>
          <w:highlight w:val="none"/>
          <w:lang w:val="en-US" w:eastAsia="zh-CN"/>
        </w:rPr>
        <w:t>成交供应商的响应</w:t>
      </w:r>
      <w:r>
        <w:rPr>
          <w:rFonts w:hint="eastAsia" w:ascii="仿宋_GB2312" w:hAnsi="仿宋_GB2312" w:eastAsia="仿宋_GB2312" w:cs="仿宋_GB2312"/>
          <w:bCs/>
          <w:color w:val="auto"/>
          <w:sz w:val="24"/>
          <w:szCs w:val="24"/>
          <w:highlight w:val="none"/>
        </w:rPr>
        <w:t>文件及澄清函、承诺函。</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七</w:t>
      </w:r>
      <w:r>
        <w:rPr>
          <w:rFonts w:hint="eastAsia" w:ascii="仿宋_GB2312" w:hAnsi="仿宋_GB2312" w:eastAsia="仿宋_GB2312" w:cs="仿宋_GB2312"/>
          <w:b/>
          <w:bCs/>
          <w:color w:val="auto"/>
          <w:sz w:val="24"/>
          <w:szCs w:val="24"/>
          <w:highlight w:val="none"/>
        </w:rPr>
        <w:t>条：双方的权利和义务</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（一）甲方的权利与义务</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1、甲方应按</w:t>
      </w:r>
      <w:r>
        <w:rPr>
          <w:rFonts w:hint="eastAsia" w:ascii="仿宋_GB2312" w:hAnsi="仿宋_GB2312" w:eastAsia="仿宋_GB2312" w:cs="仿宋_GB2312"/>
          <w:bCs/>
          <w:color w:val="auto"/>
          <w:sz w:val="24"/>
          <w:szCs w:val="24"/>
          <w:highlight w:val="none"/>
          <w:lang w:val="en-US" w:eastAsia="zh-CN"/>
        </w:rPr>
        <w:t>磋商</w:t>
      </w:r>
      <w:r>
        <w:rPr>
          <w:rFonts w:hint="eastAsia" w:ascii="仿宋_GB2312" w:hAnsi="仿宋_GB2312" w:eastAsia="仿宋_GB2312" w:cs="仿宋_GB2312"/>
          <w:bCs/>
          <w:color w:val="auto"/>
          <w:sz w:val="24"/>
          <w:szCs w:val="24"/>
          <w:highlight w:val="none"/>
        </w:rPr>
        <w:t>文件的需求进行核实，如发现不符合合同规定或短缺，及时提出，甲方在收到货</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lang w:val="en-US" w:eastAsia="zh-CN"/>
        </w:rPr>
        <w:t>检验报告</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rPr>
        <w:t>后，组织人员按提供的技术参数指标进行验收，验收期为</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天，逾期未提出异议，则视为验收合格。甲方必须按交货</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lang w:val="en-US" w:eastAsia="zh-CN"/>
        </w:rPr>
        <w:t>检验报告</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rPr>
        <w:t>时间交付乙方安装</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lang w:val="en-US" w:eastAsia="zh-CN"/>
        </w:rPr>
        <w:t>检验</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rPr>
        <w:t>现场，并现场配合。</w:t>
      </w:r>
    </w:p>
    <w:p>
      <w:pPr>
        <w:autoSpaceDE w:val="0"/>
        <w:autoSpaceDN w:val="0"/>
        <w:adjustRightInd w:val="0"/>
        <w:snapToGrid w:val="0"/>
        <w:spacing w:line="360" w:lineRule="auto"/>
        <w:ind w:firstLine="480" w:firstLineChars="200"/>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Cs/>
          <w:color w:val="auto"/>
          <w:sz w:val="24"/>
          <w:szCs w:val="24"/>
          <w:highlight w:val="none"/>
        </w:rPr>
        <w:t>2、甲方应当自收到发票后30日内将资金支付到合同约定的乙方账户。</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（二）乙方的权利与义务</w:t>
      </w:r>
    </w:p>
    <w:p>
      <w:pPr>
        <w:autoSpaceDE w:val="0"/>
        <w:autoSpaceDN w:val="0"/>
        <w:adjustRightInd w:val="0"/>
        <w:snapToGri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1.乙方的工作人员必须严格遵守甲方的规章制度，以良好的形象和积极的工作态度，按甲方要求开展工作；</w:t>
      </w:r>
    </w:p>
    <w:p>
      <w:pPr>
        <w:autoSpaceDE w:val="0"/>
        <w:autoSpaceDN w:val="0"/>
        <w:adjustRightInd w:val="0"/>
        <w:snapToGri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2.乙方应服从甲方统筹管理并按流程开展工作；</w:t>
      </w:r>
    </w:p>
    <w:p>
      <w:pPr>
        <w:autoSpaceDE w:val="0"/>
        <w:autoSpaceDN w:val="0"/>
        <w:adjustRightInd w:val="0"/>
        <w:snapToGri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3.乙方在服务期</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lang w:val="en-US" w:eastAsia="zh-CN"/>
        </w:rPr>
        <w:t>交货期</w:t>
      </w:r>
      <w:r>
        <w:rPr>
          <w:rFonts w:hint="eastAsia" w:ascii="仿宋_GB2312" w:hAnsi="仿宋_GB2312" w:eastAsia="仿宋_GB2312" w:cs="仿宋_GB2312"/>
          <w:bCs/>
          <w:color w:val="auto"/>
          <w:sz w:val="24"/>
          <w:szCs w:val="24"/>
          <w:highlight w:val="none"/>
          <w:lang w:eastAsia="zh-CN"/>
        </w:rPr>
        <w:t>）</w:t>
      </w:r>
      <w:r>
        <w:rPr>
          <w:rFonts w:hint="eastAsia" w:ascii="仿宋_GB2312" w:hAnsi="仿宋_GB2312" w:eastAsia="仿宋_GB2312" w:cs="仿宋_GB2312"/>
          <w:bCs/>
          <w:color w:val="auto"/>
          <w:sz w:val="24"/>
          <w:szCs w:val="24"/>
          <w:highlight w:val="none"/>
        </w:rPr>
        <w:t>间发布的任何涉及有关甲方的相关信息，需经甲方确认无误后方可公布。</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w:t>
      </w:r>
      <w:r>
        <w:rPr>
          <w:rFonts w:hint="eastAsia" w:ascii="仿宋_GB2312" w:hAnsi="仿宋_GB2312" w:eastAsia="仿宋_GB2312" w:cs="仿宋_GB2312"/>
          <w:b/>
          <w:bCs/>
          <w:color w:val="auto"/>
          <w:sz w:val="24"/>
          <w:szCs w:val="24"/>
          <w:highlight w:val="none"/>
          <w:lang w:val="en-US" w:eastAsia="zh-CN"/>
        </w:rPr>
        <w:t>八</w:t>
      </w:r>
      <w:r>
        <w:rPr>
          <w:rFonts w:hint="eastAsia" w:ascii="仿宋_GB2312" w:hAnsi="仿宋_GB2312" w:eastAsia="仿宋_GB2312" w:cs="仿宋_GB2312"/>
          <w:b/>
          <w:bCs/>
          <w:color w:val="auto"/>
          <w:sz w:val="24"/>
          <w:szCs w:val="24"/>
          <w:highlight w:val="none"/>
        </w:rPr>
        <w:t>条：违约责任</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（一）按《中华人民共和国民法典》中的相关条款执行。</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（二）任何一方因不可抗力原因不能履行协议时，应尽快通知对方，双方均设法补偿。如仍无法履约协议，可协商延缓或撤销协议，双方责任免除。</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color w:val="auto"/>
          <w:sz w:val="24"/>
          <w:szCs w:val="24"/>
          <w:highlight w:val="none"/>
        </w:rPr>
        <w:t>（三）甲方逾期</w:t>
      </w:r>
      <w:r>
        <w:rPr>
          <w:rFonts w:hint="eastAsia" w:ascii="仿宋_GB2312" w:hAnsi="仿宋_GB2312" w:eastAsia="仿宋_GB2312" w:cs="仿宋_GB2312"/>
          <w:bCs/>
          <w:color w:val="auto"/>
          <w:sz w:val="24"/>
          <w:szCs w:val="24"/>
          <w:highlight w:val="none"/>
        </w:rPr>
        <w:t>付款，则每日按本合同总价的</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%向乙方偿付违约金。</w:t>
      </w:r>
    </w:p>
    <w:p>
      <w:pPr>
        <w:tabs>
          <w:tab w:val="left" w:pos="840"/>
        </w:tabs>
        <w:kinsoku w:val="0"/>
        <w:spacing w:line="360" w:lineRule="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第</w:t>
      </w:r>
      <w:r>
        <w:rPr>
          <w:rFonts w:hint="eastAsia" w:ascii="仿宋_GB2312" w:hAnsi="仿宋_GB2312" w:eastAsia="仿宋_GB2312" w:cs="仿宋_GB2312"/>
          <w:b/>
          <w:color w:val="auto"/>
          <w:sz w:val="24"/>
          <w:szCs w:val="24"/>
          <w:highlight w:val="none"/>
          <w:lang w:val="en-US" w:eastAsia="zh-CN"/>
        </w:rPr>
        <w:t>九</w:t>
      </w:r>
      <w:r>
        <w:rPr>
          <w:rFonts w:hint="eastAsia" w:ascii="仿宋_GB2312" w:hAnsi="仿宋_GB2312" w:eastAsia="仿宋_GB2312" w:cs="仿宋_GB2312"/>
          <w:b/>
          <w:color w:val="auto"/>
          <w:sz w:val="24"/>
          <w:szCs w:val="24"/>
          <w:highlight w:val="none"/>
        </w:rPr>
        <w:t>条：不可抗力</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（一）本合同所指不可抗力，是指不能预见、不能避免并不能克服的客观情况。</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二）由于不可抗力事件，致使一方在履行其在本合同项下的义务过程中遇到障碍或延误，不能按约定的条款全部或部分履行其义务的，遇到不可抗力事件的一方（“受阻方”），只要满足下列所有条件，不应视为违反本合同：</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1、受阻方不能全部或部分履行其义务，是由于不可抗力事件直接造成的，且在不可抗力发生前受阻方不存在迟延履行相关义务的情形；</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2、受阻方已尽最大努力履行其义务并减少由于不可抗力事件给另一方造成的损失；</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3、不可抗力事件发生时，受阻方立即通知了对方，并在不可抗力事件发生后的十五(15</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天内提供有关该事件的公证文书和书面说明，书面说明中应包括对延迟履行或部分履行本合同的原因说明。</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（三）不可抗力事件终止或被排除后，受阻方应继续履行本合同，并应尽快通知另一方。受阻方可延长履行义务的时间，延长期应相当于不可抗力事件实际造成延误的时间。</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四）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pPr>
        <w:tabs>
          <w:tab w:val="left" w:pos="840"/>
        </w:tabs>
        <w:kinsoku w:val="0"/>
        <w:spacing w:line="360" w:lineRule="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第十条：法律适用和争议解决</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（一）本合同的成立、有效性、解释、履行、签署、修订和终止以及争议的解决均应适用中华人民共和国法律。</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（二）如果任何争议或权利要求起因于本合同或与本合同有关或与本合同的解释、违约、终止或效力有关，都应由双方通过友好协商解决。协商应在一方向另一方送达关于协商的书面要求后立即开始。</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（三）如果在一方提出协商要求后的十（10）天内，双方通过协商不能解决争议，则双方同意按以下方式解决：</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将该争议提交至甲方所在地</w:t>
      </w:r>
      <w:r>
        <w:rPr>
          <w:rFonts w:hint="eastAsia" w:ascii="仿宋_GB2312" w:hAnsi="仿宋_GB2312" w:eastAsia="仿宋_GB2312" w:cs="仿宋_GB2312"/>
          <w:color w:val="auto"/>
          <w:sz w:val="24"/>
          <w:szCs w:val="24"/>
          <w:highlight w:val="none"/>
          <w:lang w:eastAsia="zh-Hans"/>
        </w:rPr>
        <w:t>有管辖权的</w:t>
      </w:r>
      <w:r>
        <w:rPr>
          <w:rFonts w:hint="eastAsia" w:ascii="仿宋_GB2312" w:hAnsi="仿宋_GB2312" w:eastAsia="仿宋_GB2312" w:cs="仿宋_GB2312"/>
          <w:color w:val="auto"/>
          <w:sz w:val="24"/>
          <w:szCs w:val="24"/>
          <w:highlight w:val="none"/>
        </w:rPr>
        <w:t>人民法院诉讼解决，败诉方应支付双方因诉讼所发生的一切法律费用，包括但不限于律师费。</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（四）诉讼进行过程中，除双方有争议的部分外，本合同其他部分仍然有效，双方应继续履行。</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（五）本合同全部或部分无效的，本条依然有效。</w:t>
      </w:r>
    </w:p>
    <w:p>
      <w:pPr>
        <w:autoSpaceDE w:val="0"/>
        <w:autoSpaceDN w:val="0"/>
        <w:adjustRightInd w:val="0"/>
        <w:spacing w:line="348" w:lineRule="auto"/>
        <w:rPr>
          <w:rFonts w:hint="eastAsia" w:ascii="仿宋_GB2312" w:hAnsi="仿宋_GB2312" w:eastAsia="仿宋_GB2312" w:cs="仿宋_GB2312"/>
          <w:b/>
          <w:bCs/>
          <w:color w:val="auto"/>
          <w:sz w:val="24"/>
          <w:szCs w:val="24"/>
          <w:highlight w:val="none"/>
        </w:rPr>
      </w:pPr>
      <w:r>
        <w:rPr>
          <w:rFonts w:hint="eastAsia" w:ascii="仿宋_GB2312" w:hAnsi="仿宋_GB2312" w:eastAsia="仿宋_GB2312" w:cs="仿宋_GB2312"/>
          <w:b/>
          <w:bCs/>
          <w:color w:val="auto"/>
          <w:sz w:val="24"/>
          <w:szCs w:val="24"/>
          <w:highlight w:val="none"/>
        </w:rPr>
        <w:t>第十</w:t>
      </w:r>
      <w:r>
        <w:rPr>
          <w:rFonts w:hint="eastAsia" w:ascii="仿宋_GB2312" w:hAnsi="仿宋_GB2312" w:eastAsia="仿宋_GB2312" w:cs="仿宋_GB2312"/>
          <w:b/>
          <w:bCs/>
          <w:color w:val="auto"/>
          <w:sz w:val="24"/>
          <w:szCs w:val="24"/>
          <w:highlight w:val="none"/>
          <w:lang w:val="en-US" w:eastAsia="zh-CN"/>
        </w:rPr>
        <w:t>一</w:t>
      </w:r>
      <w:r>
        <w:rPr>
          <w:rFonts w:hint="eastAsia" w:ascii="仿宋_GB2312" w:hAnsi="仿宋_GB2312" w:eastAsia="仿宋_GB2312" w:cs="仿宋_GB2312"/>
          <w:b/>
          <w:bCs/>
          <w:color w:val="auto"/>
          <w:sz w:val="24"/>
          <w:szCs w:val="24"/>
          <w:highlight w:val="none"/>
        </w:rPr>
        <w:t>条：合同生效</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（一）本合同须经甲、乙双方的法定代表人（授权代理人）在合同书上签字并加盖本单位公章后正式生效。</w:t>
      </w:r>
    </w:p>
    <w:p>
      <w:pPr>
        <w:autoSpaceDE w:val="0"/>
        <w:autoSpaceDN w:val="0"/>
        <w:adjustRightInd w:val="0"/>
        <w:spacing w:line="348"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（二）合同生效后，甲、乙双方须严格执行本合同条款的规定，全面履行合同，违者按《中华人民共和国民法典》的有关规定承担相应责任。</w:t>
      </w:r>
    </w:p>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（三）本合同一式</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份，甲乙双方各执</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份。</w:t>
      </w:r>
    </w:p>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（四）本合同未尽事宜由双方另行签订补充合同，补充合同</w:t>
      </w:r>
      <w:r>
        <w:rPr>
          <w:rFonts w:hint="eastAsia" w:ascii="仿宋_GB2312" w:hAnsi="仿宋_GB2312" w:eastAsia="仿宋_GB2312" w:cs="仿宋_GB2312"/>
          <w:bCs/>
          <w:color w:val="auto"/>
          <w:sz w:val="24"/>
          <w:szCs w:val="24"/>
          <w:highlight w:val="none"/>
          <w:lang w:eastAsia="zh-Hans"/>
        </w:rPr>
        <w:t>为本</w:t>
      </w:r>
      <w:r>
        <w:rPr>
          <w:rFonts w:hint="eastAsia" w:ascii="仿宋_GB2312" w:hAnsi="仿宋_GB2312" w:eastAsia="仿宋_GB2312" w:cs="仿宋_GB2312"/>
          <w:bCs/>
          <w:color w:val="auto"/>
          <w:sz w:val="24"/>
          <w:szCs w:val="24"/>
          <w:highlight w:val="none"/>
        </w:rPr>
        <w:t>合同</w:t>
      </w:r>
      <w:r>
        <w:rPr>
          <w:rFonts w:hint="eastAsia" w:ascii="仿宋_GB2312" w:hAnsi="仿宋_GB2312" w:eastAsia="仿宋_GB2312" w:cs="仿宋_GB2312"/>
          <w:bCs/>
          <w:color w:val="auto"/>
          <w:sz w:val="24"/>
          <w:szCs w:val="24"/>
          <w:highlight w:val="none"/>
          <w:lang w:eastAsia="zh-Hans"/>
        </w:rPr>
        <w:t>有效组成部分</w:t>
      </w:r>
      <w:r>
        <w:rPr>
          <w:rFonts w:hint="eastAsia" w:ascii="仿宋_GB2312" w:hAnsi="仿宋_GB2312" w:eastAsia="仿宋_GB2312" w:cs="仿宋_GB2312"/>
          <w:bCs/>
          <w:color w:val="auto"/>
          <w:sz w:val="24"/>
          <w:szCs w:val="24"/>
          <w:highlight w:val="none"/>
        </w:rPr>
        <w:t>。</w:t>
      </w:r>
    </w:p>
    <w:p>
      <w:pPr>
        <w:autoSpaceDE w:val="0"/>
        <w:autoSpaceDN w:val="0"/>
        <w:adjustRightInd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rPr>
        <w:t>（五）甲乙双方不得擅自变更、中止、终止政府采购合同。</w:t>
      </w:r>
    </w:p>
    <w:p>
      <w:pPr>
        <w:tabs>
          <w:tab w:val="left" w:pos="840"/>
        </w:tabs>
        <w:kinsoku w:val="0"/>
        <w:spacing w:line="360" w:lineRule="auto"/>
        <w:ind w:firstLine="480" w:firstLineChars="200"/>
        <w:rPr>
          <w:rFonts w:hint="eastAsia" w:ascii="仿宋_GB2312" w:hAnsi="仿宋_GB2312" w:eastAsia="仿宋_GB2312" w:cs="仿宋_GB2312"/>
          <w:color w:val="auto"/>
          <w:sz w:val="24"/>
          <w:szCs w:val="24"/>
          <w:highlight w:val="none"/>
          <w:lang w:eastAsia="zh-Hans"/>
        </w:rPr>
      </w:pPr>
      <w:r>
        <w:rPr>
          <w:rFonts w:hint="eastAsia" w:ascii="仿宋_GB2312" w:hAnsi="仿宋_GB2312" w:eastAsia="仿宋_GB2312" w:cs="仿宋_GB2312"/>
          <w:color w:val="auto"/>
          <w:sz w:val="24"/>
          <w:szCs w:val="24"/>
          <w:highlight w:val="none"/>
          <w:lang w:eastAsia="zh-Hans"/>
        </w:rPr>
        <w:t>（以下无正文）</w:t>
      </w:r>
    </w:p>
    <w:p>
      <w:pPr>
        <w:bidi w:val="0"/>
        <w:jc w:val="left"/>
        <w:rPr>
          <w:rFonts w:hint="eastAsia" w:ascii="仿宋_GB2312" w:hAnsi="仿宋_GB2312" w:eastAsia="仿宋_GB2312" w:cs="仿宋_GB2312"/>
          <w:color w:val="auto"/>
          <w:sz w:val="24"/>
          <w:szCs w:val="24"/>
          <w:highlight w:val="none"/>
        </w:rPr>
      </w:pPr>
    </w:p>
    <w:tbl>
      <w:tblPr>
        <w:tblStyle w:val="10"/>
        <w:tblpPr w:leftFromText="180" w:rightFromText="180" w:vertAnchor="text" w:horzAnchor="page" w:tblpX="1543" w:tblpY="98"/>
        <w:tblOverlap w:val="never"/>
        <w:tblW w:w="0" w:type="auto"/>
        <w:tblInd w:w="0" w:type="dxa"/>
        <w:tblLayout w:type="fixed"/>
        <w:tblCellMar>
          <w:top w:w="0" w:type="dxa"/>
          <w:left w:w="108" w:type="dxa"/>
          <w:bottom w:w="0" w:type="dxa"/>
          <w:right w:w="108" w:type="dxa"/>
        </w:tblCellMar>
      </w:tblPr>
      <w:tblGrid>
        <w:gridCol w:w="4659"/>
        <w:gridCol w:w="4660"/>
      </w:tblGrid>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甲  方（全称）：</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乙  方（全称）：</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（盖章）</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（盖章）</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 xml:space="preserve">地址： </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地址：</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邮编：</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邮编：</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 xml:space="preserve">法定代表人： </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法定代表人：</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被授权代表：</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被授权代表：</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电话：</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电话：</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传真：</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传真：</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开户银行：</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开户银行：</w:t>
            </w:r>
          </w:p>
        </w:tc>
      </w:tr>
      <w:tr>
        <w:tblPrEx>
          <w:tblCellMar>
            <w:top w:w="0" w:type="dxa"/>
            <w:left w:w="108" w:type="dxa"/>
            <w:bottom w:w="0" w:type="dxa"/>
            <w:right w:w="108" w:type="dxa"/>
          </w:tblCellMar>
        </w:tblPrEx>
        <w:trPr>
          <w:trHeight w:val="616"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开户银行账号：</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开户银行账号：</w:t>
            </w:r>
          </w:p>
        </w:tc>
      </w:tr>
      <w:tr>
        <w:tblPrEx>
          <w:tblCellMar>
            <w:top w:w="0" w:type="dxa"/>
            <w:left w:w="108" w:type="dxa"/>
            <w:bottom w:w="0" w:type="dxa"/>
            <w:right w:w="108" w:type="dxa"/>
          </w:tblCellMar>
        </w:tblPrEx>
        <w:trPr>
          <w:trHeight w:val="633" w:hRule="exact"/>
        </w:trPr>
        <w:tc>
          <w:tcPr>
            <w:tcW w:w="4659"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日期：</w:t>
            </w:r>
          </w:p>
        </w:tc>
        <w:tc>
          <w:tcPr>
            <w:tcW w:w="4660" w:type="dxa"/>
            <w:noWrap w:val="0"/>
            <w:vAlign w:val="center"/>
          </w:tcPr>
          <w:p>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日期：</w:t>
            </w:r>
          </w:p>
        </w:tc>
      </w:tr>
    </w:tbl>
    <w:p>
      <w:pPr>
        <w:shd w:val="clear" w:color="auto" w:fill="auto"/>
        <w:rPr>
          <w:rFonts w:hint="eastAsia" w:ascii="仿宋_GB2312" w:hAnsi="仿宋_GB2312" w:eastAsia="仿宋_GB2312" w:cs="仿宋_GB2312"/>
          <w:color w:val="auto"/>
          <w:sz w:val="24"/>
          <w:szCs w:val="24"/>
          <w:highlight w:val="none"/>
          <w:lang w:val="en-US" w:eastAsia="zh-CN"/>
        </w:rPr>
      </w:pPr>
    </w:p>
    <w:p>
      <w:pPr>
        <w:spacing w:line="240" w:lineRule="auto"/>
        <w:jc w:val="both"/>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b/>
          <w:bCs/>
          <w:color w:val="auto"/>
          <w:sz w:val="24"/>
          <w:szCs w:val="24"/>
          <w:highlight w:val="none"/>
          <w:lang w:val="en-US" w:eastAsia="zh-CN"/>
        </w:rPr>
        <w:t>说明</w:t>
      </w:r>
      <w:r>
        <w:rPr>
          <w:rFonts w:hint="eastAsia" w:ascii="仿宋_GB2312" w:hAnsi="仿宋_GB2312" w:eastAsia="仿宋_GB2312" w:cs="仿宋_GB2312"/>
          <w:b/>
          <w:bCs/>
          <w:color w:val="auto"/>
          <w:sz w:val="24"/>
          <w:szCs w:val="24"/>
          <w:highlight w:val="none"/>
        </w:rPr>
        <w:t>：本合同只作为参考文本，合同具体内容及格式签订正式合同时甲乙双方协商确定</w:t>
      </w:r>
      <w:r>
        <w:rPr>
          <w:rFonts w:hint="eastAsia" w:ascii="仿宋_GB2312" w:hAnsi="仿宋_GB2312" w:eastAsia="仿宋_GB2312" w:cs="仿宋_GB2312"/>
          <w:b/>
          <w:bCs/>
          <w:color w:val="auto"/>
          <w:sz w:val="24"/>
          <w:szCs w:val="24"/>
          <w:highlight w:val="none"/>
          <w:lang w:eastAsia="zh-CN"/>
        </w:rPr>
        <w:t>。</w:t>
      </w:r>
    </w:p>
    <w:p>
      <w:pPr>
        <w:pStyle w:val="4"/>
      </w:pPr>
    </w:p>
    <w:p>
      <w:pPr>
        <w:pStyle w:val="17"/>
        <w:keepNext w:val="0"/>
        <w:keepLines w:val="0"/>
        <w:pageBreakBefore w:val="0"/>
        <w:widowControl w:val="0"/>
        <w:shd w:val="clear" w:color="auto" w:fill="auto"/>
        <w:tabs>
          <w:tab w:val="left" w:pos="1874"/>
        </w:tabs>
        <w:kinsoku/>
        <w:wordWrap/>
        <w:overflowPunct/>
        <w:topLinePunct w:val="0"/>
        <w:autoSpaceDE/>
        <w:autoSpaceDN/>
        <w:bidi w:val="0"/>
        <w:adjustRightInd/>
        <w:snapToGrid/>
        <w:spacing w:before="0" w:after="0" w:line="360" w:lineRule="auto"/>
        <w:ind w:left="0" w:right="0" w:firstLine="560" w:firstLineChars="200"/>
        <w:jc w:val="both"/>
        <w:textAlignment w:val="auto"/>
        <w:rPr>
          <w:rFonts w:hint="eastAsia" w:ascii="仿宋" w:hAnsi="仿宋" w:eastAsia="仿宋" w:cs="仿宋"/>
          <w:color w:val="000000"/>
          <w:spacing w:val="0"/>
          <w:w w:val="100"/>
          <w:position w:val="0"/>
        </w:rPr>
      </w:pPr>
    </w:p>
    <w:p>
      <w:pPr>
        <w:rPr>
          <w:rFonts w:hint="default" w:ascii="仿宋" w:hAnsi="仿宋" w:eastAsia="仿宋" w:cs="仿宋"/>
          <w:color w:val="000000"/>
          <w:spacing w:val="0"/>
          <w:w w:val="100"/>
          <w:position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1"/>
    <w:multiLevelType w:val="multilevel"/>
    <w:tmpl w:val="00000031"/>
    <w:lvl w:ilvl="0" w:tentative="0">
      <w:start w:val="1"/>
      <w:numFmt w:val="decimal"/>
      <w:lvlText w:val="%1."/>
      <w:lvlJc w:val="left"/>
      <w:pPr>
        <w:tabs>
          <w:tab w:val="left" w:pos="420"/>
        </w:tabs>
        <w:ind w:left="420" w:hanging="420"/>
      </w:pPr>
      <w:rPr>
        <w:rFonts w:cs="Times New Roman"/>
      </w:rPr>
    </w:lvl>
    <w:lvl w:ilvl="1" w:tentative="0">
      <w:start w:val="1"/>
      <w:numFmt w:val="bullet"/>
      <w:pStyle w:val="7"/>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4"/>
      <w:numFmt w:val="decimal"/>
      <w:lvlText w:val="%5、"/>
      <w:lvlJc w:val="left"/>
      <w:pPr>
        <w:tabs>
          <w:tab w:val="left" w:pos="2160"/>
        </w:tabs>
        <w:ind w:left="2160" w:hanging="480"/>
      </w:pPr>
      <w:rPr>
        <w:rFonts w:hint="eastAsia" w:cs="Times New Roman"/>
      </w:rPr>
    </w:lvl>
    <w:lvl w:ilvl="5" w:tentative="0">
      <w:start w:val="28"/>
      <w:numFmt w:val="decimal"/>
      <w:lvlText w:val="%6．"/>
      <w:lvlJc w:val="lef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72DC5E35"/>
    <w:multiLevelType w:val="singleLevel"/>
    <w:tmpl w:val="72DC5E35"/>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5150da30-a613-4c92-b136-87b54ac309b4"/>
  </w:docVars>
  <w:rsids>
    <w:rsidRoot w:val="71431F62"/>
    <w:rsid w:val="0ECC0D59"/>
    <w:rsid w:val="0F3532A5"/>
    <w:rsid w:val="150B58A6"/>
    <w:rsid w:val="27541D4B"/>
    <w:rsid w:val="395B1509"/>
    <w:rsid w:val="399D3EF4"/>
    <w:rsid w:val="3B3864D5"/>
    <w:rsid w:val="497C0C22"/>
    <w:rsid w:val="54E3424B"/>
    <w:rsid w:val="5951023B"/>
    <w:rsid w:val="5D1755BF"/>
    <w:rsid w:val="71431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5"/>
    <w:basedOn w:val="1"/>
    <w:next w:val="1"/>
    <w:unhideWhenUsed/>
    <w:qFormat/>
    <w:uiPriority w:val="9"/>
    <w:pPr>
      <w:keepNext/>
      <w:keepLines/>
      <w:spacing w:before="200" w:after="0"/>
      <w:outlineLvl w:val="4"/>
    </w:pPr>
    <w:rPr>
      <w:rFonts w:asciiTheme="majorHAnsi" w:hAnsiTheme="majorHAnsi" w:eastAsiaTheme="majorEastAsia" w:cstheme="majorBidi"/>
      <w:color w:val="1E386B" w:themeColor="accent1" w:themeShade="8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Body Text Indent"/>
    <w:basedOn w:val="1"/>
    <w:next w:val="6"/>
    <w:qFormat/>
    <w:uiPriority w:val="0"/>
    <w:pPr>
      <w:ind w:left="1083" w:leftChars="30" w:hanging="1020" w:hangingChars="425"/>
    </w:pPr>
    <w:rPr>
      <w:rFonts w:ascii="宋体" w:hAnsi="宋体" w:eastAsia="宋体" w:cs="Times New Roman"/>
      <w:sz w:val="24"/>
      <w:szCs w:val="22"/>
    </w:rPr>
  </w:style>
  <w:style w:type="paragraph" w:styleId="6">
    <w:name w:val="envelope return"/>
    <w:basedOn w:val="1"/>
    <w:qFormat/>
    <w:uiPriority w:val="99"/>
    <w:pPr>
      <w:snapToGrid w:val="0"/>
    </w:pPr>
    <w:rPr>
      <w:rFonts w:ascii="Arial" w:hAnsi="Arial"/>
    </w:rPr>
  </w:style>
  <w:style w:type="paragraph" w:styleId="7">
    <w:name w:val="List"/>
    <w:basedOn w:val="1"/>
    <w:qFormat/>
    <w:uiPriority w:val="99"/>
    <w:pPr>
      <w:numPr>
        <w:ilvl w:val="1"/>
        <w:numId w:val="1"/>
      </w:numPr>
      <w:spacing w:line="360" w:lineRule="auto"/>
      <w:jc w:val="left"/>
    </w:pPr>
    <w:rPr>
      <w:szCs w:val="24"/>
    </w:rPr>
  </w:style>
  <w:style w:type="paragraph" w:styleId="8">
    <w:name w:val="Normal (Web)"/>
    <w:basedOn w:val="1"/>
    <w:qFormat/>
    <w:uiPriority w:val="0"/>
    <w:rPr>
      <w:sz w:val="24"/>
    </w:rPr>
  </w:style>
  <w:style w:type="paragraph" w:styleId="9">
    <w:name w:val="Body Text First Indent 2"/>
    <w:basedOn w:val="5"/>
    <w:next w:val="7"/>
    <w:qFormat/>
    <w:uiPriority w:val="99"/>
    <w:pPr>
      <w:spacing w:after="120"/>
      <w:ind w:left="420" w:firstLine="420"/>
    </w:pPr>
    <w:rPr>
      <w:sz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ody text|2"/>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Table caption|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6">
    <w:name w:val="Other|1"/>
    <w:basedOn w:val="1"/>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7">
    <w:name w:val="Body text|1"/>
    <w:basedOn w:val="1"/>
    <w:qFormat/>
    <w:uiPriority w:val="0"/>
    <w:pPr>
      <w:widowControl w:val="0"/>
      <w:shd w:val="clear" w:color="auto" w:fill="auto"/>
      <w:spacing w:line="425" w:lineRule="exact"/>
      <w:ind w:firstLine="540"/>
    </w:pPr>
    <w:rPr>
      <w:rFonts w:ascii="宋体" w:hAnsi="宋体" w:eastAsia="宋体" w:cs="宋体"/>
      <w:sz w:val="28"/>
      <w:szCs w:val="28"/>
      <w:u w:val="none"/>
      <w:shd w:val="clear" w:color="auto" w:fill="auto"/>
      <w:lang w:val="zh-TW" w:eastAsia="zh-TW" w:bidi="zh-TW"/>
    </w:rPr>
  </w:style>
  <w:style w:type="paragraph" w:customStyle="1" w:styleId="18">
    <w:name w:val="Body text|6"/>
    <w:basedOn w:val="1"/>
    <w:qFormat/>
    <w:uiPriority w:val="0"/>
    <w:pPr>
      <w:widowControl w:val="0"/>
      <w:shd w:val="clear" w:color="auto" w:fill="auto"/>
      <w:spacing w:after="100"/>
      <w:jc w:val="center"/>
    </w:pPr>
    <w:rPr>
      <w:sz w:val="30"/>
      <w:szCs w:val="30"/>
      <w:u w:val="none"/>
      <w:shd w:val="clear" w:color="auto" w:fill="auto"/>
    </w:rPr>
  </w:style>
  <w:style w:type="paragraph" w:customStyle="1" w:styleId="19">
    <w:name w:val="Body text|3"/>
    <w:basedOn w:val="1"/>
    <w:qFormat/>
    <w:uiPriority w:val="0"/>
    <w:pPr>
      <w:widowControl w:val="0"/>
      <w:shd w:val="clear" w:color="auto" w:fill="auto"/>
      <w:spacing w:after="40"/>
      <w:ind w:firstLine="480"/>
    </w:pPr>
    <w:rPr>
      <w:sz w:val="17"/>
      <w:szCs w:val="17"/>
      <w:u w:val="none"/>
      <w:shd w:val="clear" w:color="auto" w:fill="auto"/>
    </w:rPr>
  </w:style>
  <w:style w:type="paragraph" w:customStyle="1" w:styleId="20">
    <w:name w:val="正文 样式"/>
    <w:basedOn w:val="1"/>
    <w:qFormat/>
    <w:uiPriority w:val="0"/>
    <w:pPr>
      <w:spacing w:line="360" w:lineRule="auto"/>
      <w:ind w:firstLine="200" w:firstLineChars="200"/>
      <w:jc w:val="left"/>
    </w:pPr>
    <w:rPr>
      <w:rFonts w:ascii="Times New Roman" w:hAnsi="Times New Roman" w:eastAsia="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2651</Words>
  <Characters>2674</Characters>
  <Lines>0</Lines>
  <Paragraphs>0</Paragraphs>
  <TotalTime>6</TotalTime>
  <ScaleCrop>false</ScaleCrop>
  <LinksUpToDate>false</LinksUpToDate>
  <CharactersWithSpaces>3017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2024-09-13T08:38:00Z</dcterms:created>
  <dc:creator>宝贝</dc:creator>
  <cp:lastModifiedBy>**##</cp:lastModifiedBy>
  <dcterms:modified xsi:type="dcterms:W3CDTF">2025-02-13T08:00:38Z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E3DA5D1840E548A49364344A0229DC8D_13</vt:lpwstr>
  </property>
</Properties>
</file>