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版本号：LT-ZFCG-202501920250515001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宜君县水网建设规划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LT-ZFCG-2025019</w:t>
      </w:r>
      <w:r>
        <w:br/>
      </w:r>
      <w:r>
        <w:br/>
      </w:r>
      <w:r>
        <w:br/>
      </w:r>
    </w:p>
    <w:p>
      <w:pPr>
        <w:pStyle w:val="null3"/>
        <w:jc w:val="center"/>
        <w:outlineLvl w:val="2"/>
      </w:pPr>
      <w:r>
        <w:rPr>
          <w:rFonts w:ascii="仿宋_GB2312" w:hAnsi="仿宋_GB2312" w:cs="仿宋_GB2312" w:eastAsia="仿宋_GB2312"/>
          <w:sz w:val="28"/>
          <w:b/>
        </w:rPr>
        <w:t>宜君县水务局</w:t>
      </w:r>
    </w:p>
    <w:p>
      <w:pPr>
        <w:pStyle w:val="null3"/>
        <w:jc w:val="center"/>
        <w:outlineLvl w:val="2"/>
      </w:pPr>
      <w:r>
        <w:rPr>
          <w:rFonts w:ascii="仿宋_GB2312" w:hAnsi="仿宋_GB2312" w:cs="仿宋_GB2312" w:eastAsia="仿宋_GB2312"/>
          <w:sz w:val="28"/>
          <w:b/>
        </w:rPr>
        <w:t>兰天项目管理有限公司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兰天项目管理有限公司</w:t>
      </w:r>
      <w:r>
        <w:rPr>
          <w:rFonts w:ascii="仿宋_GB2312" w:hAnsi="仿宋_GB2312" w:cs="仿宋_GB2312" w:eastAsia="仿宋_GB2312"/>
        </w:rPr>
        <w:t>（以下简称“代理机构”）受</w:t>
      </w:r>
      <w:r>
        <w:rPr>
          <w:rFonts w:ascii="仿宋_GB2312" w:hAnsi="仿宋_GB2312" w:cs="仿宋_GB2312" w:eastAsia="仿宋_GB2312"/>
        </w:rPr>
        <w:t>宜君县水务局</w:t>
      </w:r>
      <w:r>
        <w:rPr>
          <w:rFonts w:ascii="仿宋_GB2312" w:hAnsi="仿宋_GB2312" w:cs="仿宋_GB2312" w:eastAsia="仿宋_GB2312"/>
        </w:rPr>
        <w:t>委托，拟对</w:t>
      </w:r>
      <w:r>
        <w:rPr>
          <w:rFonts w:ascii="仿宋_GB2312" w:hAnsi="仿宋_GB2312" w:cs="仿宋_GB2312" w:eastAsia="仿宋_GB2312"/>
        </w:rPr>
        <w:t>宜君县水网建设规划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LT-ZFCG-2025019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宜君县水网建设规划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水网是以自然河湖为基础、引调排水工程为通道、调蓄工程为结点、智慧调控为手段，集水资源配置、防洪减灾、水生态系统保护等功能于一体的综合水流体系。宜君县水网建设规划主要工作内容包括:水网建设基础、供水安全保障体系、水生态保护与修复体系、数字孪生水网建设、实施效果与环境影响分析、投资及实施安排、保障措施等内容。宜君县水网建设规划编制是对宜君当前突出的水资源、水灾害、水生态和水环境等问题现状评估，系统谋划宜君县水网格局，针对各行业未来用水需求，研究解决方案和措施，谋划重大工程和重要项目，形成规划报告、相关图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1、营业执照：供应商须具有独立承担民事责任能力的法人或其他组织，提供营业执照或事业单位法人证书，或自然人的身份证明；</w:t>
      </w:r>
    </w:p>
    <w:p>
      <w:pPr>
        <w:pStyle w:val="null3"/>
      </w:pPr>
      <w:r>
        <w:rPr>
          <w:rFonts w:ascii="仿宋_GB2312" w:hAnsi="仿宋_GB2312" w:cs="仿宋_GB2312" w:eastAsia="仿宋_GB2312"/>
        </w:rPr>
        <w:t>2、行业资质：供应商须具备水利行业工程设计乙级或以上资质；</w:t>
      </w:r>
    </w:p>
    <w:p>
      <w:pPr>
        <w:pStyle w:val="null3"/>
      </w:pPr>
      <w:r>
        <w:rPr>
          <w:rFonts w:ascii="仿宋_GB2312" w:hAnsi="仿宋_GB2312" w:cs="仿宋_GB2312" w:eastAsia="仿宋_GB2312"/>
        </w:rPr>
        <w:t>3、法定代表人授权书：法定代表人授权书（附法定代表人、被授权人身份证复印件）及被授权人身份证（法定代表人参加投标只需提供本人身份证）；</w:t>
      </w:r>
    </w:p>
    <w:p>
      <w:pPr>
        <w:pStyle w:val="null3"/>
      </w:pPr>
      <w:r>
        <w:rPr>
          <w:rFonts w:ascii="仿宋_GB2312" w:hAnsi="仿宋_GB2312" w:cs="仿宋_GB2312" w:eastAsia="仿宋_GB2312"/>
        </w:rPr>
        <w:t>4、财务状况报告：财务状况报告：提供2023年或2024年的财务审计报告（至少包括资产负债表和利润表，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5、税收缴纳证明：税收缴纳证明：自2024年5月1日以来已缴纳的至少一个月的纳税证明或完税证明（提供增值税、营业税、企业所得税至少一种），纳税证明或完税证明上应有代收机构或税务机关的公章或业务专用章。依法免税的供应商应提供相关文件证明（复印件加盖供应商公章）；</w:t>
      </w:r>
    </w:p>
    <w:p>
      <w:pPr>
        <w:pStyle w:val="null3"/>
      </w:pPr>
      <w:r>
        <w:rPr>
          <w:rFonts w:ascii="仿宋_GB2312" w:hAnsi="仿宋_GB2312" w:cs="仿宋_GB2312" w:eastAsia="仿宋_GB2312"/>
        </w:rPr>
        <w:t>6、社保缴纳证明：社保缴纳证明：自2024年5月1日以来已缴存的至少一个月的社会保障资金缴存单据或社保机构开具的社会保险参保缴费情况证明。依法不需要缴纳社会保障资金的供应商应提供相关文件证明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网页截图：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宜君县政府大楼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冯小艳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13992900317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兰天项目管理有限公司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陕西省西安市碑林区陕西省西安市碑林区红缨路9号豪盛大厦A座10604室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18729186512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和国家发展改革委员会办公厅颁发的《关于招标代理服务收费有关问题的通知》（发改办价格[2003]857号）的有关规定执行，代理服务费不足3000元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宜君县水务局</w:t>
      </w:r>
      <w:r>
        <w:rPr>
          <w:rFonts w:ascii="仿宋_GB2312" w:hAnsi="仿宋_GB2312" w:cs="仿宋_GB2312" w:eastAsia="仿宋_GB2312"/>
        </w:rPr>
        <w:t>和</w:t>
      </w:r>
      <w:r>
        <w:rPr>
          <w:rFonts w:ascii="仿宋_GB2312" w:hAnsi="仿宋_GB2312" w:cs="仿宋_GB2312" w:eastAsia="仿宋_GB2312"/>
        </w:rPr>
        <w:t>兰天项目管理有限公司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兰天项目管理有限公司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兰天项目管理有限公司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供应商所供服务及成果文件须满足行业及国家相关规定标准。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兰天项目管理有限公司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兰天项目管理有限公司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兰天项目管理有限公司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联系人：陈婷</w:t>
      </w:r>
    </w:p>
    <w:p>
      <w:pPr>
        <w:pStyle w:val="null3"/>
      </w:pPr>
      <w:r>
        <w:rPr>
          <w:rFonts w:ascii="仿宋_GB2312" w:hAnsi="仿宋_GB2312" w:cs="仿宋_GB2312" w:eastAsia="仿宋_GB2312"/>
        </w:rPr>
        <w:t>联系电话：18729186512</w:t>
      </w:r>
    </w:p>
    <w:p>
      <w:pPr>
        <w:pStyle w:val="null3"/>
      </w:pPr>
      <w:r>
        <w:rPr>
          <w:rFonts w:ascii="仿宋_GB2312" w:hAnsi="仿宋_GB2312" w:cs="仿宋_GB2312" w:eastAsia="仿宋_GB2312"/>
        </w:rPr>
        <w:t>地址：陕西省西安市碑林区红缨路9号豪盛大厦A座10604室</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水网是以自然河湖为基础、引调排水工程为通道、调蓄工程为结点、智慧调控为手段，集水资源配置、防洪减灾、水生态系统保护等功能于一体的综合水流体系。宜君县水网建设规划主要工作内容包括:水网建设基础、供水安全保障体系、水生态保护与修复体系、数字孪生水网建设、实施效果与环境影响分析、投资及实施安排、保障措施等内容。宜君县水网建设规划编制是对宜君当前突出的水资源、水灾害、水生态和水环境等问题现状评估，系统谋划宜君县水网格局，针对各行业未来用水需求，研究解决方案和措施，谋划重大工程和重要项目，形成规划报告、相关图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30"/>
            </w:pPr>
            <w:r>
              <w:rPr>
                <w:rFonts w:ascii="仿宋_GB2312" w:hAnsi="仿宋_GB2312" w:cs="仿宋_GB2312" w:eastAsia="仿宋_GB2312"/>
              </w:rPr>
              <w:t>采购服务内容：</w:t>
            </w:r>
          </w:p>
          <w:p>
            <w:pPr>
              <w:pStyle w:val="null3"/>
              <w:spacing w:before="105" w:after="30"/>
            </w:pPr>
            <w:r>
              <w:rPr>
                <w:rFonts w:ascii="仿宋_GB2312" w:hAnsi="仿宋_GB2312" w:cs="仿宋_GB2312" w:eastAsia="仿宋_GB2312"/>
              </w:rPr>
              <w:t>一、项目概况</w:t>
            </w:r>
          </w:p>
          <w:p>
            <w:pPr>
              <w:pStyle w:val="null3"/>
              <w:spacing w:before="105" w:after="30"/>
            </w:pPr>
            <w:r>
              <w:rPr>
                <w:rFonts w:ascii="仿宋_GB2312" w:hAnsi="仿宋_GB2312" w:cs="仿宋_GB2312" w:eastAsia="仿宋_GB2312"/>
              </w:rPr>
              <w:t>水网是以自然河湖为基础、引调排水工程为通道、调蓄工程为结点、智慧调控为手段，集水资源配置、防洪减灾、水生态系统保护等功能于一体的综合水流体系。宜君县水网建设规划主要工作内容包括</w:t>
            </w:r>
            <w:r>
              <w:rPr>
                <w:rFonts w:ascii="仿宋_GB2312" w:hAnsi="仿宋_GB2312" w:cs="仿宋_GB2312" w:eastAsia="仿宋_GB2312"/>
              </w:rPr>
              <w:t>:水网建设基础、供水安全保障体系、水生态保护与修复体系、数字孪生水网建设、实施效果与环境影响分析、投资及实施安排、保障措施等内容。宜君县水网建设规划编制是对宜君当前突出的水资源、水灾害、水生态和水环境等问题现状评估，系统谋划宜君县水网格局，针对各行业未来用水需求，研究解决方案和措施，谋划重大工程和重要项目，形成规划报告、相关图册。</w:t>
            </w:r>
          </w:p>
          <w:p>
            <w:pPr>
              <w:pStyle w:val="null3"/>
              <w:spacing w:before="105" w:after="30"/>
            </w:pPr>
            <w:r>
              <w:rPr>
                <w:rFonts w:ascii="仿宋_GB2312" w:hAnsi="仿宋_GB2312" w:cs="仿宋_GB2312" w:eastAsia="仿宋_GB2312"/>
              </w:rPr>
              <w:t>二、项目实施必要性论述</w:t>
            </w:r>
          </w:p>
          <w:p>
            <w:pPr>
              <w:pStyle w:val="null3"/>
              <w:spacing w:before="105" w:after="30"/>
            </w:pPr>
            <w:r>
              <w:rPr>
                <w:rFonts w:ascii="仿宋_GB2312" w:hAnsi="仿宋_GB2312" w:cs="仿宋_GB2312" w:eastAsia="仿宋_GB2312"/>
              </w:rPr>
              <w:t>国家水网是党的十九届五中全会和《中华人民共和国国民经济和社会发展第十四个五年规划和</w:t>
            </w:r>
            <w:r>
              <w:rPr>
                <w:rFonts w:ascii="仿宋_GB2312" w:hAnsi="仿宋_GB2312" w:cs="仿宋_GB2312" w:eastAsia="仿宋_GB2312"/>
              </w:rPr>
              <w:t>2035年远景目标纲要》明确要实施的重大工程，加快推进水网建设是优化水资源配置，全面提高水安全保障能力的根本举措。编制宜君县水网规划是宜君水利事业发展的顶层设计和新阶段水利高质量发展的重要抓手，是衔接省级水网和铜川市水网建设的重要依据。做好规划编制工作，有助于将我县水资源、水工程需求纳入市级水网、省级水网建设，从省市层面争取支持，破解水资源瓶颈制约，为宜君发展提供坚实基础支撑。</w:t>
            </w:r>
          </w:p>
          <w:p>
            <w:pPr>
              <w:pStyle w:val="null3"/>
              <w:spacing w:before="105" w:after="30"/>
            </w:pPr>
            <w:r>
              <w:rPr>
                <w:rFonts w:ascii="仿宋_GB2312" w:hAnsi="仿宋_GB2312" w:cs="仿宋_GB2312" w:eastAsia="仿宋_GB2312"/>
              </w:rPr>
              <w:t>三、实施依据</w:t>
            </w:r>
          </w:p>
          <w:p>
            <w:pPr>
              <w:pStyle w:val="null3"/>
              <w:spacing w:before="105" w:after="30"/>
            </w:pPr>
            <w:r>
              <w:rPr>
                <w:rFonts w:ascii="仿宋_GB2312" w:hAnsi="仿宋_GB2312" w:cs="仿宋_GB2312" w:eastAsia="仿宋_GB2312"/>
              </w:rPr>
              <w:t>水利部《关于实施国家水网重大工程的指导意见》（水规计〔</w:t>
            </w:r>
            <w:r>
              <w:rPr>
                <w:rFonts w:ascii="仿宋_GB2312" w:hAnsi="仿宋_GB2312" w:cs="仿宋_GB2312" w:eastAsia="仿宋_GB2312"/>
              </w:rPr>
              <w:t>2021〕411号）和《关于加快推进省级水网建设的指导意见》、中共中央国务院关于印发《国家水网规划建设纲要》的通知、省水利厅《关于做好陕西水网规划编制工作的通知》（陕水规计发〔2022〕31号）。</w:t>
            </w:r>
          </w:p>
          <w:p>
            <w:pPr>
              <w:pStyle w:val="null3"/>
              <w:spacing w:before="105" w:after="30"/>
            </w:pPr>
            <w:r>
              <w:rPr>
                <w:rFonts w:ascii="仿宋_GB2312" w:hAnsi="仿宋_GB2312" w:cs="仿宋_GB2312" w:eastAsia="仿宋_GB2312"/>
              </w:rPr>
              <w:t>四、工作任务</w:t>
            </w:r>
          </w:p>
          <w:p>
            <w:pPr>
              <w:pStyle w:val="null3"/>
              <w:spacing w:before="105" w:after="30"/>
            </w:pPr>
            <w:r>
              <w:rPr>
                <w:rFonts w:ascii="仿宋_GB2312" w:hAnsi="仿宋_GB2312" w:cs="仿宋_GB2312" w:eastAsia="仿宋_GB2312"/>
              </w:rPr>
              <w:t>（一）工作范围</w:t>
            </w:r>
          </w:p>
          <w:p>
            <w:pPr>
              <w:pStyle w:val="null3"/>
              <w:spacing w:before="105" w:after="30"/>
            </w:pPr>
            <w:r>
              <w:rPr>
                <w:rFonts w:ascii="仿宋_GB2312" w:hAnsi="仿宋_GB2312" w:cs="仿宋_GB2312" w:eastAsia="仿宋_GB2312"/>
              </w:rPr>
              <w:t>宜君县全域。</w:t>
            </w:r>
          </w:p>
          <w:p>
            <w:pPr>
              <w:pStyle w:val="null3"/>
              <w:spacing w:before="105" w:after="30"/>
            </w:pPr>
            <w:r>
              <w:rPr>
                <w:rFonts w:ascii="仿宋_GB2312" w:hAnsi="仿宋_GB2312" w:cs="仿宋_GB2312" w:eastAsia="仿宋_GB2312"/>
              </w:rPr>
              <w:t>（二）规划水平年</w:t>
            </w:r>
          </w:p>
          <w:p>
            <w:pPr>
              <w:pStyle w:val="null3"/>
              <w:spacing w:before="105" w:after="30"/>
            </w:pPr>
            <w:r>
              <w:rPr>
                <w:rFonts w:ascii="仿宋_GB2312" w:hAnsi="仿宋_GB2312" w:cs="仿宋_GB2312" w:eastAsia="仿宋_GB2312"/>
              </w:rPr>
              <w:t>现状年为</w:t>
            </w:r>
            <w:r>
              <w:rPr>
                <w:rFonts w:ascii="仿宋_GB2312" w:hAnsi="仿宋_GB2312" w:cs="仿宋_GB2312" w:eastAsia="仿宋_GB2312"/>
              </w:rPr>
              <w:t>2022年，规划水平年为2035年，远景展望到2050年。</w:t>
            </w:r>
          </w:p>
          <w:p>
            <w:pPr>
              <w:pStyle w:val="null3"/>
              <w:spacing w:before="105" w:after="30"/>
            </w:pPr>
            <w:r>
              <w:rPr>
                <w:rFonts w:ascii="仿宋_GB2312" w:hAnsi="仿宋_GB2312" w:cs="仿宋_GB2312" w:eastAsia="仿宋_GB2312"/>
              </w:rPr>
              <w:t>主要任务</w:t>
            </w:r>
          </w:p>
          <w:p>
            <w:pPr>
              <w:pStyle w:val="null3"/>
              <w:spacing w:before="105" w:after="30"/>
            </w:pPr>
            <w:r>
              <w:rPr>
                <w:rFonts w:ascii="仿宋_GB2312" w:hAnsi="仿宋_GB2312" w:cs="仿宋_GB2312" w:eastAsia="仿宋_GB2312"/>
              </w:rPr>
              <w:t>进行现场查勘调研，全面摸清宜君县情、水情，掌握水利基础设施建设、水利管理工作现状及存在问题，着眼系统分析经济社会高质量发展和生态文明建设对水网建设的需求，围绕重大战略部署，立足保障防洪安全、供水安全和生态安全，明确水网建设布局，重点规划供水安全保障、水旱灾害防御、水生态保护修复、数字孪生水网建设、体制机制建设五项重点任务，衔接省级、市级水网，积极融入和更好服务全省</w:t>
            </w:r>
            <w:r>
              <w:rPr>
                <w:rFonts w:ascii="仿宋_GB2312" w:hAnsi="仿宋_GB2312" w:cs="仿宋_GB2312" w:eastAsia="仿宋_GB2312"/>
              </w:rPr>
              <w:t>“一张网”。</w:t>
            </w:r>
          </w:p>
          <w:p>
            <w:pPr>
              <w:pStyle w:val="null3"/>
              <w:spacing w:before="105" w:after="30"/>
            </w:pPr>
            <w:r>
              <w:rPr>
                <w:rFonts w:ascii="仿宋_GB2312" w:hAnsi="仿宋_GB2312" w:cs="仿宋_GB2312" w:eastAsia="仿宋_GB2312"/>
              </w:rPr>
              <w:t>供水安全保障。在分析制定节水目标、节水潜力、节水措施基础上，提出全县刚性合理用水需求，统筹谋划与陕西骨干网、市级水网衔接的重大工程、跨流域及跨区县的水资源配置工程、骨干调蓄工程和重点区域骨干输水通道建设，协同推进跨区域引调水工程建设。因地制宜做好灌区水源保障、骨干输水工程及灌区间的连通工程建设，加快推进灌区续建配套与现代化改造。对县（市、区）城市应急备用和战略储备水源建设做出总体安排。</w:t>
            </w:r>
          </w:p>
          <w:p>
            <w:pPr>
              <w:pStyle w:val="null3"/>
              <w:spacing w:before="105" w:after="30"/>
            </w:pPr>
            <w:r>
              <w:rPr>
                <w:rFonts w:ascii="仿宋_GB2312" w:hAnsi="仿宋_GB2312" w:cs="仿宋_GB2312" w:eastAsia="仿宋_GB2312"/>
              </w:rPr>
              <w:t>水旱灾害防御。以涉及防洪保护对象的河流为主，在复核防洪排涝标准基础上，系统谋划防洪工程措施和非工程措施。规划河道整治、山洪沟治理、水库除险加固、水库清淤、城区易涝点治理等工程。</w:t>
            </w:r>
          </w:p>
          <w:p>
            <w:pPr>
              <w:pStyle w:val="null3"/>
              <w:spacing w:before="105" w:after="30"/>
            </w:pPr>
            <w:r>
              <w:rPr>
                <w:rFonts w:ascii="仿宋_GB2312" w:hAnsi="仿宋_GB2312" w:cs="仿宋_GB2312" w:eastAsia="仿宋_GB2312"/>
              </w:rPr>
              <w:t>水生态保护修复。以主要河流源头区为重点规划水源涵养保护措施，依据水土保持区划成果分区布局水保措施，重点规划小流域综合治理和生态清洁小流域建设、塬面保护工程、坡耕地水土流失治理、淤地坝建设工程、水土保持示范创建，以及水土保持监管能力建设等，完善水土流失综合防治体系，保护水土资源。规划主要河流基本生态流量保障措施，因地制宜推进重点河流生态廊道建设，加强饮用水水源地保护等，构建河湖生态保护与修复体系。</w:t>
            </w:r>
          </w:p>
          <w:p>
            <w:pPr>
              <w:pStyle w:val="null3"/>
              <w:spacing w:before="105" w:after="30"/>
            </w:pPr>
            <w:r>
              <w:rPr>
                <w:rFonts w:ascii="仿宋_GB2312" w:hAnsi="仿宋_GB2312" w:cs="仿宋_GB2312" w:eastAsia="仿宋_GB2312"/>
              </w:rPr>
              <w:t>数字孪生水网建设。规划完善水利信息化基础设施，全面推进水流态、水空间、水工程、水管理智能感知体系建设，系统构建透彻感知、全面互联、智能分析、精准</w:t>
            </w:r>
            <w:r>
              <w:rPr>
                <w:rFonts w:ascii="仿宋_GB2312" w:hAnsi="仿宋_GB2312" w:cs="仿宋_GB2312" w:eastAsia="仿宋_GB2312"/>
              </w:rPr>
              <w:t>“四预”、智慧调度、调控有序的数字孪生水网，提高水网综合调度管理水平；强化预报、预警、预演、预案功能措施，推进水网应用系统建设，提升精准决策支持能力；按照工程全生命周期数字化、物联感知自动化、仿真计算智能化、协同共享网络化、调度控制智慧化的技术标准，推进已建水利工程智能化改造；升级完善水利网络安全体系，全面提升水利网络安全水平。</w:t>
            </w:r>
          </w:p>
          <w:p>
            <w:pPr>
              <w:pStyle w:val="null3"/>
              <w:spacing w:before="105" w:after="30"/>
            </w:pPr>
            <w:r>
              <w:rPr>
                <w:rFonts w:ascii="仿宋_GB2312" w:hAnsi="仿宋_GB2312" w:cs="仿宋_GB2312" w:eastAsia="仿宋_GB2312"/>
              </w:rPr>
              <w:t>体制机制建设。在发挥河湖长制作用、水工程建设管理运行、完善水权水价水市场、拓展投融资模式等方面，提出完善和健全水网投建管运体制机制的相关措施和保障水网良性运行的立法建议等。</w:t>
            </w:r>
          </w:p>
          <w:p>
            <w:pPr>
              <w:pStyle w:val="null3"/>
              <w:spacing w:before="105" w:after="30"/>
            </w:pPr>
            <w:r>
              <w:rPr>
                <w:rFonts w:ascii="仿宋_GB2312" w:hAnsi="仿宋_GB2312" w:cs="仿宋_GB2312" w:eastAsia="仿宋_GB2312"/>
              </w:rPr>
              <w:t>五、预期成果</w:t>
            </w:r>
          </w:p>
          <w:p>
            <w:pPr>
              <w:pStyle w:val="null3"/>
              <w:spacing w:before="105" w:after="30"/>
            </w:pPr>
            <w:r>
              <w:rPr>
                <w:rFonts w:ascii="仿宋_GB2312" w:hAnsi="仿宋_GB2312" w:cs="仿宋_GB2312" w:eastAsia="仿宋_GB2312"/>
              </w:rPr>
              <w:t>《宜君县水网建设规划》</w:t>
            </w:r>
            <w:r>
              <w:rPr>
                <w:rFonts w:ascii="仿宋_GB2312" w:hAnsi="仿宋_GB2312" w:cs="仿宋_GB2312" w:eastAsia="仿宋_GB2312"/>
              </w:rPr>
              <w:t>报告</w:t>
            </w:r>
          </w:p>
          <w:p>
            <w:pPr>
              <w:pStyle w:val="null3"/>
              <w:spacing w:before="105" w:after="30"/>
            </w:pPr>
            <w:r>
              <w:rPr>
                <w:rFonts w:ascii="仿宋_GB2312" w:hAnsi="仿宋_GB2312" w:cs="仿宋_GB2312" w:eastAsia="仿宋_GB2312"/>
              </w:rPr>
              <w:t>六、提交主要成果</w:t>
            </w:r>
          </w:p>
          <w:p>
            <w:pPr>
              <w:pStyle w:val="null3"/>
              <w:spacing w:before="105" w:after="30"/>
            </w:pPr>
            <w:r>
              <w:rPr>
                <w:rFonts w:ascii="仿宋_GB2312" w:hAnsi="仿宋_GB2312" w:cs="仿宋_GB2312" w:eastAsia="仿宋_GB2312"/>
              </w:rPr>
              <w:t>规划成果报告：</w:t>
            </w:r>
            <w:r>
              <w:rPr>
                <w:rFonts w:ascii="仿宋_GB2312" w:hAnsi="仿宋_GB2312" w:cs="仿宋_GB2312" w:eastAsia="仿宋_GB2312"/>
              </w:rPr>
              <w:t>10套；电子版U盘资料：1套。</w:t>
            </w:r>
          </w:p>
          <w:p>
            <w:pPr>
              <w:pStyle w:val="null3"/>
              <w:spacing w:before="105" w:after="30"/>
            </w:pPr>
            <w:r>
              <w:rPr>
                <w:rFonts w:ascii="仿宋_GB2312" w:hAnsi="仿宋_GB2312" w:cs="仿宋_GB2312" w:eastAsia="仿宋_GB2312"/>
              </w:rPr>
              <w:t>七、服务标准</w:t>
            </w:r>
          </w:p>
          <w:p>
            <w:pPr>
              <w:pStyle w:val="null3"/>
              <w:spacing w:before="105" w:after="30"/>
            </w:pPr>
            <w:r>
              <w:rPr>
                <w:rFonts w:ascii="仿宋_GB2312" w:hAnsi="仿宋_GB2312" w:cs="仿宋_GB2312" w:eastAsia="仿宋_GB2312"/>
              </w:rPr>
              <w:t>符合国家及行业现行相关规范规程和技术标准要求，质量合格</w:t>
            </w:r>
            <w:r>
              <w:rPr>
                <w:rFonts w:ascii="仿宋_GB2312" w:hAnsi="仿宋_GB2312" w:cs="仿宋_GB2312" w:eastAsia="仿宋_GB2312"/>
              </w:rPr>
              <w:t>。</w:t>
            </w:r>
          </w:p>
          <w:p>
            <w:pPr>
              <w:pStyle w:val="null3"/>
              <w:spacing w:before="105" w:after="30"/>
            </w:pPr>
            <w:r>
              <w:rPr>
                <w:rFonts w:ascii="仿宋_GB2312" w:hAnsi="仿宋_GB2312" w:cs="仿宋_GB2312" w:eastAsia="仿宋_GB2312"/>
              </w:rPr>
              <w:t>八、服务要求</w:t>
            </w:r>
          </w:p>
          <w:p>
            <w:pPr>
              <w:pStyle w:val="null3"/>
              <w:spacing w:before="105" w:after="30"/>
            </w:pPr>
            <w:r>
              <w:rPr>
                <w:rFonts w:ascii="仿宋_GB2312" w:hAnsi="仿宋_GB2312" w:cs="仿宋_GB2312" w:eastAsia="仿宋_GB2312"/>
              </w:rPr>
              <w:t>满足响应招标文件</w:t>
            </w:r>
            <w:r>
              <w:rPr>
                <w:rFonts w:ascii="仿宋_GB2312" w:hAnsi="仿宋_GB2312" w:cs="仿宋_GB2312" w:eastAsia="仿宋_GB2312"/>
              </w:rPr>
              <w:t>及合同条款</w:t>
            </w:r>
            <w:r>
              <w:rPr>
                <w:rFonts w:ascii="仿宋_GB2312" w:hAnsi="仿宋_GB2312" w:cs="仿宋_GB2312" w:eastAsia="仿宋_GB2312"/>
              </w:rPr>
              <w:t>所有</w:t>
            </w:r>
            <w:r>
              <w:rPr>
                <w:rFonts w:ascii="仿宋_GB2312" w:hAnsi="仿宋_GB2312" w:cs="仿宋_GB2312" w:eastAsia="仿宋_GB2312"/>
              </w:rPr>
              <w:t>实质性</w:t>
            </w:r>
            <w:r>
              <w:rPr>
                <w:rFonts w:ascii="仿宋_GB2312" w:hAnsi="仿宋_GB2312" w:cs="仿宋_GB2312" w:eastAsia="仿宋_GB2312"/>
              </w:rPr>
              <w:t>要求</w:t>
            </w:r>
            <w:r>
              <w:rPr>
                <w:rFonts w:ascii="仿宋_GB2312" w:hAnsi="仿宋_GB2312" w:cs="仿宋_GB2312" w:eastAsia="仿宋_GB2312"/>
              </w:rPr>
              <w:t>。</w:t>
            </w:r>
          </w:p>
          <w:p>
            <w:pPr>
              <w:pStyle w:val="null3"/>
              <w:spacing w:before="105" w:after="30"/>
            </w:pPr>
            <w:r>
              <w:rPr>
                <w:rFonts w:ascii="仿宋_GB2312" w:hAnsi="仿宋_GB2312" w:cs="仿宋_GB2312" w:eastAsia="仿宋_GB2312"/>
              </w:rPr>
              <w:t>九、服务内容</w:t>
            </w:r>
          </w:p>
          <w:p>
            <w:pPr>
              <w:pStyle w:val="null3"/>
              <w:jc w:val="both"/>
            </w:pPr>
            <w:r>
              <w:rPr>
                <w:rFonts w:ascii="仿宋_GB2312" w:hAnsi="仿宋_GB2312" w:cs="仿宋_GB2312" w:eastAsia="仿宋_GB2312"/>
                <w:sz w:val="21"/>
              </w:rPr>
              <w:t>满足响应招标文件</w:t>
            </w:r>
            <w:r>
              <w:rPr>
                <w:rFonts w:ascii="仿宋_GB2312" w:hAnsi="仿宋_GB2312" w:cs="仿宋_GB2312" w:eastAsia="仿宋_GB2312"/>
                <w:sz w:val="21"/>
              </w:rPr>
              <w:t>及合同条款</w:t>
            </w:r>
            <w:r>
              <w:rPr>
                <w:rFonts w:ascii="仿宋_GB2312" w:hAnsi="仿宋_GB2312" w:cs="仿宋_GB2312" w:eastAsia="仿宋_GB2312"/>
                <w:sz w:val="21"/>
              </w:rPr>
              <w:t>所有</w:t>
            </w:r>
            <w:r>
              <w:rPr>
                <w:rFonts w:ascii="仿宋_GB2312" w:hAnsi="仿宋_GB2312" w:cs="仿宋_GB2312" w:eastAsia="仿宋_GB2312"/>
                <w:sz w:val="21"/>
              </w:rPr>
              <w:t>实质性</w:t>
            </w:r>
            <w:r>
              <w:rPr>
                <w:rFonts w:ascii="仿宋_GB2312" w:hAnsi="仿宋_GB2312" w:cs="仿宋_GB2312" w:eastAsia="仿宋_GB2312"/>
                <w:sz w:val="21"/>
              </w:rPr>
              <w:t>要求</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按照采购服务需求供应商自行配置所需人员。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按照采购服务需求供应商自行配置所需设备。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达到行业及国家有关规定标准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报告通过审查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合同发生纠纷时，双方应协商解决，协商不成可以采用下列方式解决：向当地人民法院诉讼。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供应商须提供的资格证明文件.docx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供应商须具有独立承担民事责任能力的法人或其他组织，提供营业执照或事业单位法人证书，或自然人的身份证明；</w:t>
            </w:r>
          </w:p>
        </w:tc>
        <w:tc>
          <w:tcPr>
            <w:tcW w:type="dxa" w:w="1661"/>
          </w:tcPr>
          <w:p>
            <w:pPr>
              <w:pStyle w:val="null3"/>
            </w:pPr>
            <w:r>
              <w:rPr>
                <w:rFonts w:ascii="仿宋_GB2312" w:hAnsi="仿宋_GB2312" w:cs="仿宋_GB2312" w:eastAsia="仿宋_GB2312"/>
              </w:rPr>
              <w:t>供应商须提供的资格证明文件.docx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行业资质</w:t>
            </w:r>
          </w:p>
        </w:tc>
        <w:tc>
          <w:tcPr>
            <w:tcW w:type="dxa" w:w="3322"/>
          </w:tcPr>
          <w:p>
            <w:pPr>
              <w:pStyle w:val="null3"/>
            </w:pPr>
            <w:r>
              <w:rPr>
                <w:rFonts w:ascii="仿宋_GB2312" w:hAnsi="仿宋_GB2312" w:cs="仿宋_GB2312" w:eastAsia="仿宋_GB2312"/>
              </w:rPr>
              <w:t>供应商须具备水利行业工程设计乙级或以上资质；</w:t>
            </w:r>
          </w:p>
        </w:tc>
        <w:tc>
          <w:tcPr>
            <w:tcW w:type="dxa" w:w="1661"/>
          </w:tcPr>
          <w:p>
            <w:pPr>
              <w:pStyle w:val="null3"/>
            </w:pPr>
            <w:r>
              <w:rPr>
                <w:rFonts w:ascii="仿宋_GB2312" w:hAnsi="仿宋_GB2312" w:cs="仿宋_GB2312" w:eastAsia="仿宋_GB2312"/>
              </w:rPr>
              <w:t>供应商须提供的资格证明文件.docx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w:t>
            </w:r>
          </w:p>
        </w:tc>
        <w:tc>
          <w:tcPr>
            <w:tcW w:type="dxa" w:w="1661"/>
          </w:tcPr>
          <w:p>
            <w:pPr>
              <w:pStyle w:val="null3"/>
            </w:pPr>
            <w:r>
              <w:rPr>
                <w:rFonts w:ascii="仿宋_GB2312" w:hAnsi="仿宋_GB2312" w:cs="仿宋_GB2312" w:eastAsia="仿宋_GB2312"/>
              </w:rPr>
              <w:t>供应商须提供的资格证明文件.docx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年或2024年的财务审计报告（至少包括资产负债表和利润表，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供应商须提供的资格证明文件.docx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5月1日以来已缴纳的至少一个月的纳税证明或完税证明（提供增值税、营业税、企业所得税至少一种），纳税证明或完税证明上应有代收机构或税务机关的公章或业务专用章。依法免税的供应商应提供相关文件证明（复印件加盖供应商公章）；</w:t>
            </w:r>
          </w:p>
        </w:tc>
        <w:tc>
          <w:tcPr>
            <w:tcW w:type="dxa" w:w="1661"/>
          </w:tcPr>
          <w:p>
            <w:pPr>
              <w:pStyle w:val="null3"/>
            </w:pPr>
            <w:r>
              <w:rPr>
                <w:rFonts w:ascii="仿宋_GB2312" w:hAnsi="仿宋_GB2312" w:cs="仿宋_GB2312" w:eastAsia="仿宋_GB2312"/>
              </w:rPr>
              <w:t>供应商须提供的资格证明文件.docx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社保缴纳证明：自2024年5月1日以来已缴存的至少一个月的社会保障资金缴存单据或社保机构开具的社会保险参保缴费情况证明。依法不需要缴纳社会保障资金的供应商应提供相关文件证明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供应商须提供的资格证明文件.docx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网页截图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供应商须提供的资格证明文件.docx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响应文件签字及盖章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服务方案.docx 监狱企业的证明文件 供应商须提供的资格证明文件.docx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自合同签订之日起30日历天。</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规划方案及内容</w:t>
            </w:r>
          </w:p>
        </w:tc>
        <w:tc>
          <w:tcPr>
            <w:tcW w:type="dxa" w:w="2492"/>
          </w:tcPr>
          <w:p>
            <w:pPr>
              <w:pStyle w:val="null3"/>
            </w:pPr>
            <w:r>
              <w:rPr>
                <w:rFonts w:ascii="仿宋_GB2312" w:hAnsi="仿宋_GB2312" w:cs="仿宋_GB2312" w:eastAsia="仿宋_GB2312"/>
              </w:rPr>
              <w:t>1、对项目规划背景、规划意义、总体思路、规划范围、期限及规划原则的认知解读。（0-10 分） 完整准确阐述项目的规划背景，总体认知解读充分，得6-10分； 较准确的阐述项目的规划背景，总体认知解读较充分，得3-6 分； 阐述项目的规划背景不准确，总体认知解读不充分，得 0-3分。 2、相关工作基础掌握情况（0-10 分） 对工作任务理解深刻，现状、主要内容、提交成果等基础情况了解深入，相关基础工作准备充分得 6-10 分； 对任务理解一般，现状、主要内容、提交成果等基础情况不够了解，相关基础工作准备一般得 3-6 分； 对任务理解不够透彻，现状、主要内容、提交成果等基础情况了解不够具体充分，基本没有基础工作准备得 0-3 分； 3、整体规划方案（0-10分） 重点难点分析准确到位、解决措施合理、制定的技术方案内容完整、表述清晰、引导实施可行性强、全面性高得6-10分； 重点难点分析较准确到位、解决措施较合理、制定的技术方案内容较完整、表述较清晰、引导实施可行性较强、全面性较高得3-6 分； 重点难点分析不准确、解决措施基本合理，制定的技术方案内容不完整、表述不清晰、引导实施可行性不强、全面性不高得0-3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成果文件质量、安全及服务保证措施</w:t>
            </w:r>
          </w:p>
        </w:tc>
        <w:tc>
          <w:tcPr>
            <w:tcW w:type="dxa" w:w="2492"/>
          </w:tcPr>
          <w:p>
            <w:pPr>
              <w:pStyle w:val="null3"/>
            </w:pPr>
            <w:r>
              <w:rPr>
                <w:rFonts w:ascii="仿宋_GB2312" w:hAnsi="仿宋_GB2312" w:cs="仿宋_GB2312" w:eastAsia="仿宋_GB2312"/>
              </w:rPr>
              <w:t>质量、安全目标明确、体系健全、保证措施切实可行得11-20分，质量、安全目标基本明确、体系基本健全、保证措施基本可行得1-10分，缺项得0分。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项目进度计划及保证措施</w:t>
            </w:r>
          </w:p>
        </w:tc>
        <w:tc>
          <w:tcPr>
            <w:tcW w:type="dxa" w:w="2492"/>
          </w:tcPr>
          <w:p>
            <w:pPr>
              <w:pStyle w:val="null3"/>
            </w:pPr>
            <w:r>
              <w:rPr>
                <w:rFonts w:ascii="仿宋_GB2312" w:hAnsi="仿宋_GB2312" w:cs="仿宋_GB2312" w:eastAsia="仿宋_GB2312"/>
              </w:rPr>
              <w:t>进度计划满足要求，节点清晰，控制措施合理得4-5分；进度计划基本满足要求，节点基本清晰，控制措施基本合理得1-3分；缺项得0分。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投标人针对本项目制定的服务期限、服务内容、服务承诺是否满足要求，是否合理、全面。 1.服务期限满足采购人要求、服务内容合理，服务承诺全面，得5分； 2.服务期限较能满足采购人要求、服务内容较合理，服务承诺较全面，得3分； 3.服务期限基本满足采购人要求、服务内容一般，服务承诺一般，得1分； 4.无或其它情况不得分。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项目负责人及技术人员</w:t>
            </w:r>
          </w:p>
        </w:tc>
        <w:tc>
          <w:tcPr>
            <w:tcW w:type="dxa" w:w="2492"/>
          </w:tcPr>
          <w:p>
            <w:pPr>
              <w:pStyle w:val="null3"/>
            </w:pPr>
            <w:r>
              <w:rPr>
                <w:rFonts w:ascii="仿宋_GB2312" w:hAnsi="仿宋_GB2312" w:cs="仿宋_GB2312" w:eastAsia="仿宋_GB2312"/>
              </w:rPr>
              <w:t>项目负责人为高级工程师或以上职称得3分；中级职称得2分；缺项及低于中级职称得0分。 项目配套人员： 中级职称及以上每提供1人得1分，最高6分，缺项得0分。 每具备一名注册土木工程师（水利水电工程）得2分，最高6分，缺项得0分。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供应商提供2022年1月至今的同类型业绩（以合同为准），每提供一份得2分，最高得10分，未提供得0分。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价格分采用低价优先法计算，即满足磋商文件要求且最后报价最低的供应商的价格为磋商基准价，其价格分为满分。其他供应商的价格分统一按照下列公式计算：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详见附件：供应商须提供的资格证明文件.docx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