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版本号：YJZFCG-2025001-0220250629003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疾病预防控制中心迁建项目电梯的采购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YJZFCG-2025001-02</w:t>
      </w:r>
      <w:r>
        <w:br/>
      </w:r>
      <w:r>
        <w:br/>
      </w:r>
      <w:r>
        <w:br/>
      </w:r>
    </w:p>
    <w:p>
      <w:pPr>
        <w:pStyle w:val="null3"/>
        <w:jc w:val="center"/>
        <w:outlineLvl w:val="2"/>
      </w:pPr>
      <w:r>
        <w:rPr>
          <w:rFonts w:ascii="仿宋_GB2312" w:hAnsi="仿宋_GB2312" w:cs="仿宋_GB2312" w:eastAsia="仿宋_GB2312"/>
          <w:sz w:val="28"/>
          <w:b/>
        </w:rPr>
        <w:t>宜君县疾病预防控制中心</w:t>
      </w:r>
    </w:p>
    <w:p>
      <w:pPr>
        <w:pStyle w:val="null3"/>
        <w:jc w:val="center"/>
        <w:outlineLvl w:val="2"/>
      </w:pPr>
      <w:r>
        <w:rPr>
          <w:rFonts w:ascii="仿宋_GB2312" w:hAnsi="仿宋_GB2312" w:cs="仿宋_GB2312" w:eastAsia="仿宋_GB2312"/>
          <w:sz w:val="28"/>
          <w:b/>
        </w:rPr>
        <w:t>宜君县国有资产管理所（宜君县政府采购中心）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宜君县国有资产管理所（宜君县政府采购中心）</w:t>
      </w:r>
      <w:r>
        <w:rPr>
          <w:rFonts w:ascii="仿宋_GB2312" w:hAnsi="仿宋_GB2312" w:cs="仿宋_GB2312" w:eastAsia="仿宋_GB2312"/>
        </w:rPr>
        <w:t>（以下简称“代理机构”）受</w:t>
      </w:r>
      <w:r>
        <w:rPr>
          <w:rFonts w:ascii="仿宋_GB2312" w:hAnsi="仿宋_GB2312" w:cs="仿宋_GB2312" w:eastAsia="仿宋_GB2312"/>
        </w:rPr>
        <w:t>宜君县疾病预防控制中心</w:t>
      </w:r>
      <w:r>
        <w:rPr>
          <w:rFonts w:ascii="仿宋_GB2312" w:hAnsi="仿宋_GB2312" w:cs="仿宋_GB2312" w:eastAsia="仿宋_GB2312"/>
        </w:rPr>
        <w:t>委托，拟对</w:t>
      </w:r>
      <w:r>
        <w:rPr>
          <w:rFonts w:ascii="仿宋_GB2312" w:hAnsi="仿宋_GB2312" w:cs="仿宋_GB2312" w:eastAsia="仿宋_GB2312"/>
        </w:rPr>
        <w:t>疾病预防控制中心迁建项目电梯的采购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YJZFCG-2025001-02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疾病预防控制中心迁建项目电梯的采购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宜君县疾病预防控制中心迁建项目工作进度，按照相关任务分工和工作要求，结合我单位2025年度采购计划安排，拟实施宜君县疾病预防控制中心迁建项目采购计划，该项目预算为70万,现采购电梯3部，1#、2#梯为无机房客梯，3#梯为污梯、杂物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采购包1（疾病预防控制中心迁建项目电梯的采购）：属于专门面向中小企业采购。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pPr>
      <w:r>
        <w:rPr>
          <w:rFonts w:ascii="仿宋_GB2312" w:hAnsi="仿宋_GB2312" w:cs="仿宋_GB2312" w:eastAsia="仿宋_GB2312"/>
        </w:rPr>
        <w:t>10、资格要求：供应商若为电梯生产制造商时须同时具备《中华人民共和国特种设备制造许可证》（电梯）C级及以上资质（旧证）和《中华人民共和国特种设备安装改造维修许可证》（电梯）C级及以上资质（旧证）或单独具备《中华人民共和国特种设备生产许可证》（电梯制造（含安装、修理、改造））B级及以上资质（新证）； 供应商若为电梯经销商（代理商）的须提供《中华人民共和国特种设备安装改造维修许可证》（电梯）C级及以上资质（旧证）或《中华人民共和国特种设备生产许可证》电梯安装（含修理）（新证）同时提供电梯生产制造商的《中华人民共和国特种设备制造许可证》（电梯）C级资质（旧证）或《中华人民共和国特种设备生产许可证》（电梯制造（含安装、修理、改造））B级及以上资质（新证）。注：制造许可证且在有效期内；安装改造维修许可证且在有效期内；生产许可证且在有效期内。</w:t>
      </w:r>
    </w:p>
    <w:p>
      <w:pPr>
        <w:pStyle w:val="null3"/>
      </w:pPr>
      <w:r>
        <w:rPr>
          <w:rFonts w:ascii="仿宋_GB2312" w:hAnsi="仿宋_GB2312" w:cs="仿宋_GB2312" w:eastAsia="仿宋_GB2312"/>
        </w:rPr>
        <w:t>11、项目负责人资格要求：拟派电梯安装项目负责人须具备特种设备作业人员证（电梯专业），并提供开标前一年内任意一个月在本单位的社保缴纳证明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陕西省铜川市宜君县宜阳中街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0919-5281186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宜君县国有资产管理所（宜君县政府采购中心）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陕西省铜川市宜君县兴宜路6号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18691930558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宜君县疾病预防控制中心</w:t>
      </w:r>
      <w:r>
        <w:rPr>
          <w:rFonts w:ascii="仿宋_GB2312" w:hAnsi="仿宋_GB2312" w:cs="仿宋_GB2312" w:eastAsia="仿宋_GB2312"/>
        </w:rPr>
        <w:t>和</w:t>
      </w:r>
      <w:r>
        <w:rPr>
          <w:rFonts w:ascii="仿宋_GB2312" w:hAnsi="仿宋_GB2312" w:cs="仿宋_GB2312" w:eastAsia="仿宋_GB2312"/>
        </w:rPr>
        <w:t>宜君县国有资产管理所（宜君县政府采购中心）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宜君县国有资产管理所（宜君县政府采购中心）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宜君县国有资产管理所（宜君县政府采购中心）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6）履约验收程序：一次性验收 7）履约验收时间： 供应商提出验收申请之日起15日内组织验收 8）验收组织的其他事项：验收后工作 - 整改与复验：对于验收中发现的问题，要求安装单位限期整改，并提交整改报告；整改完成后，组织相关人员进行复验，确保问题得到彻底解决。 - 资料归档：验收完成后，将验收资料进行整理归档，包括验收报告、整改记录等，以便后续查询和追溯。 - 交付使用：验收合格且完成整改后，办理电梯交付使用手续，明确使用单位和维保单位的责任和义务，同时进行电梯使用培训，确保使用人员正确操作和维护电梯 。 安全与应急 - 安全防护：验收现场设置明显的安全警示标志，配备必要的安全防护设备，如安全帽、安全带等，确保验收人员安全。9）履约验收标准：按国家有关规定以及磋商文件的质量要求和技术指标、供应商的响应文件及承诺与本合同约定标准进行验收。10）履约验收其他事项：双方在签订合同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联系人：刘岳琦</w:t>
      </w:r>
    </w:p>
    <w:p>
      <w:pPr>
        <w:pStyle w:val="null3"/>
      </w:pPr>
      <w:r>
        <w:rPr>
          <w:rFonts w:ascii="仿宋_GB2312" w:hAnsi="仿宋_GB2312" w:cs="仿宋_GB2312" w:eastAsia="仿宋_GB2312"/>
        </w:rPr>
        <w:t>联系电话：18691930558</w:t>
      </w:r>
    </w:p>
    <w:p>
      <w:pPr>
        <w:pStyle w:val="null3"/>
      </w:pPr>
      <w:r>
        <w:rPr>
          <w:rFonts w:ascii="仿宋_GB2312" w:hAnsi="仿宋_GB2312" w:cs="仿宋_GB2312" w:eastAsia="仿宋_GB2312"/>
        </w:rPr>
        <w:t>地址：陕西省铜川市宜君县兴宜路6号</w:t>
      </w:r>
    </w:p>
    <w:p>
      <w:pPr>
        <w:pStyle w:val="null3"/>
      </w:pPr>
      <w:r>
        <w:rPr>
          <w:rFonts w:ascii="仿宋_GB2312" w:hAnsi="仿宋_GB2312" w:cs="仿宋_GB2312" w:eastAsia="仿宋_GB2312"/>
        </w:rPr>
        <w:t>邮编：727200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宜君县疾病预防控制中心迁建项目工作进度，按照相关任务分工和工作要求，结合我单位2025年度采购计划安排，拟实施宜君县疾病预防控制中心迁建项目采购计划，该项目预算为70万,现采购电梯3部，1#、2#梯为无机房客梯，3#梯为污梯、杂物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6"/>
                <w:b/>
                <w:color w:val="000000"/>
              </w:rPr>
              <w:t>电梯</w:t>
            </w:r>
            <w:r>
              <w:rPr>
                <w:rFonts w:ascii="仿宋_GB2312" w:hAnsi="仿宋_GB2312" w:cs="仿宋_GB2312" w:eastAsia="仿宋_GB2312"/>
                <w:sz w:val="36"/>
                <w:b/>
                <w:color w:val="000000"/>
              </w:rPr>
              <w:t>规格表</w:t>
            </w:r>
          </w:p>
          <w:tbl>
            <w:tblPr>
              <w:tblInd w:type="dxa" w:w="90"/>
              <w:tblBorders>
                <w:top w:val="none" w:color="000000" w:sz="4"/>
                <w:left w:val="none" w:color="000000" w:sz="4"/>
                <w:bottom w:val="none" w:color="000000" w:sz="4"/>
                <w:right w:val="none" w:color="000000" w:sz="4"/>
                <w:insideH w:val="none"/>
                <w:insideV w:val="none"/>
              </w:tblBorders>
            </w:tblPr>
            <w:tblGrid>
              <w:gridCol w:w="614"/>
              <w:gridCol w:w="674"/>
              <w:gridCol w:w="629"/>
              <w:gridCol w:w="609"/>
            </w:tblGrid>
            <w:tr>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1#梯</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2#梯</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污梯</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无机房客梯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无机房客梯</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杂物梯</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台量</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载重</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Kg</w:t>
                  </w:r>
                  <w:r>
                    <w:rPr>
                      <w:rFonts w:ascii="仿宋_GB2312" w:hAnsi="仿宋_GB2312" w:cs="仿宋_GB2312" w:eastAsia="仿宋_GB2312"/>
                      <w:sz w:val="24"/>
                      <w:b/>
                      <w:color w:val="000000"/>
                    </w:rPr>
                    <w: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630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速度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m/s</w:t>
                  </w:r>
                  <w:r>
                    <w:rPr>
                      <w:rFonts w:ascii="仿宋_GB2312" w:hAnsi="仿宋_GB2312" w:cs="仿宋_GB2312" w:eastAsia="仿宋_GB2312"/>
                      <w:sz w:val="24"/>
                      <w:b/>
                      <w:color w:val="000000"/>
                    </w:rPr>
                    <w: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0.4</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层站门</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5/5/5</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5/5/5</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5/3/3</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控制方式</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集选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集选</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集选</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开门形式</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中分两扇门</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中分两扇门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上下开门</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服务楼层</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-1、1-4</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-1、1-4</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2、3、4F（1、2F不停）</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楼层高度（</w:t>
                  </w:r>
                  <w:r>
                    <w:rPr>
                      <w:rFonts w:ascii="仿宋_GB2312" w:hAnsi="仿宋_GB2312" w:cs="仿宋_GB2312" w:eastAsia="仿宋_GB2312"/>
                      <w:sz w:val="24"/>
                      <w:b/>
                      <w:color w:val="000000"/>
                    </w:rPr>
                    <w:t>mm）</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-1:4200；1~2:3600；3:4500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-1:4200；1~2:3600；3:4500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-1:4200；1~2:3600；3:4500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无障碍功能</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井道尺寸</w:t>
                  </w:r>
                </w:p>
                <w:p>
                  <w:pPr>
                    <w:pStyle w:val="null3"/>
                    <w:jc w:val="center"/>
                  </w:pPr>
                  <w:r>
                    <w:rPr>
                      <w:rFonts w:ascii="仿宋_GB2312" w:hAnsi="仿宋_GB2312" w:cs="仿宋_GB2312" w:eastAsia="仿宋_GB2312"/>
                      <w:sz w:val="24"/>
                      <w:b/>
                      <w:color w:val="000000"/>
                    </w:rPr>
                    <w:t>（宽</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深）</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mm）</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1950*1800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2100*2300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1400*1400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轿厢</w:t>
                  </w:r>
                  <w:r>
                    <w:rPr>
                      <w:rFonts w:ascii="仿宋_GB2312" w:hAnsi="仿宋_GB2312" w:cs="仿宋_GB2312" w:eastAsia="仿宋_GB2312"/>
                      <w:sz w:val="24"/>
                      <w:b/>
                      <w:color w:val="000000"/>
                    </w:rPr>
                    <w:t>尺寸</w:t>
                  </w:r>
                </w:p>
                <w:p>
                  <w:pPr>
                    <w:pStyle w:val="null3"/>
                    <w:jc w:val="center"/>
                  </w:pPr>
                  <w:r>
                    <w:rPr>
                      <w:rFonts w:ascii="仿宋_GB2312" w:hAnsi="仿宋_GB2312" w:cs="仿宋_GB2312" w:eastAsia="仿宋_GB2312"/>
                      <w:sz w:val="24"/>
                      <w:b/>
                      <w:color w:val="000000"/>
                    </w:rPr>
                    <w:t>(宽</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深</w:t>
                  </w:r>
                  <w:r>
                    <w:rPr>
                      <w:rFonts w:ascii="仿宋_GB2312" w:hAnsi="仿宋_GB2312" w:cs="仿宋_GB2312" w:eastAsia="仿宋_GB2312"/>
                      <w:sz w:val="24"/>
                      <w:b/>
                      <w:color w:val="000000"/>
                    </w:rPr>
                    <w:t>*高</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(mm)</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1100*1400*2700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1250*1850*2700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700*1000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开门尺寸</w:t>
                  </w:r>
                </w:p>
                <w:p>
                  <w:pPr>
                    <w:pStyle w:val="null3"/>
                    <w:jc w:val="center"/>
                  </w:pPr>
                  <w:r>
                    <w:rPr>
                      <w:rFonts w:ascii="仿宋_GB2312" w:hAnsi="仿宋_GB2312" w:cs="仿宋_GB2312" w:eastAsia="仿宋_GB2312"/>
                      <w:sz w:val="24"/>
                      <w:b/>
                      <w:color w:val="000000"/>
                    </w:rPr>
                    <w:t>(宽×高)（</w:t>
                  </w:r>
                  <w:r>
                    <w:rPr>
                      <w:rFonts w:ascii="仿宋_GB2312" w:hAnsi="仿宋_GB2312" w:cs="仿宋_GB2312" w:eastAsia="仿宋_GB2312"/>
                      <w:sz w:val="24"/>
                      <w:b/>
                      <w:color w:val="000000"/>
                    </w:rPr>
                    <w:t>mm</w:t>
                  </w:r>
                  <w:r>
                    <w:rPr>
                      <w:rFonts w:ascii="仿宋_GB2312" w:hAnsi="仿宋_GB2312" w:cs="仿宋_GB2312" w:eastAsia="仿宋_GB2312"/>
                      <w:sz w:val="24"/>
                      <w:b/>
                      <w:color w:val="000000"/>
                    </w:rPr>
                    <w: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800*2500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900*2500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700*1200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顶层</w:t>
                  </w:r>
                  <w:r>
                    <w:rPr>
                      <w:rFonts w:ascii="仿宋_GB2312" w:hAnsi="仿宋_GB2312" w:cs="仿宋_GB2312" w:eastAsia="仿宋_GB2312"/>
                      <w:sz w:val="24"/>
                      <w:b/>
                      <w:color w:val="000000"/>
                    </w:rPr>
                    <w:t>高度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mm</w:t>
                  </w:r>
                  <w:r>
                    <w:rPr>
                      <w:rFonts w:ascii="仿宋_GB2312" w:hAnsi="仿宋_GB2312" w:cs="仿宋_GB2312" w:eastAsia="仿宋_GB2312"/>
                      <w:sz w:val="24"/>
                      <w:b/>
                      <w:color w:val="000000"/>
                    </w:rPr>
                    <w: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≥4200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≥4200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4000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底坑深</w:t>
                  </w:r>
                  <w:r>
                    <w:rPr>
                      <w:rFonts w:ascii="仿宋_GB2312" w:hAnsi="仿宋_GB2312" w:cs="仿宋_GB2312" w:eastAsia="仿宋_GB2312"/>
                      <w:sz w:val="24"/>
                      <w:b/>
                      <w:color w:val="000000"/>
                    </w:rPr>
                    <w:t>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mm</w:t>
                  </w:r>
                  <w:r>
                    <w:rPr>
                      <w:rFonts w:ascii="仿宋_GB2312" w:hAnsi="仿宋_GB2312" w:cs="仿宋_GB2312" w:eastAsia="仿宋_GB2312"/>
                      <w:sz w:val="24"/>
                      <w:b/>
                      <w:color w:val="000000"/>
                    </w:rPr>
                    <w: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2000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2000</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1000</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轿厢装潢</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jc w:val="center"/>
                  </w:pPr>
                  <w:r>
                    <w:rPr>
                      <w:rFonts w:ascii="仿宋_GB2312" w:hAnsi="仿宋_GB2312" w:cs="仿宋_GB2312" w:eastAsia="仿宋_GB2312"/>
                      <w:sz w:val="24"/>
                      <w:b/>
                    </w:rPr>
                    <w:t>轿厢操纵箱</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14寸多媒体）</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14寸多媒体）</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厅外召唤</w:t>
                  </w:r>
                  <w:r>
                    <w:rPr>
                      <w:rFonts w:ascii="仿宋_GB2312" w:hAnsi="仿宋_GB2312" w:cs="仿宋_GB2312" w:eastAsia="仿宋_GB2312"/>
                      <w:sz w:val="24"/>
                      <w:b/>
                      <w:color w:val="000000"/>
                    </w:rPr>
                    <w:t>显示</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全彩液晶显示</w:t>
                  </w:r>
                  <w:r>
                    <w:rPr>
                      <w:rFonts w:ascii="仿宋_GB2312" w:hAnsi="仿宋_GB2312" w:cs="仿宋_GB2312" w:eastAsia="仿宋_GB2312"/>
                      <w:sz w:val="24"/>
                      <w:b/>
                      <w:color w:val="00000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全彩液晶显示</w:t>
                  </w:r>
                  <w:r>
                    <w:rPr>
                      <w:rFonts w:ascii="仿宋_GB2312" w:hAnsi="仿宋_GB2312" w:cs="仿宋_GB2312" w:eastAsia="仿宋_GB2312"/>
                      <w:sz w:val="24"/>
                      <w:b/>
                      <w:color w:val="000000"/>
                    </w:rPr>
                    <w:t>）</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轿顶装潢</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304镜面</w:t>
                  </w:r>
                  <w:r>
                    <w:rPr>
                      <w:rFonts w:ascii="仿宋_GB2312" w:hAnsi="仿宋_GB2312" w:cs="仿宋_GB2312" w:eastAsia="仿宋_GB2312"/>
                      <w:sz w:val="24"/>
                      <w:b/>
                      <w:color w:val="000000"/>
                    </w:rPr>
                    <w:t>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304镜面</w:t>
                  </w:r>
                  <w:r>
                    <w:rPr>
                      <w:rFonts w:ascii="仿宋_GB2312" w:hAnsi="仿宋_GB2312" w:cs="仿宋_GB2312" w:eastAsia="仿宋_GB2312"/>
                      <w:sz w:val="24"/>
                      <w:b/>
                      <w:color w:val="000000"/>
                    </w:rPr>
                    <w:t>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厅</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层</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门材料</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304</w:t>
                  </w:r>
                  <w:r>
                    <w:rPr>
                      <w:rFonts w:ascii="仿宋_GB2312" w:hAnsi="仿宋_GB2312" w:cs="仿宋_GB2312" w:eastAsia="仿宋_GB2312"/>
                      <w:sz w:val="24"/>
                      <w:b/>
                      <w:color w:val="000000"/>
                    </w:rPr>
                    <w:t>发纹不锈钢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厚度</w:t>
                  </w:r>
                  <w:r>
                    <w:rPr>
                      <w:rFonts w:ascii="仿宋_GB2312" w:hAnsi="仿宋_GB2312" w:cs="仿宋_GB2312" w:eastAsia="仿宋_GB2312"/>
                      <w:sz w:val="24"/>
                      <w:b/>
                      <w:color w:val="000000"/>
                    </w:rPr>
                    <w:t>2.0mm</w:t>
                  </w: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扶手</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地板</w:t>
                  </w:r>
                  <w:r>
                    <w:rPr>
                      <w:rFonts w:ascii="仿宋_GB2312" w:hAnsi="仿宋_GB2312" w:cs="仿宋_GB2312" w:eastAsia="仿宋_GB2312"/>
                      <w:sz w:val="24"/>
                      <w:b/>
                      <w:color w:val="000000"/>
                    </w:rPr>
                    <w:t>装饰</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PVC</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PVC</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发纹不锈钢</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轿厢空调</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无</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轿厢消毒机</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有</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无</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主轨</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T89</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T89</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副轨</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实心轨</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实心轨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对重</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铸铁</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铸铁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p>
              </w:tc>
            </w:tr>
          </w:tbl>
          <w:p>
            <w:pPr>
              <w:pStyle w:val="null3"/>
              <w:jc w:val="left"/>
            </w:pPr>
            <w:r>
              <w:rPr>
                <w:rFonts w:ascii="仿宋_GB2312" w:hAnsi="仿宋_GB2312" w:cs="仿宋_GB2312" w:eastAsia="仿宋_GB2312"/>
                <w:sz w:val="28"/>
                <w:b/>
                <w:color w:val="000000"/>
              </w:rPr>
              <w:t>乘客电梯功能表</w:t>
            </w:r>
          </w:p>
          <w:p>
            <w:pPr>
              <w:pStyle w:val="null3"/>
              <w:ind w:firstLine="241"/>
              <w:jc w:val="left"/>
            </w:pPr>
            <w:r>
              <w:rPr>
                <w:rFonts w:ascii="仿宋_GB2312" w:hAnsi="仿宋_GB2312" w:cs="仿宋_GB2312" w:eastAsia="仿宋_GB2312"/>
                <w:sz w:val="24"/>
                <w:b/>
                <w:color w:val="000000"/>
              </w:rPr>
              <w:t>标准功能</w:t>
            </w:r>
          </w:p>
          <w:tbl>
            <w:tblPr>
              <w:tblBorders>
                <w:top w:val="none" w:color="000000" w:sz="4"/>
                <w:left w:val="none" w:color="000000" w:sz="4"/>
                <w:bottom w:val="none" w:color="000000" w:sz="4"/>
                <w:right w:val="none" w:color="000000" w:sz="4"/>
                <w:insideH w:val="none"/>
                <w:insideV w:val="none"/>
              </w:tblBorders>
            </w:tblPr>
            <w:tblGrid>
              <w:gridCol w:w="486"/>
              <w:gridCol w:w="2062"/>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功能名称</w:t>
                  </w:r>
                </w:p>
              </w:tc>
              <w:tc>
                <w:tcPr>
                  <w:tcW w:type="dxa" w:w="2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功能说明</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电梯变频驱动</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精确调整电动机转速，令电梯启动、运行、停止的速度曲线平稳、圆滑，获得良好的舒适感。</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门机变频驱动</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精确调整电动机转速，使门机的开启、并闭更轻柔灵敏。</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独立运行</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通过动作开关，使电梯不响应外召，仅响应轿内指令。</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应急照明</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停电时，自动打开轿内应急照明。</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光幕保护</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门开启和关闭期间，用覆盖整个门高度的红外光探测乘客和物体的门保护装置。</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指定停靠</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由于某种原因，电梯在目的层无法开门，电梯将关门运行至下一指定层楼。</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自动不停站通过</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当轿内挤满乘客，或负载接近预定值，为保持最大运行效率，该轿厢将自动越过召唤层站。</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超载停梯</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轿厢超越时，鸣响蜂鸣器并停止于该层站。</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轿厢风扇</w:t>
                  </w:r>
                  <w:r>
                    <w:rPr>
                      <w:rFonts w:ascii="仿宋_GB2312" w:hAnsi="仿宋_GB2312" w:cs="仿宋_GB2312" w:eastAsia="仿宋_GB2312"/>
                      <w:sz w:val="21"/>
                      <w:b/>
                      <w:color w:val="000000"/>
                    </w:rPr>
                    <w:t>/照明自动开关</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在规定的时间内没有召唤或指令信号，轿厢内的风扇和照明会自动关闭，以节能。</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远程关闭</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通过钥匙开关，电梯可以被召唤到基站（服务完成后），并自动退出服务。</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防止失速内部计数器保护</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由于曳引钢丝绳打滑而无法正常运行时，电梯停止运行。</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启动保护控制</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电梯启动后在指定的时间内，没有离开门区，电梯停止运行。</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检修操作</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当进入检修状态时，轿厢以</w:t>
                  </w:r>
                  <w:r>
                    <w:rPr>
                      <w:rFonts w:ascii="仿宋_GB2312" w:hAnsi="仿宋_GB2312" w:cs="仿宋_GB2312" w:eastAsia="仿宋_GB2312"/>
                      <w:sz w:val="21"/>
                      <w:b/>
                      <w:color w:val="000000"/>
                    </w:rPr>
                    <w:t>0.3m/s速度点动运行。</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点动运行</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当进入紧急电动状态时，轿厢以</w:t>
                  </w:r>
                  <w:r>
                    <w:rPr>
                      <w:rFonts w:ascii="仿宋_GB2312" w:hAnsi="仿宋_GB2312" w:cs="仿宋_GB2312" w:eastAsia="仿宋_GB2312"/>
                      <w:sz w:val="21"/>
                      <w:b/>
                      <w:color w:val="000000"/>
                    </w:rPr>
                    <w:t>0.3m/s速度点动运行。</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安全停层</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电梯发生故障停在层楼之间，控制器先做诊断检测，然后运行至指定层楼。</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故障自诊断</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控制器可记录最新的</w:t>
                  </w:r>
                  <w:r>
                    <w:rPr>
                      <w:rFonts w:ascii="仿宋_GB2312" w:hAnsi="仿宋_GB2312" w:cs="仿宋_GB2312" w:eastAsia="仿宋_GB2312"/>
                      <w:sz w:val="21"/>
                      <w:b/>
                      <w:color w:val="000000"/>
                    </w:rPr>
                    <w:t>62个故障，以便快速排除故障，迅速恢复电梯运行。</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1"/>
                      <w:b/>
                      <w:color w:val="000000"/>
                    </w:rPr>
                    <w:t>电梯门重复开关</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有时因阻碍或干扰，电梯门未能关闭，电梯门会重复打开或关闭，直到杂物被清除。</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开门时间自动调整</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按照层站召唤或轿厢召唤的区别，自动调整保持开门时间。</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本层重开门</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关门途中，可以按本层站召唤按钮使门重新开启。</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即时关门</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电梯停站开门到位时，按下关门按钮，门立即被关闭。</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停梯开门</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电梯减速平层，直到完全停稳后才开门。</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轿内及层站微动指令按钮</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轿内操纵箱指令按钮及层站召唤按钮采用新型微动型按钮。</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五方通话装置</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通过对讲机，可实现机房、轿顶、底坑、轿厢内、值班室通话。</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警铃</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紧急时，连续按下轿内操纵箱上的警铃按钮，安装于轿厢顶上的电铃会鸣响。</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轿内层楼、方向指示</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轿内显示电梯所在层楼及当前运行方向。</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层站层楼、方向指示</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层站显示电梯所在层楼及当前运行方向。</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上下越层及上下极限保护装置</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该装置可有效地防止当电梯万一发生失控时的冲顶或撞底现象，使电梯更安全可靠。</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超速保护装置</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当电梯下降运行的速度超过额定速度的</w:t>
                  </w:r>
                  <w:r>
                    <w:rPr>
                      <w:rFonts w:ascii="仿宋_GB2312" w:hAnsi="仿宋_GB2312" w:cs="仿宋_GB2312" w:eastAsia="仿宋_GB2312"/>
                      <w:sz w:val="21"/>
                      <w:b/>
                      <w:color w:val="000000"/>
                    </w:rPr>
                    <w:t>1.2倍时，该装置自动切断控制电源，使电机停止运转以阻止电梯超速下行；如电梯继续超速下行，其速度超过额定速度的1.4倍时，安全钳动作，强制电梯停止运行，保证安全。</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消防返回</w:t>
                  </w:r>
                </w:p>
              </w:tc>
              <w:tc>
                <w:tcPr>
                  <w:tcW w:type="dxa" w:w="2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启动基站或监控屏上的钥匙开关，所有召唤均被取消，电梯立即驶往指定救援层站停靠，并自动开门。</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轿厢意外移动</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在开锁区域内且开门状态下，轿厢无指令离开层站的移动，不包含装卸载引起的移动。</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层门强度</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层门在锁住位置时，所有层门及其门锁应有</w:t>
                  </w:r>
                  <w:r>
                    <w:rPr>
                      <w:rFonts w:ascii="仿宋_GB2312" w:hAnsi="仿宋_GB2312" w:cs="仿宋_GB2312" w:eastAsia="仿宋_GB2312"/>
                      <w:sz w:val="21"/>
                      <w:b/>
                      <w:color w:val="000000"/>
                    </w:rPr>
                    <w:t>GB7588标准的机械强度</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轿门的开启</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当轿厢位于开锁区域内时才能从轿厢内打开轿门，任何原因电梯停在开锁区域，应能在</w:t>
                  </w:r>
                  <w:r>
                    <w:rPr>
                      <w:rFonts w:ascii="仿宋_GB2312" w:hAnsi="仿宋_GB2312" w:cs="仿宋_GB2312" w:eastAsia="仿宋_GB2312"/>
                      <w:sz w:val="21"/>
                      <w:b/>
                      <w:color w:val="000000"/>
                    </w:rPr>
                    <w:t>GB7588规定的位置用不超过300N的力，手动打开轿门和层门。</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远程监控</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通过调制解调器和电话，可实现电梯的远程监视和控制，便于厂家和服务单位及时的了解每台电梯的运行状况，以便及时作出相应措施。</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轿厢到站钟</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装于轿顶的电子钟的钟声告知侯梯的乘客电梯已到站。</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提前开门</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电梯减速进入开门区域，自动开门，提高运行效率。</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特定楼层不停靠</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通过锁定轿厢操纵箱上的按钮，可对某些层站停止服务。</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指令登记删除</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如按错了轿内楼层指令按钮，只要把同一按钮连按两次，就可取消已登记指令。</w:t>
                  </w:r>
                </w:p>
              </w:tc>
            </w:tr>
          </w:tbl>
          <w:p>
            <w:pPr>
              <w:pStyle w:val="null3"/>
              <w:spacing w:before="255" w:after="255"/>
              <w:jc w:val="center"/>
            </w:pPr>
            <w:r>
              <w:rPr>
                <w:rFonts w:ascii="仿宋_GB2312" w:hAnsi="仿宋_GB2312" w:cs="仿宋_GB2312" w:eastAsia="仿宋_GB2312"/>
                <w:sz w:val="24"/>
                <w:b/>
                <w:color w:val="000000"/>
              </w:rPr>
              <w:t>杂物电梯功能表</w:t>
            </w:r>
          </w:p>
          <w:p>
            <w:pPr>
              <w:pStyle w:val="null3"/>
              <w:ind w:firstLine="241"/>
              <w:jc w:val="left"/>
            </w:pPr>
            <w:r>
              <w:rPr>
                <w:rFonts w:ascii="仿宋_GB2312" w:hAnsi="仿宋_GB2312" w:cs="仿宋_GB2312" w:eastAsia="仿宋_GB2312"/>
                <w:sz w:val="24"/>
                <w:b/>
                <w:color w:val="000000"/>
              </w:rPr>
              <w:t>标准功能</w:t>
            </w:r>
          </w:p>
          <w:tbl>
            <w:tblPr>
              <w:tblBorders>
                <w:top w:val="none" w:color="000000" w:sz="4"/>
                <w:left w:val="none" w:color="000000" w:sz="4"/>
                <w:bottom w:val="none" w:color="000000" w:sz="4"/>
                <w:right w:val="none" w:color="000000" w:sz="4"/>
                <w:insideH w:val="none"/>
                <w:insideV w:val="none"/>
              </w:tblBorders>
            </w:tblPr>
            <w:tblGrid>
              <w:gridCol w:w="736"/>
              <w:gridCol w:w="1811"/>
            </w:tblGrid>
            <w:tr>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功能名称</w:t>
                  </w:r>
                </w:p>
              </w:tc>
              <w:tc>
                <w:tcPr>
                  <w:tcW w:type="dxa" w:w="1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功能说明</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电锁功能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基站呼梯盒配备电锁，用于启动和关闭电梯的控制电路。</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电气门联锁功能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各层门均有电气门联锁开关，当任一层门打开时，电梯停止运行</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层门机械门锁功能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每层门均有机械门锁，当轿厢不在本层站停靠时，层门不能开启，如电梯在端站，可用本厂随梯配带的专用钥匙开启层门。</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蜂鸣提示功能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具有到站蜂鸣提示功能</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楼层数显功能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轿厢位置由数字显示楼层。</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运行方向显示功能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运行方向由上下行发光箭头显示。</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自平功能</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当电梯不在检修或急停状态时，因某种原因，轿厢未停靠在任何一层平层位置时，系统将自动运行至平层位置。</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上、下限位极限保护</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该装置有效地防止电梯万一失控时冲顶或撞底现象，使电梯更安全。</w:t>
                  </w:r>
                </w:p>
              </w:tc>
            </w:tr>
            <w:tr>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断相、错相保护</w:t>
                  </w:r>
                </w:p>
              </w:tc>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当三相进线缺相或错相时，保护曳引机马达或防止电梯反向运行</w:t>
                  </w:r>
                </w:p>
              </w:tc>
            </w:tr>
          </w:tbl>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★提供所投产品型号的型式试验报告</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center"/>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为交钥匙工程，供应商应自行考虑项目费用组成，包含但不限于设备采购安装、电梯运输、现场管理费、调试以及验收、除土建工程以外的其他施工等所涉及接驳或达到正常使用的一切费用，以及人工费用、人员保险、培训费、电梯检测费、办理电梯特种设备注册登记证和安全检验合格证费用、税金、规费及使电梯处于合规运行状态等与项目有关的全部费用。固定包干，一次包死，不予调整，风险自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宜君县疾病预防控制中心宜阳中街</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安装施工完成，采购人验收合格后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设备规格与合同相符：电梯的型号、规格、配置等应与采购合同一致，包括电梯的载重、速度、层站数、轿厢尺寸等参数。 2、安全性能达标：电梯的安全部件，如限速器、安全钳、缓冲器、门锁装置等，应符合相关国家标准和安全技术规范的要求，确保在运行过程中能有效保障乘客安全。 3、运行性能良好：电梯运行应平稳，无异常振动、噪声和冲击现象。启动、加速、减速和停止时应平稳过渡，舒适感良好。平层精度应符合规定要求，确保轿厢地坎与层门地坎之间的高度差在允许范围内。 4、安装质量合格：电梯的机械部件和电气设备的安装应牢固、整齐，连接可靠。各部件之间的间隙、距离应符合设计和规范要求。电缆、电线的敷设应整齐、规范，接地系统应可靠，接地电阻应符合要求。 验收方法 1、资料审查：检查电梯的制造许可证、产品合格证、安装说明书、维保手册等随机文件是否齐全。同时，查看安装单位的资质证书、安装过程记录、调试报告等文件，确保安装过程符合相关规范和要求。 2、外观检查：观察电梯轿厢、层门、门套等部件的表面是否平整、光洁，有无划伤、变形、掉漆等缺陷。检查各种标识、标志是否清晰、齐全，安装位置是否正确。 3、安全装置测试：对限速器、安全钳进行联动试验，检查在电梯超速时能否可靠动作，使轿厢制停。测试缓冲器的性能，确保在轿厢或对重撞击时能起到缓冲作用。检查门锁装置的可靠性，验证层门和轿厢门在关闭后是否能有效锁住，防止意外开门。 4、运行性能测试：通过手动操作和自动运行模式，让电梯在不同楼层之间往返运行多次，检查其启动、运行、停止等各项性能指标。使用专业的仪器测量电梯的运行速度、平层精度、振动和噪声等参数，确保符合标准要求。 5、功能测试：测试电梯的各种功能，如呼梯功能、楼层显示功能、超载保护功能、紧急制动功能、消防功能等，确保各项功能正常可靠。</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 1、设备本身质量问题：包括电梯的机械部件，如曳引机、导轨、轿厢、层门等，以及电气部件，如控制系统、变频器、传感器等，在正常使用条件下出现的因材料、工艺等原因导致的损坏、故障或性能下降。 2、安装质量问题：如安装过程中造成的部件安装不牢固、连接不准确、调试不到位等导致的电梯运行异常，如振动、噪声过大、平层不准确等问题。 3、与电梯相关的附属设施：如电梯的门套、召唤盒、楼层显示装置等附属设备，若因质量或安装问题出现损坏或故障，也在保修范围内。 保修期 电梯采购安装后的保修期为自电梯验收合格并交付使用之日起2年。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采购方违约责任：若采购方未按合同约定支付货款，需承担逾期付款的违约责任，按未付款项的30%向供货方支付违约金。若采购方无正当理由拒绝接收货物或中途退货，应承担由此给供货方造成的损失，包括货物的生产成本、运输费用等。 2、供货方违约责任：如果供货方未能按时交付货物，需按合同约定向采购方支付违约金。若因逾期交货导致采购方遭受其他损失，供货方还应承担赔偿责任。若货物的质量不符合合同约定，供货方应负责更换、修理或退货，并承担因此给采购方造成的损失。 解决争议的方法： 1、协商：争议发生后，双方首先应通过友好协商解决问题，就争议事项进行沟通和谈判，寻求达成一致的解决方案。 2、调解：若协商不成，可请求第三方调解机构或专业人士进行调解。调解人会根据双方的诉求和实际情况，提出调解方案，促使双方达成和解。 3、仲裁：若合同中约定了仲裁条款，当争议发生时，任何一方可将争议提交给约定的仲裁机构进行仲裁。仲裁裁决具有终局性，对双方均有约束力。 4、诉讼：若双方未约定仲裁条款，那么在争议发生后，任何一方均有权向有管辖权的人民法院提起诉讼。法院将根据相关法律法规和事实证据进行判决。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纸质响应文件制作书脊，书脊处标明项目名称）正本壹份、副本贰份、电子版U盘贰套（正本、副本分开密封，U盘贰套随正本密封，封套须标明投标人名称、项目名称等）。若电子化交易平台文件与纸质响应文件不一致的，以电子化交易平台文件为准。 线下递交文件截止时间：同响应文件递交截止时间， 线下递交文件地点：铜川市王益区红旗街正大国际新城C座502室。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 个体工商户，在政府采购活动中视同中小企业。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4)《财政部、民政部、中国残疾人联合会关于促进残疾人就业政府采购政策的通知》（财库 〔2017〕141号）规定，在政府采购活动中，残疾人福利性单位视同小型、微型企业，享受预留份额、评审中价格扣除等促 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 〔2020〕15号）；(11)《关于进一步加大政府采购支持中小企业力度的通知》（财库〔2022〕19号）；(12)其他需要落实的政府采购政策；(如有最新颁布的政府采购政策，按最新的文件执行。非必要条件，如享受相关政策需提供相关证明材料）。6）本项目为专门面向中小企业采购。7）企业规模划分标准按《工业和信息化部、国家统计局、国家发展和改革委员会、财政部关于印发&lt;中小企业划型标准规定&gt;的通知》（工信部联企业【2011】300 号）文。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若为电梯生产制造商时须同时具备《中华人民共和国特种设备制造许可证》（电梯）C级及以上资质（旧证）和《中华人民共和国特种设备安装改造维修许可证》（电梯）C级及以上资质（旧证）或单独具备《中华人民共和国特种设备生产许可证》（电梯制造（含安装、修理、改造））B级及以上资质（新证）； 供应商若为电梯经销商（代理商）的须提供《中华人民共和国特种设备安装改造维修许可证》（电梯）C级及以上资质（旧证）或《中华人民共和国特种设备生产许可证》电梯安装（含修理）（新证）同时提供电梯生产制造商的《中华人民共和国特种设备制造许可证》（电梯）C级资质（旧证）或《中华人民共和国特种设备生产许可证》（电梯制造（含安装、修理、改造））B级及以上资质（新证）。注：制造许可证且在有效期内；安装改造维修许可证且在有效期内；生产许可证且在有效期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拟派电梯安装项目负责人须具备特种设备作业人员证（电梯专业），并提供开标前一年内任意一个月在本单位的社保缴纳证明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响应文件的完整性、有效性及响应性</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（2）响应文件的签署盖章及格式：磋商文件要求必须响应的内容齐全，有格式要求的按要求提供；供应商名称需与公章名称一致，要求签字或盖章的，按文件规定签字或盖章齐全； （3）交付时间、交付地点：应满足磋商文件中要求的交货时间及地点； （4）质保及售后：满足磋商文件要求； （5）响应有效期：应满足磋商文件中的规定； （6）其他：不能有任何 采购人不能接受的附加条件。 （7）★参数为必须满足的实质性参数，需按要求提供响应证明材料并加盖投标供应商公章，否则按无效文件处理。</w:t>
            </w:r>
          </w:p>
        </w:tc>
        <w:tc>
          <w:tcPr>
            <w:tcW w:type="dxa" w:w="1661"/>
          </w:tcPr>
          <w:p>
            <w:pPr>
              <w:pStyle w:val="null3"/>
            </w:pPr>
            <w:r>
              <w:rPr>
                <w:rFonts w:ascii="仿宋_GB2312" w:hAnsi="仿宋_GB2312" w:cs="仿宋_GB2312" w:eastAsia="仿宋_GB2312"/>
              </w:rPr>
              <w:t>业绩.docx 中小企业声明函 偏离表.docx 商务应答表 分项报价明细表.docx 报价表 响应文件封面 产品技术参数表 残疾人福利性单位声明函 拒绝政府采购领域商业贿赂承诺书.docx 标的清单 供应商资格证明文件.docx 实施方案.docx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所投产品技术参数明确，无负偏离，产品技术参数符合磋商文件要求、数量准确无缺漏项，并提供相关佐证材料的，得20分，技术参数每负偏离一项或有一项未提供相关佐证材料的，扣2分，扣完为止，不计负分。 备注:佐证材料包括但不限于:技术资料、第三方检测报告，制造厂家出具的对应产品的铭牌，制造厂家出具的对应产品的彩页;制造厂家官网截图等。佐证材料与技术指标不一致或未按要求提供证明材料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产品货源渠道正规，确保产品无假货、水货、翻新货且无产权纠纷，提供所投产品的合法来源渠道证明文件(包括但不限于产品销售协议、代理协议或厂家授权等)。提供所有产品的供货渠道证明材料得3分，提供不全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一、评审内容：投标人需针对本项目提供完整的实施方案。内容包括①组织实施计划②供货方案③电梯施工、安装、调试及验收方案 ④确保安全作业的技术组织措施⑤组织机构、人员投入。 二、评审标准：1、完整性：方案必须全面，对评审内容中的各项要求有详细描述；2、可实施性：切合本项目实际情况，提出步骤清晰、合理的方案。3、针对性：方案能够紧扣项目实际情况，内容科学合理，符合项目实际要求。 三、赋分标准（满分15分） ①组织实施计划：每完全满足一个评审标准得1分，内容存在缺陷得0.5分，满分3分，未提供不得分； ②供货方案：每完全满足一个评审标准得1分，内容存在缺陷得0.5分，满分3分，未提供不得分； ③电梯施工、安装、调试及验收方案：每完全满足一个评审标准得1分，内容存在缺陷得0.5分，满分3分，未提供不得分；④确保安全作业的技术组织措施：每完全满足一个评审标准得1分，内容存在缺陷得0.5分，满分3分，未提供不得分；⑤组织机构、人员投入：每完全满足一个评审标准得1分，内容存在缺陷得0.5分，满分3分，未提供不得分；（缺陷是指：非专门针对本项目或不适用项目特性的情形、内容不完整或缺少关键节点、套用其他项目方案、内容前后矛盾、涉及的规范或标准错误、不利于项目实施、不可能实现的情形、只有标题没有实质性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一、评审内容：根据项目实际需求，提供质量保证方案。内容包含：①设备性能稳定性、安全性、功能性、使用效果②质量保证措施； 二、评审标准：1、完整性：方案必须全面，对评审内容中的各项要求有详细描述；2、可实施性：切合本项目实际情况，提出步骤清晰、合理的方案。3、针对性：方案能够紧扣项目实际情况，内容科学合理，符合项目实际要求。 三、赋分标准（满分6分） ①设备性能稳定性、安全性、功能性、使用效果：每完全满足一个评审标准得1分，内容存在缺陷得0.5分，满分3分，未提供不得分； ②质量保证措施：每完全满足一个评审标准得1分，内容存在缺陷得0.5分，满分3分，未提供不得分；（缺陷是指：非专门针对本项目或不适用项目特性的情形、内容不完整或缺少关键节点、套用其他项目方案、内容前后矛盾、涉及的规范或标准错误、不利于项目实施、不可能实现的情形、只有标题没有实质性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 案</w:t>
            </w:r>
          </w:p>
        </w:tc>
        <w:tc>
          <w:tcPr>
            <w:tcW w:type="dxa" w:w="2492"/>
          </w:tcPr>
          <w:p>
            <w:pPr>
              <w:pStyle w:val="null3"/>
            </w:pPr>
            <w:r>
              <w:rPr>
                <w:rFonts w:ascii="仿宋_GB2312" w:hAnsi="仿宋_GB2312" w:cs="仿宋_GB2312" w:eastAsia="仿宋_GB2312"/>
              </w:rPr>
              <w:t>一评审内容：根据项目实际需求提供售后服务方案。内容包含： ①售后服务机构信息及售后服务电话②售后服务人员配置（至少包括姓名、联系电话）；③售后服务范围及售后服务承诺；④售后服务保障措施；⑤产品交付采购方后出现质量问题的响应时间与保障措施⑥备品、配件保障措施。 二、评审标准：1、完整性：方案必须全面，对评审内容中的各项要求有详细描述；2、可实施性：切合本项目实际情况，提出步骤清晰、合理的方案。3、针对性：方案能够紧扣项目实际情况，内容科学合理，符合项目实际要求。 三、赋分标准（满分9分） ①售后服务机构信息及售后服务电话：每完全满足一个评审标准得0.5分，内容存在缺陷得0.2分，满分1.5分，未提供不得分；②售后服务人员配置（至少包括姓名、联系电话）：每完全满足一个评审标准得0.5分，内容存在缺陷得0.2分，满分1.5分，未提供不得分；③售后服务范围及售后服务承诺：每完全满足一个评审标准得0.5分，内容存在缺陷得0.2分，满分1.5分，未提供不得分；④售后服务保障措施：每完全满足一个评审标准得0.5分，内容存在缺陷得0.2分，满分1.5分，未提供不得分。⑤产品交付采购方后出现质量问题的响应时间与保障措施：每完全满足一个评审标准得0.5分，内容存在缺陷得0.2分，满分1.5分，未提供不得分。⑥备品、配件保障措施：每完全满足一个评审标准得0.5分，内容存在缺陷得0.2分，满分1.5分，未提供不得分。（缺陷是指：非专门针对本项目或不适用项目特性的情形、内容不完整或缺少关键节点、套用其他项目方案、内容前后矛盾、涉及的规范或标准错误、不利于项目实施、不可能实现的情形、只有标题没有实质性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1、完整性：方案必须全面，对评审内容中的各项要求有详细描述；2、可实施性：切合本项目实际情况，提出步骤清晰、合理的方案。3、针对性：方案能够紧扣项目实际情况，内容科学合理，符合项目实际要求。 三、赋分依据（满分6分） ①培训内容及方式：每完全满足一个评审标准得1分，内容存在缺陷得0.5分，满分3分，未提供不得分。②培训计划安排：每完全满足一个评 审标准得1分，内容存在缺陷得0.5分，满分3分，未提供不得分。（缺陷是指：非专门针对本项目或不适用项目特性的情形、内容不完整或缺少关键节点、套用其他项目方案、内容前后矛盾、涉及的规范或标准错误、不利于项目实施、不可能实现的情形、只有标题没有实质性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提供供应商2022年1月1日至响应文件递交截止时间止类似项目业绩合同，每提供一个得2分，满分10分。 注:每份业绩需提供合同复印件或扫描件并加盖供应商公章，时间以合同签订时间为准。未提供或提供不全的不得分。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投标产品为节能产品或环境标志产品清单中的产品，并提供国家确定的认证机构出具的、处于有效期之内的节能产品、环境标志产品认证证书。每提供1个得0.5分，此项最多1分。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价格分采用低价优先法计算，即满足磋商文件要求且投标价格最低的投标报价为评标基准价，其价格分为满分。其他投标人的价格分统一按照下列公式计算：投标报价得分=（评标基准价/投标报价）×30% ×100（保留小数点后两位，小数点后第三位“四舍五入”）。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