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版本号：YJZFCG-202500320250616001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教师周转房装修项目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YJZFCG-2025003</w:t>
      </w:r>
      <w:r>
        <w:br/>
      </w:r>
      <w:r>
        <w:br/>
      </w:r>
      <w:r>
        <w:br/>
      </w:r>
    </w:p>
    <w:p>
      <w:pPr>
        <w:pStyle w:val="null3"/>
        <w:jc w:val="center"/>
        <w:outlineLvl w:val="2"/>
      </w:pPr>
      <w:r>
        <w:rPr>
          <w:rFonts w:ascii="仿宋_GB2312" w:hAnsi="仿宋_GB2312" w:cs="仿宋_GB2312" w:eastAsia="仿宋_GB2312"/>
          <w:sz w:val="28"/>
          <w:b/>
        </w:rPr>
        <w:t>宜君县教育体育局</w:t>
      </w:r>
    </w:p>
    <w:p>
      <w:pPr>
        <w:pStyle w:val="null3"/>
        <w:jc w:val="center"/>
        <w:outlineLvl w:val="2"/>
      </w:pPr>
      <w:r>
        <w:rPr>
          <w:rFonts w:ascii="仿宋_GB2312" w:hAnsi="仿宋_GB2312" w:cs="仿宋_GB2312" w:eastAsia="仿宋_GB2312"/>
          <w:sz w:val="28"/>
          <w:b/>
        </w:rPr>
        <w:t>宜君县国有资产管理所（宜君县政府采购中心）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宜君县国有资产管理所（宜君县政府采购中心）</w:t>
      </w:r>
      <w:r>
        <w:rPr>
          <w:rFonts w:ascii="仿宋_GB2312" w:hAnsi="仿宋_GB2312" w:cs="仿宋_GB2312" w:eastAsia="仿宋_GB2312"/>
        </w:rPr>
        <w:t>（以下简称“代理机构”）受</w:t>
      </w:r>
      <w:r>
        <w:rPr>
          <w:rFonts w:ascii="仿宋_GB2312" w:hAnsi="仿宋_GB2312" w:cs="仿宋_GB2312" w:eastAsia="仿宋_GB2312"/>
        </w:rPr>
        <w:t>宜君县教育体育局</w:t>
      </w:r>
      <w:r>
        <w:rPr>
          <w:rFonts w:ascii="仿宋_GB2312" w:hAnsi="仿宋_GB2312" w:cs="仿宋_GB2312" w:eastAsia="仿宋_GB2312"/>
        </w:rPr>
        <w:t>委托，拟对</w:t>
      </w:r>
      <w:r>
        <w:rPr>
          <w:rFonts w:ascii="仿宋_GB2312" w:hAnsi="仿宋_GB2312" w:cs="仿宋_GB2312" w:eastAsia="仿宋_GB2312"/>
        </w:rPr>
        <w:t>教师周转房装修项目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YJZFCG-2025003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教师周转房装修项目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教师周转房装修项目，1项，主要内容为简装教师周转房20套（具体内容详见磋商文件及工程量清单）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采购包1（教师周转房装修项目）：属于专门面向中小企业采购。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2、法定代表人身份证明或法定代表人授权委托书：法定代表人授权书（附法定代表人及被授权人身份证复印件）（如法定代表人直接投标只须提交法定代表人身份证明并附身份证复印件）；</w:t>
      </w:r>
    </w:p>
    <w:p>
      <w:pPr>
        <w:pStyle w:val="null3"/>
      </w:pPr>
      <w:r>
        <w:rPr>
          <w:rFonts w:ascii="仿宋_GB2312" w:hAnsi="仿宋_GB2312" w:cs="仿宋_GB2312" w:eastAsia="仿宋_GB2312"/>
        </w:rPr>
        <w:t>3、财务状况报告：提供2023或2024任一年度经审计的财务审计报告(2025年成立的公司提供成立后企业的资产负债表和利润表），或提供响应文件递交截止之日前近一年内基本存款账户开户银行开具的资信证明；</w:t>
      </w:r>
    </w:p>
    <w:p>
      <w:pPr>
        <w:pStyle w:val="null3"/>
      </w:pPr>
      <w:r>
        <w:rPr>
          <w:rFonts w:ascii="仿宋_GB2312" w:hAnsi="仿宋_GB2312" w:cs="仿宋_GB2312" w:eastAsia="仿宋_GB2312"/>
        </w:rPr>
        <w:t>4、税收缴纳证明：提供2024年06月01日至今任意一个月的缴纳税收的证明材料(依法免税的单位应提供相关证明材料)；</w:t>
      </w:r>
    </w:p>
    <w:p>
      <w:pPr>
        <w:pStyle w:val="null3"/>
      </w:pPr>
      <w:r>
        <w:rPr>
          <w:rFonts w:ascii="仿宋_GB2312" w:hAnsi="仿宋_GB2312" w:cs="仿宋_GB2312" w:eastAsia="仿宋_GB2312"/>
        </w:rPr>
        <w:t>5、社会保障资金缴纳证明：提供2024年06月01日至今任意一个月的依法缴纳社会保障资金的证明材料（依法不需要缴纳社会保障资金的单位应提供相关证明材料）；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6、信用查询：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7、履约能力：出具具备履行合同所必需的设备和专业技术能力的书面声明；</w:t>
      </w:r>
    </w:p>
    <w:p>
      <w:pPr>
        <w:pStyle w:val="null3"/>
      </w:pPr>
      <w:r>
        <w:rPr>
          <w:rFonts w:ascii="仿宋_GB2312" w:hAnsi="仿宋_GB2312" w:cs="仿宋_GB2312" w:eastAsia="仿宋_GB2312"/>
        </w:rPr>
        <w:t>8、无重大违法记录：参加政府采购活动前3年内，在经营活动中没有重大违法记录（提供书面声明函）</w:t>
      </w:r>
    </w:p>
    <w:p>
      <w:pPr>
        <w:pStyle w:val="null3"/>
      </w:pPr>
      <w:r>
        <w:rPr>
          <w:rFonts w:ascii="仿宋_GB2312" w:hAnsi="仿宋_GB2312" w:cs="仿宋_GB2312" w:eastAsia="仿宋_GB2312"/>
        </w:rPr>
        <w:t>9、企业关联关系：单位负责人为同一人或者存在直接控股、管理关系的不同供应商不得同时参加本项目磋商；</w:t>
      </w:r>
    </w:p>
    <w:p>
      <w:pPr>
        <w:pStyle w:val="null3"/>
      </w:pPr>
      <w:r>
        <w:rPr>
          <w:rFonts w:ascii="仿宋_GB2312" w:hAnsi="仿宋_GB2312" w:cs="仿宋_GB2312" w:eastAsia="仿宋_GB2312"/>
        </w:rPr>
        <w:t>10、企业资质：①具有建筑工程施工总承包二级及以上（含二级）资质，或建筑装修装饰工程专业承包二级及以上（含二级）资质；②并具有有效的安全生产许可证；</w:t>
      </w:r>
    </w:p>
    <w:p>
      <w:pPr>
        <w:pStyle w:val="null3"/>
      </w:pPr>
      <w:r>
        <w:rPr>
          <w:rFonts w:ascii="仿宋_GB2312" w:hAnsi="仿宋_GB2312" w:cs="仿宋_GB2312" w:eastAsia="仿宋_GB2312"/>
        </w:rPr>
        <w:t>11、拟派项目负责人资质和专业要求。：拟派项目经理需具备建筑工程专业二级及以上（含二级）注册建造师资格，具备有效的安全生产考核合格证（B证）， 本单位注册，且无其他在建工程（提供无在建承诺）。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宜君县宜阳北街37号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09195283595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宜君县国有资产管理所（宜君县政府采购中心）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陕西省铜川市宜君县宜君县兴宜路6号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刘岳琦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18691930558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刘亚莉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采购包1：1,206,603.94元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宜君县教育体育局</w:t>
      </w:r>
      <w:r>
        <w:rPr>
          <w:rFonts w:ascii="仿宋_GB2312" w:hAnsi="仿宋_GB2312" w:cs="仿宋_GB2312" w:eastAsia="仿宋_GB2312"/>
        </w:rPr>
        <w:t>和</w:t>
      </w:r>
      <w:r>
        <w:rPr>
          <w:rFonts w:ascii="仿宋_GB2312" w:hAnsi="仿宋_GB2312" w:cs="仿宋_GB2312" w:eastAsia="仿宋_GB2312"/>
        </w:rPr>
        <w:t>宜君县国有资产管理所（宜君县政府采购中心）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宜君县国有资产管理所（宜君县政府采购中心）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宜君县国有资产管理所（宜君县政府采购中心）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验收组织方式： 自行验收；2） 是否邀请本项目的其他供应商： 否；3） 是否邀请专家： 否；4） 是否邀请服务对象： 是；5） 是否邀请第三方检测机构： 否；6） 履约验收程序： 一次性验收；7） 履约验收时间： 供应商提出验收申请之日起7日内组织验收；8）验收标准：质量必须达到国家及行业现行技术规范标准，符合国家及行业施工验收规范合格标准，并满足采购人要求。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宜君县国有资产管理所（宜君县政府采购中心）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宜君县国有资产管理所（宜君县政府采购中心）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宜君县国有资产管理所（宜君县政府采购中心）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联系人：刘岳琦</w:t>
      </w:r>
    </w:p>
    <w:p>
      <w:pPr>
        <w:pStyle w:val="null3"/>
      </w:pPr>
      <w:r>
        <w:rPr>
          <w:rFonts w:ascii="仿宋_GB2312" w:hAnsi="仿宋_GB2312" w:cs="仿宋_GB2312" w:eastAsia="仿宋_GB2312"/>
        </w:rPr>
        <w:t>联系电话：18691930558</w:t>
      </w:r>
    </w:p>
    <w:p>
      <w:pPr>
        <w:pStyle w:val="null3"/>
      </w:pPr>
      <w:r>
        <w:rPr>
          <w:rFonts w:ascii="仿宋_GB2312" w:hAnsi="仿宋_GB2312" w:cs="仿宋_GB2312" w:eastAsia="仿宋_GB2312"/>
        </w:rPr>
        <w:t>地址：陕西省铜川市宜君县宜君县兴宜路6号</w:t>
      </w:r>
    </w:p>
    <w:p>
      <w:pPr>
        <w:pStyle w:val="null3"/>
      </w:pPr>
      <w:r>
        <w:rPr>
          <w:rFonts w:ascii="仿宋_GB2312" w:hAnsi="仿宋_GB2312" w:cs="仿宋_GB2312" w:eastAsia="仿宋_GB2312"/>
        </w:rPr>
        <w:t>邮编：727200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1,206,603.94</w:t>
      </w:r>
    </w:p>
    <w:p>
      <w:pPr>
        <w:pStyle w:val="null3"/>
      </w:pPr>
      <w:r>
        <w:rPr>
          <w:rFonts w:ascii="仿宋_GB2312" w:hAnsi="仿宋_GB2312" w:cs="仿宋_GB2312" w:eastAsia="仿宋_GB2312"/>
        </w:rPr>
        <w:t>采购包最高限价（元）: 1,206,603.94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教师周转房装修项目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1,206,603.94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标的名称：教师周转房装修项目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一、项目概况：教师周转房装修项目，1项，主要内容为简装教师周转房20套（具体内容详见磋商文件及工程量清单）</w:t>
            </w:r>
          </w:p>
          <w:p>
            <w:pPr>
              <w:pStyle w:val="null3"/>
            </w:pPr>
            <w:r>
              <w:rPr>
                <w:rFonts w:ascii="仿宋_GB2312" w:hAnsi="仿宋_GB2312" w:cs="仿宋_GB2312" w:eastAsia="仿宋_GB2312"/>
              </w:rPr>
              <w:t>二、工期60日历天；</w:t>
            </w:r>
          </w:p>
          <w:p>
            <w:pPr>
              <w:pStyle w:val="null3"/>
            </w:pPr>
            <w:r>
              <w:rPr>
                <w:rFonts w:ascii="仿宋_GB2312" w:hAnsi="仿宋_GB2312" w:cs="仿宋_GB2312" w:eastAsia="仿宋_GB2312"/>
              </w:rPr>
              <w:t>三、合同履约地点： 宜君县（具体地点按采购人指定）；</w:t>
            </w:r>
          </w:p>
          <w:p>
            <w:pPr>
              <w:pStyle w:val="null3"/>
            </w:pPr>
            <w:r>
              <w:rPr>
                <w:rFonts w:ascii="仿宋_GB2312" w:hAnsi="仿宋_GB2312" w:cs="仿宋_GB2312" w:eastAsia="仿宋_GB2312"/>
                <w:sz w:val="22"/>
              </w:rPr>
              <w:t>四、具体工程内容详见工程量清单（附件）。</w:t>
            </w:r>
          </w:p>
          <w:p>
            <w:pPr>
              <w:pStyle w:val="null3"/>
            </w:pPr>
            <w:r>
              <w:rPr>
                <w:rFonts w:ascii="仿宋_GB2312" w:hAnsi="仿宋_GB2312" w:cs="仿宋_GB2312" w:eastAsia="仿宋_GB2312"/>
                <w:sz w:val="20"/>
              </w:rPr>
              <w:t>五、其他说明：</w:t>
            </w:r>
          </w:p>
          <w:p>
            <w:pPr>
              <w:pStyle w:val="null3"/>
            </w:pPr>
            <w:r>
              <w:rPr>
                <w:rFonts w:ascii="仿宋_GB2312" w:hAnsi="仿宋_GB2312" w:cs="仿宋_GB2312" w:eastAsia="仿宋_GB2312"/>
                <w:sz w:val="20"/>
              </w:rPr>
              <w:t>1、户型B3（9套）材料上楼倒运费暂估价8100元；</w:t>
            </w:r>
          </w:p>
          <w:p>
            <w:pPr>
              <w:pStyle w:val="null3"/>
            </w:pPr>
            <w:r>
              <w:rPr>
                <w:rFonts w:ascii="仿宋_GB2312" w:hAnsi="仿宋_GB2312" w:cs="仿宋_GB2312" w:eastAsia="仿宋_GB2312"/>
                <w:sz w:val="20"/>
              </w:rPr>
              <w:t>2、户型B4（7套）材料上楼倒运费暂估价6300元；</w:t>
            </w:r>
          </w:p>
          <w:p>
            <w:pPr>
              <w:pStyle w:val="null3"/>
            </w:pPr>
            <w:r>
              <w:rPr>
                <w:rFonts w:ascii="仿宋_GB2312" w:hAnsi="仿宋_GB2312" w:cs="仿宋_GB2312" w:eastAsia="仿宋_GB2312"/>
                <w:sz w:val="20"/>
              </w:rPr>
              <w:t>3、户型C2（4套）材料上楼倒运费暂估价3600元。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241"/>
            </w:pPr>
            <w:r>
              <w:rPr>
                <w:rFonts w:ascii="仿宋_GB2312" w:hAnsi="仿宋_GB2312" w:cs="仿宋_GB2312" w:eastAsia="仿宋_GB2312"/>
                <w:sz w:val="24"/>
                <w:b/>
                <w:color w:val="000000"/>
              </w:rPr>
              <w:t>技术标准和要求</w:t>
            </w:r>
          </w:p>
          <w:p>
            <w:pPr>
              <w:pStyle w:val="null3"/>
              <w:ind w:firstLine="240"/>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本工程的施工过程和成果必须符合国家有关工程建设标准强制性条文和国家或有关部门关于工程施工方面现行的标准、规范、规程、定额、办法、示例，以及陕西省关于工程施工方面的文件、规定。</w:t>
            </w:r>
          </w:p>
          <w:p>
            <w:pPr>
              <w:pStyle w:val="null3"/>
              <w:ind w:firstLine="24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供应商在施工过程中使用或参考上述标准、规范以外的技术标准、规范时，应征得采购人的同意。</w:t>
            </w:r>
          </w:p>
          <w:p>
            <w:pPr>
              <w:pStyle w:val="null3"/>
              <w:ind w:firstLine="24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在施工过程中，如果国家或有关部门颁布了新的技术标准或规范，则承包人应采用新的标准或规范进行施工。</w:t>
            </w:r>
          </w:p>
          <w:p>
            <w:pPr>
              <w:pStyle w:val="null3"/>
              <w:ind w:firstLine="24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供应商应先充分了解工地位置、地质情况、进出场道路、拆迁干扰、储存空间、运输能力、装卸限制、行车干扰及任何其它足以影响承包价格的情况，了解设计施工规范、标准以及施工现场实际等情况，并应考虑现有人、材、机市场水平和供应、投标风险、不利的施工因素等，任何因忽视或误解工地情况而导致的索赔或工期延长申请将不获批准。</w:t>
            </w:r>
          </w:p>
          <w:p>
            <w:pPr>
              <w:pStyle w:val="null3"/>
              <w:ind w:firstLine="24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供应商所提供的材料如需向第三方外购时，供应商应对质量负责，并提供相应的出厂和验收证明及相关技术文件。同时，还应满足本磋商文件、工程量清单、施工图纸中的相关技术要求。</w:t>
            </w:r>
          </w:p>
          <w:p>
            <w:pPr>
              <w:pStyle w:val="null3"/>
              <w:ind w:firstLine="24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质量必须达到国家及行业现行技术规范标准，符合国家及行业施工验收规范合格标准，并满足采购人要求。以及竞争性磋商文件规定的强制性质量和安全标准要求。</w:t>
            </w:r>
          </w:p>
          <w:p>
            <w:pPr>
              <w:pStyle w:val="null3"/>
              <w:ind w:firstLine="24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供应商成交后，磋商响应文件中拟派项目经理必须与施工时实际委派项目经理一致，采购人将在签署施工合同前查验项目经理相关资质、身份材料以及成交供应商为项目经理缴纳社保的缴费凭据。项目经理必须履职尽责，全程参与施工、例会、解决施工中的问题，严禁挂名挂证。</w:t>
            </w:r>
          </w:p>
          <w:p>
            <w:pPr>
              <w:pStyle w:val="null3"/>
              <w:ind w:firstLine="24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本项目如涉及与政府部门（包含且不限于）环保、城管、规划等沟通协调或办理手续，费用及手续办理均由承包人负责，如因沟通协调及办理手续原因造成工期延误或费用增加等由承包人负责。</w:t>
            </w:r>
          </w:p>
          <w:p>
            <w:pPr>
              <w:pStyle w:val="null3"/>
              <w:ind w:firstLine="24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施工过程中，供应商应制定详细可行的防污降噪处理措施，减少对周围环境的影响，每天施工结束后对施工现场进行清扫。</w:t>
            </w:r>
          </w:p>
          <w:p>
            <w:pPr>
              <w:pStyle w:val="null3"/>
              <w:ind w:firstLine="24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承包人不得将其承包的工程转包给他人，也不得将其承包的工程以分包的名义转包给他人。</w:t>
            </w:r>
          </w:p>
          <w:p>
            <w:pPr>
              <w:pStyle w:val="null3"/>
              <w:ind w:firstLine="241"/>
              <w:jc w:val="left"/>
            </w:pPr>
            <w:r>
              <w:rPr>
                <w:rFonts w:ascii="仿宋_GB2312" w:hAnsi="仿宋_GB2312" w:cs="仿宋_GB2312" w:eastAsia="仿宋_GB2312"/>
                <w:sz w:val="24"/>
                <w:b/>
                <w:color w:val="000000"/>
              </w:rPr>
              <w:t>二、本工程合同形式为固定综合单价合同。</w:t>
            </w:r>
          </w:p>
          <w:p>
            <w:pPr>
              <w:pStyle w:val="null3"/>
              <w:ind w:firstLine="24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本工程计价采用固定综合单价，各供应商依据企业自身情况自主报价、风险自负。所有投标报价中的单价和合价均以人民币表示。</w:t>
            </w:r>
          </w:p>
          <w:p>
            <w:pPr>
              <w:pStyle w:val="null3"/>
              <w:ind w:firstLine="24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各供应商对分部分项工程费、措施项目费、其他项目费等进行自主报价、风险自负。</w:t>
            </w:r>
          </w:p>
          <w:p>
            <w:pPr>
              <w:pStyle w:val="null3"/>
              <w:ind w:firstLine="24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招标工程量清单的工程项目仅表达了主要工程做法，报价时各投标单位应依据图纸、相关图集，结合磋商文件、合同条款、技术规范及现场情况进行科学合理组价。投标报价应包括该工程项目的人工费、材料费、机械费、措施费、管理费、利润、风险费及规费、税金等政策性文件规定的所有费用，所投标的综合单价采购人视为是相应清单项在招标范围内的全部内容价格。</w:t>
            </w:r>
          </w:p>
          <w:p>
            <w:pPr>
              <w:pStyle w:val="null3"/>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4.</w:t>
            </w:r>
            <w:r>
              <w:rPr>
                <w:rFonts w:ascii="仿宋_GB2312" w:hAnsi="仿宋_GB2312" w:cs="仿宋_GB2312" w:eastAsia="仿宋_GB2312"/>
                <w:sz w:val="24"/>
                <w:color w:val="000000"/>
              </w:rPr>
              <w:t>供应商在投标截止前修改投标函中的投标总报价，应同时修改“已标价工程量清单”中的相应报价。</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5"/>
              <w:jc w:val="both"/>
            </w:pPr>
            <w:r>
              <w:rPr>
                <w:rFonts w:ascii="仿宋_GB2312" w:hAnsi="仿宋_GB2312" w:cs="仿宋_GB2312" w:eastAsia="仿宋_GB2312"/>
                <w:sz w:val="24"/>
              </w:rPr>
              <w:t>施工要求：</w:t>
            </w:r>
          </w:p>
          <w:p>
            <w:pPr>
              <w:pStyle w:val="null3"/>
              <w:ind w:firstLine="425"/>
              <w:jc w:val="both"/>
            </w:pPr>
            <w:r>
              <w:rPr>
                <w:rFonts w:ascii="仿宋_GB2312" w:hAnsi="仿宋_GB2312" w:cs="仿宋_GB2312" w:eastAsia="仿宋_GB2312"/>
                <w:sz w:val="24"/>
              </w:rPr>
              <w:t>1</w:t>
            </w:r>
            <w:r>
              <w:rPr>
                <w:rFonts w:ascii="仿宋_GB2312" w:hAnsi="仿宋_GB2312" w:cs="仿宋_GB2312" w:eastAsia="仿宋_GB2312"/>
                <w:sz w:val="24"/>
              </w:rPr>
              <w:t>、成交人在施工期间应严格遵守国家、省、市有关防火、爆破和施工安全以及文明施工、深夜施工、环卫和城管等规定，建立规章制度和防护措施</w:t>
            </w:r>
            <w:r>
              <w:rPr>
                <w:rFonts w:ascii="仿宋_GB2312" w:hAnsi="仿宋_GB2312" w:cs="仿宋_GB2312" w:eastAsia="仿宋_GB2312"/>
                <w:sz w:val="24"/>
              </w:rPr>
              <w:t xml:space="preserve">, </w:t>
            </w:r>
            <w:r>
              <w:rPr>
                <w:rFonts w:ascii="仿宋_GB2312" w:hAnsi="仿宋_GB2312" w:cs="仿宋_GB2312" w:eastAsia="仿宋_GB2312"/>
                <w:sz w:val="24"/>
              </w:rPr>
              <w:t>应按安全施工的要求，采取严格科学的安全措施，确保施工安全和第三者的安全，确保工程质量和生产安全。否则，由此造成的经济和法律责任均由成交人负责。</w:t>
            </w:r>
          </w:p>
          <w:p>
            <w:pPr>
              <w:pStyle w:val="null3"/>
              <w:ind w:firstLine="425"/>
              <w:jc w:val="both"/>
            </w:pPr>
            <w:r>
              <w:rPr>
                <w:rFonts w:ascii="仿宋_GB2312" w:hAnsi="仿宋_GB2312" w:cs="仿宋_GB2312" w:eastAsia="仿宋_GB2312"/>
                <w:sz w:val="24"/>
              </w:rPr>
              <w:t>2</w:t>
            </w:r>
            <w:r>
              <w:rPr>
                <w:rFonts w:ascii="仿宋_GB2312" w:hAnsi="仿宋_GB2312" w:cs="仿宋_GB2312" w:eastAsia="仿宋_GB2312"/>
                <w:sz w:val="24"/>
              </w:rPr>
              <w:t>、成交人应配合项目建设进度</w:t>
            </w:r>
            <w:r>
              <w:rPr>
                <w:rFonts w:ascii="仿宋_GB2312" w:hAnsi="仿宋_GB2312" w:cs="仿宋_GB2312" w:eastAsia="仿宋_GB2312"/>
                <w:sz w:val="24"/>
              </w:rPr>
              <w:t>,</w:t>
            </w:r>
            <w:r>
              <w:rPr>
                <w:rFonts w:ascii="仿宋_GB2312" w:hAnsi="仿宋_GB2312" w:cs="仿宋_GB2312" w:eastAsia="仿宋_GB2312"/>
                <w:sz w:val="24"/>
              </w:rPr>
              <w:t>向采购人提供施工组织计划、进度计划和施工作业计划，并签订施工安全责任书。</w:t>
            </w:r>
          </w:p>
          <w:p>
            <w:pPr>
              <w:pStyle w:val="null3"/>
            </w:pPr>
            <w:r>
              <w:rPr>
                <w:rFonts w:ascii="仿宋_GB2312" w:hAnsi="仿宋_GB2312" w:cs="仿宋_GB2312" w:eastAsia="仿宋_GB2312"/>
                <w:sz w:val="24"/>
              </w:rPr>
              <w:t xml:space="preserve">  3</w:t>
            </w:r>
            <w:r>
              <w:rPr>
                <w:rFonts w:ascii="仿宋_GB2312" w:hAnsi="仿宋_GB2312" w:cs="仿宋_GB2312" w:eastAsia="仿宋_GB2312"/>
                <w:sz w:val="24"/>
              </w:rPr>
              <w:t>、在施工期间，原有生态环境尽量不破坏，确需破坏的，要严格制定措施，尽量少破坏。</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（一） 验收标准： 质量必须达到国家及行业现行技术规范标准， 符合国家及行业施工验收规范合格标准， 并满足采购人要求。 （二） 验收方法：（1）在竣工后， 成交供应商应向采购人提交工程竣工报告， 申请工程竣工验收， 并将施工过程中相关资料提交采购人。（2）采购人收到工程竣工报告后， 对符合竣工验收要求的工程， 组织相关 单位组成验收组共同验收， 签署工程竣工验收意见。（3） 验收合格后， 采购人出具《工程竣工验收报告》 ， 并在相关主管部 门备案。 （4） 验收不合格的中标单位， 必须在接到通知后7个日历日内确保工程通过验收。 如接到通知后 7个日历日内验收仍不合格， 采购人可提出索赔或取消其施工合同。 （三） 验收依据： （1） 合同文本及合同补充文件（条款） 。 （2） 磋商文件。 （3） 响应文件。 （4） 工程量清单。 （5） 施工质量验收标准。 （四）其他详见本章3.1技术、服务标准和要求。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一、质量保修期： 屋面防水工程、有防水要求的卫生间、 房间和外墙面的防渗为5年； 装修工程为2年；电气管线、 给排水管道、 设备安装工程为2 年； 供热与供冷系统为2个采暖期、 供冷期。 质量保修期自工程竣工验收合格之日起计算。 若供应商承诺质保期限超过磋商文件要求， 按其承诺执行。保修范围：承包人在质量保修期内，按照有关法律规定和合同约定， 承担工程质量保修责任。缺陷责任期2年。 二、合同支付约定： 1、 付款条件说明：合同签订后 ，达到付款条件起 15 日内，支付合同总金额的 40.00%。 2、 付款条件说明：项目所有内容完成 ，达到付款条件起 15 日内，支付合同总金额的 45.00%。 3、 付款条件说明：项目竣工验收合格并审计完成 ，达到付款条件起 15 日内，支付合同总金额的 15.00%。</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响应文件，同时，线下提交纸质响应文件正本壹份、副本贰份、电子版贰套（纸质文件书脊处写明项目名称，正本、副本分开密封，U盘贰套随正本密封，封套须标明投标人名称、项目名称等）。若电子化交易平台文件与纸质响应文件不一致的，以电子化交易平台文件为准。线下递交文件截止时间：同响应文件递交截止时间；线下递交文件地点：铜川市王益区红旗街正大国际新城C座502室。2.本项目专门面向中小企业，投标供应商应为满足要求的中型、小型或微型企业或监狱企业或残疾人福利性单位。中小微企业参加政府采购活动，应当出具《政府采购促进中小企业发展管理办法》（财库【2020】46号）规定的《中小企业声明函》，否则不得享受相关中小企业扶持政策。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不享受相关中小企业扶持政策。《财政部、民政部、中国残疾人联合会关于促进残疾人就业政府采购政策的通知》（财库〔2017〕141号）规定，在政府采购活动中，残疾人福利性单位视同小型、微型企业，享受预留份额、评审中价格扣除等促进中小企业发展的政府采购政策。残疾人福利性单位属于小型、微型企业的，不重复享受政策。符合条件的残疾人福利性单位在参加政府采购活动时，应当提供《财政部 民政部 中国残疾人联合会关于促进残疾人就业政府采购政策的通知》规定的《残疾人福利性单位声明函》，并对声明的真实性负责，未提供的不视为残疾人福利性单位，不视为小微企业，不享受相关中小企业扶持政策。各供应商应按实际情况慎重正确填写，对相关声明函的真实性负责，如有虚假需承担相关法律责任。3.其他落实的政府采购政策:（1）《政府采购促进中小企业发展管理办法》（财库〔2020〕46号）；（2）财政部 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陕西省财政厅等三部门转发财政部、住房城乡建设部、工业和信息化部关于扩大政府采购绿色建材促进建筑品质提升政策实施范围的通知（陕财办采〔2022〕10号）；(13)其他需要落实的政府采购政策。 (如有最新颁布的政府采购政策，按最新的文件执行。如享受相关政策，需提供相关证明材料）。4.企业规模划分标准按《工业和信息化部、国家统计局、国家发展和改革委员会、财政部关于印发&lt;中小企业划型标准规定&gt;的通知》（工信部联企业【2011】300 号）文件规定标准确认）。本项目所属行业为建筑业，供应商应根据工信部联企业【2011】 300 号文件中的划型标准按实际填写所属类型。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2023或2024任一年度经审计的财务审计报告(2025年成立的公司提供成立后企业的资产负债表和利润表），或提供响应文件递交截止之日前近一年内基本存款账户开户银行开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法定代表人授权书（附法定代表人及被授权人身份证复印件）（如法定代表人直接投标只须提交法定代表人身份证明并附身份证复印件）；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提供2023或2024任一年度经审计的财务审计报告(2025年成立的公司提供成立后企业的资产负债表和利润表），或提供响应文件递交截止之日前近一年内基本存款账户开户银行开具的资信证明；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提供2024年06月01日至今任意一个月的缴纳税收的证明材料(依法免税的单位应提供相关证明材料)；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提供2024年06月01日至今任意一个月的依法缴纳社会保障资金的证明材料（依法不需要缴纳社会保障资金的单位应提供相关证明材料）；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①具有建筑工程施工总承包二级及以上（含二级）资质，或建筑装修装饰工程专业承包二级及以上（含二级）资质；②并具有有效的安全生产许可证；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拟派项目经理需具备建筑工程专业二级及以上（含二级）注册建造师资格，具备有效的安全生产考核合格证（B证）， 本单位注册，且无其他在建工程（提供无在建承诺）。</w:t>
            </w:r>
          </w:p>
        </w:tc>
        <w:tc>
          <w:tcPr>
            <w:tcW w:type="dxa" w:w="1661"/>
          </w:tcPr>
          <w:p>
            <w:pPr>
              <w:pStyle w:val="null3"/>
            </w:pPr>
            <w:r>
              <w:rPr>
                <w:rFonts w:ascii="仿宋_GB2312" w:hAnsi="仿宋_GB2312" w:cs="仿宋_GB2312" w:eastAsia="仿宋_GB2312"/>
              </w:rPr>
              <w:t>项目管理机构组成表 供应商资格证明文件.docx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响应性评审</w:t>
            </w:r>
          </w:p>
        </w:tc>
        <w:tc>
          <w:tcPr>
            <w:tcW w:type="dxa" w:w="3322"/>
          </w:tcPr>
          <w:p>
            <w:pPr>
              <w:pStyle w:val="null3"/>
            </w:pPr>
            <w:r>
              <w:rPr>
                <w:rFonts w:ascii="仿宋_GB2312" w:hAnsi="仿宋_GB2312" w:cs="仿宋_GB2312" w:eastAsia="仿宋_GB2312"/>
              </w:rPr>
              <w:t>（1） 响应文件的签署及格式：磋商文件要求必须响应的 内容齐全，有格式要求的应符合格式要求；要求签字或盖章的，按文件规定签字或盖章齐全；（2）报价唯一：只能有一个有效报价，不得提交选择性报价，且报价不超过采购预算和最高限价。（3） 磋商文件响应的响应程度：要求全面响应，不能有任何采购人不能接受的附加条件；（4）拟提供的服务要求：应满足磋商文件提出的技术和服务要求。（5）磋商有效期：应满足磋商文件中的规定；（6）工期和工程质量：应满足磋商文件中的规定.</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拒绝商业贿赂承诺书.docx 强制优先采购产品承诺函 响应文件封面 项目管理机构组成表 拟投主本项目的主要施工设备表.docx 残疾人福利性单位声明函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二、评审内容及赋分标准（总分9分）： 第①条：针对项目实际情况编制施工方案，包括但不限于施工准备、测量、放线、施工步骤及方法等。每完全满足一项评审标准得3分，本条共9分，不提供不得分。 第①条评审内容存在缺陷的，扣0.1-9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二、评审内容及赋分标准（总分9分）： 第①条：确保工程质量的技术组织措施包括但不限于针对本项目特点制定切实可行的质量控制目标、保证措施等。每完全满足一项评审标准得3分，本条共9分，不提供不得分。 第①条评审内容存在缺陷的，扣0.1-9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二、评审内容及赋分标准（总分9分）： 第①条：具有健全的安全保证体系，结合工程特点分析安全隐患。给出有针对性的安全生产保证措施）。每完全满足一项评审标准得3分，本条共9分，不提供不得分。 第①条评审内容存在缺陷的，扣0.1-9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确保工期的组织措施</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二、评审内容及赋分标准（总分9分）： 第①条：确保工期的组织措施（包括但不限于具有详细的施工进度安排、进度控制及保证措施，能够有效合理安排工作进度，保证在采购人要求的时间内保质保量完成相应任务)。每完全满足一项评审标准得3分，本条共9分，不提供不得分。 第①条评审内容存在缺陷的，扣0.1-9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二、评审内容及赋分标准（总分6分）： 第①条：确保文明施工的技术组织措施。每完全满足一项评审标准得1分，本条共3分，不提供不得分。 第②条：环保施工、防尘降噪等环境保护措施。每完全满足一项评审标准得1分，本条共3分，不提供不得分。 以上第①-②条评审内容每项存在缺陷的，扣0.1-3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人员配置及劳动力安排计划</w:t>
            </w:r>
          </w:p>
        </w:tc>
        <w:tc>
          <w:tcPr>
            <w:tcW w:type="dxa" w:w="2492"/>
          </w:tcPr>
          <w:p>
            <w:pPr>
              <w:pStyle w:val="null3"/>
            </w:pPr>
            <w:r>
              <w:rPr>
                <w:rFonts w:ascii="仿宋_GB2312" w:hAnsi="仿宋_GB2312" w:cs="仿宋_GB2312" w:eastAsia="仿宋_GB2312"/>
              </w:rPr>
              <w:t>根据供应商针对本项目拟投入劳动力的安排，工种、数量、劳动力水平配置合理，岗位职责、制度合理明确，满足项目需求。 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二、评审内容及赋分标准（总分6分）： 第①条：拟投入本项目的劳动力工种、数量、劳动力水平配置合理。每完全满足一项评审标准得1分，本条共3分，不提供不得分。 第②条：岗位职责、管理制度合理明确。每完全满足一项评审标准得1分，本条共3分，不提供不得分。 以上第①-②条评审内容每项存在缺陷的，扣0.1-3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w:t>
            </w:r>
          </w:p>
        </w:tc>
        <w:tc>
          <w:tcPr>
            <w:tcW w:type="dxa" w:w="2492"/>
          </w:tcPr>
          <w:p>
            <w:pPr>
              <w:pStyle w:val="null3"/>
            </w:pPr>
            <w:r>
              <w:rPr>
                <w:rFonts w:ascii="仿宋_GB2312" w:hAnsi="仿宋_GB2312" w:cs="仿宋_GB2312" w:eastAsia="仿宋_GB2312"/>
              </w:rPr>
              <w:t>1.拟派项目经理具有中级或中级以上职称的得1分（以职称证复印件或扫描件加盖公章为准），项目经理担任过其他类似项目项目经理的得1分（以加盖公章的合同复印件或扫描件为准，合同需体现项目经理姓名，如合同中未体现需附体现其姓名的中标通知书或官网公告截图等。否则不予认可。） 2.技术负责人具有中级或中级以上职称的得1分（以职称证复印件或扫描件加盖公章为准）。 3.项目部人员组成合理，包括安全员、质量员、施工员、材料员、资料员，并具有有效的岗位证书的得5分，每少一个人或者有一个人不具有有效的岗位证书扣1分，扣完为止。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拟投入的机械设备、工具</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二、评审内容及赋分标准（总分6分）： 第①条：供应商拟投入的设备、工具，种类、数量齐全、充足，配置方案合理，满足项目需求。每完全满足一项评审标准得2分，本条共6分，不提供不得分。 第①条评审内容每项存在缺陷的，扣0.1-6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拟投主本项目的主要施工设备表.docx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完全承诺磋商文件和合同条款，并针对本项目实际需求提供实质性承诺及合理化建议。服务承诺详细全面、措施及建议合理可行。 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二、评审内容及赋分标准（总分6分）： 第①条：服务承诺有利于采购人获得更好服务。每完全满足一项评审标准得1分，本条共3分，不提供不得分。 第②条：针对项目出重点难点分析及合理化建议。每完全满足一项评审标准得1分，本条共3分，不提供不得分。 以上第①-②条评审内容每项存在缺陷的，扣0.1-3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供应商具有2022年6月1日至今已完成的类似项目业绩（时间以合同签订日期为准），提供合同及竣工验收报告（或完工证明）的复印件或扫描件加盖投标单位公章。每提供1份得1分，不提供不得分，此项最多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评标基准价，其价格分为满分。其他供应商的价格分统一按照下列公式计算：报价得分=（评标基准价/最后磋商报价）×价格权值（即30%）×100（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详见附件：拟投主本项目的主要施工设备表.docx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