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版本号：SXHN-XH2025-00920250619001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宜君县高铁片区二级客运站项目施工设计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SXHN-XH2025-009</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陕西汇宁建设项目管理有限公司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陕西汇宁建设项目管理有限公司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宜君县高铁片区二级客运站项目施工设计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SXHN-XH2025-009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宜君县高铁片区二级客运站项目施工设计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项目位于宜君县高铁片区，总占地面积9091.13平米，新建客运站框架结构综合楼一栋建筑面积2692.46 平方米、门房 7.5 平米、长廊 132.48 平方米、客车发车位6170.28平方米、客车停车位4个、公交停车位3个、公交乘车位 20个、充电桩及配套设施20套、绿地面积1372.16平方米、清洗车位15个及锚索8528米、混凝土灌装柱82根、移动土方21582立方米等护坡和支护工程设施。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采购包1（宜君县高铁片区二级客运站项目施工设计）：属于专门面向中小企业采购。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3、企业资质：供应商需具备建设行政主管部门颁发的工程设计综合资质甲级资质或建筑行业工程设计乙级及以上资质或建筑行业（建筑工程）专业设计乙级及以上资质；</w:t>
      </w:r>
    </w:p>
    <w:p>
      <w:pPr>
        <w:pStyle w:val="null3"/>
      </w:pPr>
      <w:r>
        <w:rPr>
          <w:rFonts w:ascii="仿宋_GB2312" w:hAnsi="仿宋_GB2312" w:cs="仿宋_GB2312" w:eastAsia="仿宋_GB2312"/>
        </w:rPr>
        <w:t>4、项目负责人资格：供应商拟项目负责人须具备二级及以上注册建筑师执业资格或二级及以上注册结构工程师资格，且在本单位注册；</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pPr>
        <w:pStyle w:val="null3"/>
      </w:pPr>
      <w:r>
        <w:rPr>
          <w:rFonts w:ascii="仿宋_GB2312" w:hAnsi="仿宋_GB2312" w:cs="仿宋_GB2312" w:eastAsia="仿宋_GB2312"/>
        </w:rPr>
        <w:t>6、供应商关联关系声明：单位负责人为同一人或者存在控股、管理关系的不同单位，不得参加同一合同包下的政府采购活动；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7、中小企业采购情况：本项目为专门面向中小企业采购</w:t>
      </w:r>
    </w:p>
    <w:p>
      <w:pPr>
        <w:pStyle w:val="null3"/>
      </w:pPr>
      <w:r>
        <w:rPr>
          <w:rFonts w:ascii="仿宋_GB2312" w:hAnsi="仿宋_GB2312" w:cs="仿宋_GB2312" w:eastAsia="仿宋_GB2312"/>
        </w:rPr>
        <w:t>8、非联合体声明：本次磋商不接受联合体磋商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13992987918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陕西汇宁建设项目管理有限公司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陕西省西安市雁塔区含光南路216号嘉祥大厦1号楼1802室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王永攀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029-88222381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国家计价格【2002】1980号文件《招标代理服务收费管理暂行办法》、国家发展和改革委员会办公厅颁发的《关于招标代理服务费收费有关问题的通知》、《调整后的招标代理服务收费标准》（发改价格【2011】534号）文件规定标准向成交人计取代理服务费。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陕西汇宁建设项目管理有限公司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陕西汇宁建设项目管理有限公司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陕西汇宁建设项目管理有限公司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联系人：王永攀</w:t>
      </w:r>
    </w:p>
    <w:p>
      <w:pPr>
        <w:pStyle w:val="null3"/>
      </w:pPr>
      <w:r>
        <w:rPr>
          <w:rFonts w:ascii="仿宋_GB2312" w:hAnsi="仿宋_GB2312" w:cs="仿宋_GB2312" w:eastAsia="仿宋_GB2312"/>
        </w:rPr>
        <w:t>联系电话：029-88222381</w:t>
      </w:r>
    </w:p>
    <w:p>
      <w:pPr>
        <w:pStyle w:val="null3"/>
      </w:pPr>
      <w:r>
        <w:rPr>
          <w:rFonts w:ascii="仿宋_GB2312" w:hAnsi="仿宋_GB2312" w:cs="仿宋_GB2312" w:eastAsia="仿宋_GB2312"/>
        </w:rPr>
        <w:t>地址：陕西省西安市雁塔区含光南路216号嘉翔大厦1号楼1802室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项目位于宜君县高铁片区，总占地面积9091.13平米，新建客运站框架结构综合楼一栋建筑面积2692.46 平方米、门房 7.5 平米、长廊 132.48 平方米、客车发车位6170.28平方米、客车停车位4个、公交停车位3个、公交乘车位 20个、充电桩及配套设施20套、绿地面积1372.16平方米、清洗车位15个及锚索8528米、混凝土灌装柱82根、移动土方21582立方米等护坡和支护工程设施。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二级客运站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标的名称：二级客运站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1、项目名称：</w:t>
            </w:r>
            <w:r>
              <w:rPr>
                <w:rFonts w:ascii="仿宋_GB2312" w:hAnsi="仿宋_GB2312" w:cs="仿宋_GB2312" w:eastAsia="仿宋_GB2312"/>
                <w:sz w:val="20"/>
              </w:rPr>
              <w:t>宜君县高铁片区二级客运站项目设计</w:t>
            </w:r>
          </w:p>
          <w:p>
            <w:pPr>
              <w:pStyle w:val="null3"/>
              <w:jc w:val="left"/>
            </w:pPr>
            <w:r>
              <w:rPr>
                <w:rFonts w:ascii="仿宋_GB2312" w:hAnsi="仿宋_GB2312" w:cs="仿宋_GB2312" w:eastAsia="仿宋_GB2312"/>
                <w:sz w:val="20"/>
              </w:rPr>
              <w:t>2、采购内容：</w:t>
            </w:r>
            <w:r>
              <w:rPr>
                <w:rFonts w:ascii="仿宋_GB2312" w:hAnsi="仿宋_GB2312" w:cs="仿宋_GB2312" w:eastAsia="仿宋_GB2312"/>
                <w:sz w:val="20"/>
              </w:rPr>
              <w:t>项目位于宜君县高铁片区，总占地面积</w:t>
            </w:r>
            <w:r>
              <w:rPr>
                <w:rFonts w:ascii="仿宋_GB2312" w:hAnsi="仿宋_GB2312" w:cs="仿宋_GB2312" w:eastAsia="仿宋_GB2312"/>
                <w:sz w:val="20"/>
              </w:rPr>
              <w:t>9091.13平米，新建客运站框架结构综合楼一栋建筑面积2692.46 平方米、门房 7.5 平米、长廊 132.48 平方米、客车发车位6170.28平方米、客车停车位4个、公交停车位3个、公交乘车位 20个、充电桩及配套设施20套、绿地面积1372.16平方米、清洗车位15个及锚索8528米、混凝土灌装柱82根、移动土方21582立方米等护坡和支护工程设施。</w:t>
            </w:r>
          </w:p>
          <w:p>
            <w:pPr>
              <w:pStyle w:val="null3"/>
              <w:jc w:val="left"/>
            </w:pPr>
            <w:r>
              <w:rPr>
                <w:rFonts w:ascii="仿宋_GB2312" w:hAnsi="仿宋_GB2312" w:cs="仿宋_GB2312" w:eastAsia="仿宋_GB2312"/>
                <w:sz w:val="20"/>
              </w:rPr>
              <w:t>3、设计周期：</w:t>
            </w:r>
            <w:r>
              <w:rPr>
                <w:rFonts w:ascii="仿宋_GB2312" w:hAnsi="仿宋_GB2312" w:cs="仿宋_GB2312" w:eastAsia="仿宋_GB2312"/>
                <w:sz w:val="20"/>
              </w:rPr>
              <w:t>本项目设计周期共</w:t>
            </w:r>
            <w:r>
              <w:rPr>
                <w:rFonts w:ascii="仿宋_GB2312" w:hAnsi="仿宋_GB2312" w:cs="仿宋_GB2312" w:eastAsia="仿宋_GB2312"/>
                <w:sz w:val="20"/>
              </w:rPr>
              <w:t>25天（其中扩初设计10天，施工图设计15天）</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4、商务及服务要求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1）付款条件（进度和方式）：在合同签订且首次提交设计成果文件后，达到付款条件起10日内，支付合同总金额的30%,在本项目</w:t>
            </w:r>
            <w:r>
              <w:rPr>
                <w:rFonts w:ascii="仿宋_GB2312" w:hAnsi="仿宋_GB2312" w:cs="仿宋_GB2312" w:eastAsia="仿宋_GB2312"/>
                <w:sz w:val="20"/>
              </w:rPr>
              <w:t>施工图审查</w:t>
            </w:r>
            <w:r>
              <w:rPr>
                <w:rFonts w:ascii="仿宋_GB2312" w:hAnsi="仿宋_GB2312" w:cs="仿宋_GB2312" w:eastAsia="仿宋_GB2312"/>
                <w:sz w:val="20"/>
              </w:rPr>
              <w:t>后，达到付款条件起</w:t>
            </w:r>
            <w:r>
              <w:rPr>
                <w:rFonts w:ascii="仿宋_GB2312" w:hAnsi="仿宋_GB2312" w:cs="仿宋_GB2312" w:eastAsia="仿宋_GB2312"/>
                <w:sz w:val="20"/>
              </w:rPr>
              <w:t>10日内，支付合同总金额的60%,本项目整体通过甲方验收后 ，达到付款条件起10日内，支付合同总金额的10%。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2）售后服务要求：甲方在验收备案设计图纸审核过程中若发现错误或异议处，乙方须配合甲方无偿进行方案修改，直至验收合格。</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3）采购标的需实现的采购目标：满足项目工程设计需要。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4）需执行的标准要求：满足相关技术规范及深度要求。</w:t>
            </w:r>
          </w:p>
          <w:p>
            <w:pPr>
              <w:pStyle w:val="null3"/>
              <w:ind w:firstLine="200"/>
              <w:jc w:val="both"/>
            </w:pPr>
            <w:r>
              <w:rPr>
                <w:rFonts w:ascii="仿宋_GB2312" w:hAnsi="仿宋_GB2312" w:cs="仿宋_GB2312" w:eastAsia="仿宋_GB2312"/>
                <w:sz w:val="20"/>
              </w:rPr>
              <w:t>（</w:t>
            </w:r>
            <w:r>
              <w:rPr>
                <w:rFonts w:ascii="仿宋_GB2312" w:hAnsi="仿宋_GB2312" w:cs="仿宋_GB2312" w:eastAsia="仿宋_GB2312"/>
                <w:sz w:val="20"/>
              </w:rPr>
              <w:t>5）成果：成果应包括施工图设计文件、预算文件及电子版文件。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1、服务范围：竞争性磋商文件范围内的全部内容； 2、服务要求：满足项目采购需求； 3、服务标准：达到国家验收规范“合格”标准。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本项目设计周期共25天（其中扩初设计10天，施工图设计15天）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验收依据：1.采购文件；2.响应文件；3.方案评审通过记录。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在合同签订且首次提交设计成果文件后，达到付款条件起 10 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在本项目施工图审查后，达到付款条件起 10 日内，支付合同总金额的 60.00%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本项目整体通过甲方验收后，达到付款条件起 10 日内，支付合同总金额的 10.00%。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方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本项目属于其他为列明行业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供应商需具备建设行政主管部门颁发的工程设计综合资质甲级资质或建筑行业工程设计乙级及以上资质或建筑行业（建筑工程）专业设计乙级及以上资质；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供应商拟项目负责人须具备二级及以上注册建筑师执业资格或二级及以上注册结构工程师资格，且在本单位注册；</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残疾人福利性单位声明函 相关资格证明材料.docx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服务方案.docx 相关资格证明材料.docx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完善、可靠的设计实施方案：对本项目理解深刻，总体设计思路符合国家相关要求、技术规范，实施方案满足文件要求，设计内容全面、思路清晰得12分，设计内容较为全面、思路基本可行得9分，设计内容较为一般、思路较为可行得6分；设计内容欠缺、薄弱较差得3分，未提供得0分。 2.对本项目的重点难点进行分析，提出详细的应对措施及合理化建议：重点难点分析全面、针对性强，应对措施及合理化建议具体、全面，可实施性强得10分；重点难点分析较为可行，应对措施及合理化建议基本全面得7分；重点难点分析较为片面，应对措施及合理化建议一般得4分，重点难点分析内容缺失；应对措施及合理化建议无针对性得1分，未提供得0分。 3.工作方案重点划分合理设计技术路线成熟可靠得8分，方案重点划分基本满足设计需求，设计技术路线较为可行得5分；方案针对性薄弱，技术思路较差得2分，未提供得0分。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设计质量控制的保证措施：设计质量保障内容全面、针对性强，保证措施完整、可操作性强的，根据响应情况得10分；设计质量控制的保证措施较为完整、有力，根据响应情况得7分；提供设计质量控制的保证措施一般，根据响应情况得4分；提供设计质量控制的保证措施差，根据响应情况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时间进度安排计划：投标人提供进度管理方案，进度管理措施、进度保障内容描述清晰、完整、合理，针对性、可操作性强的，得10分；进度管理措施、进度保障等内容描述基本清晰、完整、合理的，得7分；进度管理措施、进度保障等内容描述较差且内容缺失，得4分；进度管理措施、进度保障措施不全且无针对性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投标人提供设计组织方案管理措施，组织、进度、质量、沟通、风险等内容描述详细全面、各项措施合理、针对性强的，得8分；设计组织方案中组织、进度、质量、沟通、风险等内容描述清晰，方案合理、可行、完整的，得5分；设计服务组织方案措施不全或内容简单得，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对后期服务的保证措施 、能够处理各类紧急事项的措施，保证项目实施，能够保证在规定的时间解决问题。承诺内容切实可行得8分；后期服务基本齐全，针对性一般得5分；后期服务方案较差且无针对性得2分，未提供得0分。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保密措施考虑全面、内容完整、重点突出、具有针对性和可行性的，得7分；保密措施考虑较为全面、内容较为完整、重点内容体现、较有针对性和可行性的，得4分；保密措施考虑不够全面、内容不够完整、重点内容未体现、针对性和可行性较差的，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组织机构设置及主要人员安排</w:t>
            </w:r>
          </w:p>
        </w:tc>
        <w:tc>
          <w:tcPr>
            <w:tcW w:type="dxa" w:w="2492"/>
          </w:tcPr>
          <w:p>
            <w:pPr>
              <w:pStyle w:val="null3"/>
            </w:pPr>
            <w:r>
              <w:rPr>
                <w:rFonts w:ascii="仿宋_GB2312" w:hAnsi="仿宋_GB2312" w:cs="仿宋_GB2312" w:eastAsia="仿宋_GB2312"/>
              </w:rPr>
              <w:t>项目部组织结构设置合理、项目部关键岗位人员配备及职责划分清晰明确得7分，组织结构设置基本可行，项目部关键岗位及职责划分基本满足得4分，组织结构设置欠缺，项目部关键岗位及职责划分薄弱较差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2022年01月至今完成类似项目业绩，一项得2分，最多得10分。（须附类似项目业绩的成交（中标）通知书或合同的复印件或扫描件，时间以合同签订时间或通知书落款时间为准，并加盖公章）。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