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版本号：ZXGJXM2025-ZC-CS00220250814003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2025年部分省级财政农业专项粮油绿色高效提单产(包1二次)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ZXGJXM2025-ZC-CS002</w:t>
      </w:r>
      <w:r>
        <w:br/>
      </w:r>
      <w:r>
        <w:br/>
      </w:r>
      <w:r>
        <w:br/>
      </w:r>
    </w:p>
    <w:p>
      <w:pPr>
        <w:pStyle w:val="null3"/>
        <w:jc w:val="center"/>
        <w:outlineLvl w:val="2"/>
      </w:pPr>
      <w:r>
        <w:rPr>
          <w:rFonts w:ascii="仿宋_GB2312" w:hAnsi="仿宋_GB2312" w:cs="仿宋_GB2312" w:eastAsia="仿宋_GB2312"/>
          <w:sz w:val="28"/>
          <w:b/>
        </w:rPr>
        <w:t>宜君县农业技术服务中心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宜君县农业技术服务中心</w:t>
      </w:r>
      <w:r>
        <w:rPr>
          <w:rFonts w:ascii="仿宋_GB2312" w:hAnsi="仿宋_GB2312" w:cs="仿宋_GB2312" w:eastAsia="仿宋_GB2312"/>
        </w:rPr>
        <w:t>委托，拟对</w:t>
      </w:r>
      <w:r>
        <w:rPr>
          <w:rFonts w:ascii="仿宋_GB2312" w:hAnsi="仿宋_GB2312" w:cs="仿宋_GB2312" w:eastAsia="仿宋_GB2312"/>
        </w:rPr>
        <w:t>2025年部分省级财政农业专项粮油绿色高效提单产(包1二次)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ZXGJXM2025-ZC-CS002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2025年部分省级财政农业专项粮油绿色高效提单产(包1二次)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2025年部分省级财政农业专项粮油绿色高效提单产，详见采购需求。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采购包1（2025年部分省级财政农业专项粮油绿色高效提单产包1）：属于专门面向中小企业采购。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(2)提供2023或2024任一年度经审计的财务审计报告(2025年新成立的公司提供成立后企业的资产负债表和利润表），或提供近一年内基本存款账户开户银行开具的资信证明； (3)提供2025年01月01日至今任意两个月缴纳税收的证明材料（任意税种）,依法免税的单位应提供相关证明材料； (4)提供2025年01月01日至今任意两个月依法缴纳社会保障资金的证明材料（依法不需要缴纳社会保障资金的单位应提供相关证明材料）； (5)不得为“信用中国”网站（www.creditchina.gov.cn）中列入失信被执行人或重大税收违法案件当事人名单的供应商，不得为中国政府采购网（www.ccgp.gov.cn）政府采购严重违法失信行为记录名单中被财政部门禁止参加政府采购活动的供应商； (6)具备履行合同所必需的设备和专业技术能力（提供承诺函）； (7)参加政府采购活动前3年内，在经营活动中没有重大违法记录（提供书面声明函）； (8)单位负责人为同一人或者存在直接控股、管理关系的不同供应商不得同时参加本项目磋商； (9)法定代表人授权书（附法定代表人及被授权人身份证复印件）（如法定代表人直接磋商只须提交法人身份证明并附身份证复印件）； (10)供应商为生产商须提供所投产品的《肥料登记证》或农业农村部门肥料备案信息系统备案凭证，同时提供省级及以上相关部门核发的《全国工业产品生产许可证》（免于登记的产品除外）；供应商为经销商须提供生产商的授权书、营业执照、所投产品的《肥料登记证》或农业农村部门肥料备案信息系统备案凭证，同时提供省级及以上相关部门核发的《全国工业产品生产许可证》（免于登记的产品除外）并加盖生产商公章； (11)本标段不接受联合体磋商； (12)本标段专门面向中小企业采购。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宜君县农业技术服务中心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宜阳北街28号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0919-5281363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王超、秦瑶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029-86116776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和国家发展改革委员会办公厅颁发的《关于招标代理服务收费有关问题的通知》（发改办价格[2003]857号）的有关规定执行。2、成交供应商在领取成交通知书前须一次性足额向采购代理机构交纳招标代理服务费，招标代理服务费以转账或现金形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宜君县农业技术服务中心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宜君县农业技术服务中心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双方另行协商约定。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联系人：王超、秦瑶</w:t>
      </w:r>
    </w:p>
    <w:p>
      <w:pPr>
        <w:pStyle w:val="null3"/>
      </w:pPr>
      <w:r>
        <w:rPr>
          <w:rFonts w:ascii="仿宋_GB2312" w:hAnsi="仿宋_GB2312" w:cs="仿宋_GB2312" w:eastAsia="仿宋_GB2312"/>
        </w:rPr>
        <w:t>联系电话：029-86116776</w:t>
      </w:r>
    </w:p>
    <w:p>
      <w:pPr>
        <w:pStyle w:val="null3"/>
      </w:pPr>
      <w:r>
        <w:rPr>
          <w:rFonts w:ascii="仿宋_GB2312" w:hAnsi="仿宋_GB2312" w:cs="仿宋_GB2312" w:eastAsia="仿宋_GB2312"/>
        </w:rPr>
        <w:t>地址：西安市经济技术开发区凤城十二路首创禧悦里25栋A座16层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2025年部分省级财政农业专项粮油绿色高效提单产，详见采购需求。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675,000.00</w:t>
      </w:r>
    </w:p>
    <w:p>
      <w:pPr>
        <w:pStyle w:val="null3"/>
      </w:pPr>
      <w:r>
        <w:rPr>
          <w:rFonts w:ascii="仿宋_GB2312" w:hAnsi="仿宋_GB2312" w:cs="仿宋_GB2312" w:eastAsia="仿宋_GB2312"/>
        </w:rPr>
        <w:t>采购包最高限价（元）: 675,000.00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锌肥 玉米复合肥 氮磷钾大量元素水溶肥 玉米缓释复合肥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标的名称：锌肥 玉米复合肥 氮磷钾大量元素水溶肥 玉米缓释复合肥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0"/>
              <w:gridCol w:w="566"/>
              <w:gridCol w:w="1361"/>
              <w:gridCol w:w="212"/>
              <w:gridCol w:w="204"/>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采购项目物资名称</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主要技术指标规格及要求</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锌肥</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:0.5kg/袋;要求:符合HG3277--2000标准，</w:t>
                  </w:r>
                  <w:r>
                    <w:rPr>
                      <w:rFonts w:ascii="仿宋_GB2312" w:hAnsi="仿宋_GB2312" w:cs="仿宋_GB2312" w:eastAsia="仿宋_GB2312"/>
                      <w:sz w:val="24"/>
                    </w:rPr>
                    <w:t>水溶性好</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玉米复合肥</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规格：</w:t>
                  </w:r>
                  <w:r>
                    <w:rPr>
                      <w:rFonts w:ascii="仿宋_GB2312" w:hAnsi="仿宋_GB2312" w:cs="仿宋_GB2312" w:eastAsia="仿宋_GB2312"/>
                      <w:sz w:val="24"/>
                      <w:color w:val="000000"/>
                    </w:rPr>
                    <w:t>40kg/袋；</w:t>
                  </w:r>
                  <w:r>
                    <w:br/>
                  </w:r>
                  <w:r>
                    <w:rPr>
                      <w:rFonts w:ascii="仿宋_GB2312" w:hAnsi="仿宋_GB2312" w:cs="仿宋_GB2312" w:eastAsia="仿宋_GB2312"/>
                      <w:sz w:val="24"/>
                      <w:b/>
                      <w:color w:val="000000"/>
                    </w:rPr>
                    <w:t>要求：</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GB/T15063—2020《复合肥料》，</w:t>
                  </w:r>
                  <w:r>
                    <w:br/>
                  </w:r>
                  <w:r>
                    <w:rPr>
                      <w:rFonts w:ascii="仿宋_GB2312" w:hAnsi="仿宋_GB2312" w:cs="仿宋_GB2312" w:eastAsia="仿宋_GB2312"/>
                      <w:sz w:val="24"/>
                      <w:color w:val="000000"/>
                    </w:rPr>
                    <w:t>总养分含量</w:t>
                  </w:r>
                  <w:r>
                    <w:rPr>
                      <w:rFonts w:ascii="仿宋_GB2312" w:hAnsi="仿宋_GB2312" w:cs="仿宋_GB2312" w:eastAsia="仿宋_GB2312"/>
                      <w:sz w:val="24"/>
                      <w:color w:val="000000"/>
                    </w:rPr>
                    <w:t>≥45%，N≥25，P</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5</w:t>
                  </w:r>
                  <w:r>
                    <w:rPr>
                      <w:rFonts w:ascii="仿宋_GB2312" w:hAnsi="仿宋_GB2312" w:cs="仿宋_GB2312" w:eastAsia="仿宋_GB2312"/>
                      <w:sz w:val="24"/>
                      <w:color w:val="000000"/>
                    </w:rPr>
                    <w:t>≥10，K</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O≥10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氮磷钾大量元素水溶肥</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规格：</w:t>
                  </w:r>
                  <w:r>
                    <w:rPr>
                      <w:rFonts w:ascii="仿宋_GB2312" w:hAnsi="仿宋_GB2312" w:cs="仿宋_GB2312" w:eastAsia="仿宋_GB2312"/>
                      <w:sz w:val="24"/>
                      <w:color w:val="000000"/>
                    </w:rPr>
                    <w:t>10kg/袋；</w:t>
                  </w:r>
                  <w:r>
                    <w:br/>
                  </w:r>
                  <w:r>
                    <w:rPr>
                      <w:rFonts w:ascii="仿宋_GB2312" w:hAnsi="仿宋_GB2312" w:cs="仿宋_GB2312" w:eastAsia="仿宋_GB2312"/>
                      <w:sz w:val="24"/>
                      <w:b/>
                      <w:color w:val="000000"/>
                    </w:rPr>
                    <w:t>要求</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NY/T1107—2020，</w:t>
                  </w:r>
                  <w:r>
                    <w:br/>
                  </w:r>
                  <w:r>
                    <w:rPr>
                      <w:rFonts w:ascii="仿宋_GB2312" w:hAnsi="仿宋_GB2312" w:cs="仿宋_GB2312" w:eastAsia="仿宋_GB2312"/>
                      <w:sz w:val="24"/>
                      <w:color w:val="000000"/>
                    </w:rPr>
                    <w:t>(N≥28，P</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5</w:t>
                  </w:r>
                  <w:r>
                    <w:rPr>
                      <w:rFonts w:ascii="仿宋_GB2312" w:hAnsi="仿宋_GB2312" w:cs="仿宋_GB2312" w:eastAsia="仿宋_GB2312"/>
                      <w:sz w:val="24"/>
                      <w:color w:val="000000"/>
                    </w:rPr>
                    <w:t>≥7，K</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玉米缓释复合肥</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规格：</w:t>
                  </w:r>
                  <w:r>
                    <w:rPr>
                      <w:rFonts w:ascii="仿宋_GB2312" w:hAnsi="仿宋_GB2312" w:cs="仿宋_GB2312" w:eastAsia="仿宋_GB2312"/>
                      <w:sz w:val="24"/>
                      <w:color w:val="000000"/>
                    </w:rPr>
                    <w:t>40kg/袋；</w:t>
                  </w:r>
                  <w:r>
                    <w:br/>
                  </w:r>
                  <w:r>
                    <w:rPr>
                      <w:rFonts w:ascii="仿宋_GB2312" w:hAnsi="仿宋_GB2312" w:cs="仿宋_GB2312" w:eastAsia="仿宋_GB2312"/>
                      <w:sz w:val="24"/>
                      <w:b/>
                      <w:color w:val="000000"/>
                    </w:rPr>
                    <w:t>要求：</w:t>
                  </w:r>
                  <w:r>
                    <w:rPr>
                      <w:rFonts w:ascii="仿宋_GB2312" w:hAnsi="仿宋_GB2312" w:cs="仿宋_GB2312" w:eastAsia="仿宋_GB2312"/>
                      <w:sz w:val="24"/>
                      <w:color w:val="000000"/>
                    </w:rPr>
                    <w:t>符合GB/T15063-2020《复合肥料》或相关企业标准（增效型）的要求，</w:t>
                  </w:r>
                  <w:r>
                    <w:rPr>
                      <w:rFonts w:ascii="仿宋_GB2312" w:hAnsi="仿宋_GB2312" w:cs="仿宋_GB2312" w:eastAsia="仿宋_GB2312"/>
                      <w:sz w:val="24"/>
                      <w:color w:val="000000"/>
                    </w:rPr>
                    <w:t>总养分含量</w:t>
                  </w:r>
                  <w:r>
                    <w:rPr>
                      <w:rFonts w:ascii="仿宋_GB2312" w:hAnsi="仿宋_GB2312" w:cs="仿宋_GB2312" w:eastAsia="仿宋_GB2312"/>
                      <w:sz w:val="24"/>
                      <w:color w:val="000000"/>
                    </w:rPr>
                    <w:t>≥45%，N≥25，P</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5</w:t>
                  </w:r>
                  <w:r>
                    <w:rPr>
                      <w:rFonts w:ascii="仿宋_GB2312" w:hAnsi="仿宋_GB2312" w:cs="仿宋_GB2312" w:eastAsia="仿宋_GB2312"/>
                      <w:sz w:val="24"/>
                      <w:color w:val="000000"/>
                    </w:rPr>
                    <w:t>≥10，K</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O≥10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购买的肥料等物品须在规定时间送到业主指定地点，并配合发放等工作。</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项目整体供货完成并经相关部门验收合格后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双方另行协商约定。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双方另行协商约定。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各方应本着诚信的态度及共同合作的精神，通过协商及谈判来努力解决由本合同而产生的或与本合同有关（包括本合同项下某一特定货物买卖合同）的任何争议及不同意见。协商、谈判不能解决的，应向项目所在地仲裁委员会申请仲裁或人民法院申请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其他资料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其他资料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(2)提供2023或2024任一年度经审计的财务审计报告(2025年新成立的公司提供成立后企业的资产负债表和利润表），或提供近一年内基本存款账户开户银行开具的资信证明； (3)提供2025年01月01日至今任意两个月缴纳税收的证明材料（任意税种）,依法免税的单位应提供相关证明材料； (4)提供2025年01月01日至今任意两个月依法缴纳社会保障资金的证明材料（依法不需要缴纳社会保障资金的单位应提供相关证明材料）； (5)不得为“信用中国”网站（www.creditchina.gov.cn）中列入失信被执行人或重大税收违法案件当事人名单的供应商，不得为中国政府采购网（www.ccgp.gov.cn）政府采购严重违法失信行为记录名单中被财政部门禁止参加政府采购活动的供应商； (6)具备履行合同所必需的设备和专业技术能力（提供承诺函）； (7)参加政府采购活动前3年内，在经营活动中没有重大违法记录（提供书面声明函）； (8)单位负责人为同一人或者存在直接控股、管理关系的不同供应商不得同时参加本项目磋商； (9)法定代表人授权书（附法定代表人及被授权人身份证复印件）（如法定代表人直接磋商只须提交法人身份证明并附身份证复印件）； (10)供应商为生产商须提供所投产品的《肥料登记证》或农业农村部门肥料备案信息系统备案凭证，同时提供省级及以上相关部门核发的《全国工业产品生产许可证》（免于登记的产品除外）；供应商为经销商须提供生产商的授权书、营业执照、所投产品的《肥料登记证》或农业农村部门肥料备案信息系统备案凭证，同时提供省级及以上相关部门核发的《全国工业产品生产许可证》（免于登记的产品除外）并加盖生产商公章； (11)本标段不接受联合体磋商； (12)本标段专门面向中小企业采购。</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磋商响应文件上法定代表人或被授权人的签字或电子印章齐全</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其他资料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磋商响应文件中报价不得超过采购预算金额或最高限价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供货及实施方案</w:t>
            </w:r>
          </w:p>
        </w:tc>
        <w:tc>
          <w:tcPr>
            <w:tcW w:type="dxa" w:w="2492"/>
          </w:tcPr>
          <w:p>
            <w:pPr>
              <w:pStyle w:val="null3"/>
            </w:pPr>
            <w:r>
              <w:rPr>
                <w:rFonts w:ascii="仿宋_GB2312" w:hAnsi="仿宋_GB2312" w:cs="仿宋_GB2312" w:eastAsia="仿宋_GB2312"/>
              </w:rPr>
              <w:t>供应商提供针对本项目的供货及实施方案，至少包含： 1.备货、供货组织实施计划； 2.供货、进度保证措施； 3.供货质量保证措施； 4.供货安全保障措施； 5.项目人员配备方案及协调能力。 各项内容全面，条理清晰，阐述合理，能有效保障项目供货及实施。每缺1项扣5分，每有一处内容存在缺陷，扣1分，扣完为止。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供应商提供针对本项目的应急预案，至少包含： 1.提供突发事件的处理方案； 2.提供突发事件响应的时效性保证措施。 各项内容全面，条理清晰，阐述合理，能有效保障项目实施。每缺1项扣5分，每有一处内容存在缺陷，扣1分，扣完为止。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供应商提供针对本项目的培训方案，至少包含： 1.培训计划（包含但不限于方式、时间、地点、人员等）； 2.专业技术指导（如使用方法及注意事项、储放时效及注意事项等） 各项内容全面，条理清晰，阐述合理，能有效保障项目实施。每缺1项扣5分，每有一处内容存在缺陷，扣1分，扣完为止。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供应商提供针对本项目的售后服务，至少包含： 1.售后服务方案、服务人员配置情况； 2.售后服务响应时限保障措施及服务承诺。 各项内容全面，条理清晰，阐述合理，能有效保障项目实施。每缺1项扣4分，每有一处内容存在缺陷，扣1分，扣完为止。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所投产品的质量保证</w:t>
            </w:r>
          </w:p>
        </w:tc>
        <w:tc>
          <w:tcPr>
            <w:tcW w:type="dxa" w:w="2492"/>
          </w:tcPr>
          <w:p>
            <w:pPr>
              <w:pStyle w:val="null3"/>
            </w:pPr>
            <w:r>
              <w:rPr>
                <w:rFonts w:ascii="仿宋_GB2312" w:hAnsi="仿宋_GB2312" w:cs="仿宋_GB2312" w:eastAsia="仿宋_GB2312"/>
              </w:rPr>
              <w:t>供应商提供所投产品证明资料：如销售协议、产品介绍、检验或检测报告、出厂合格证，根据肥料每一种种类提供内容齐全得4分，如有一种肥料提供不全的扣1分，扣完为止。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供应商提供2022.7.1至今类似业绩（日期以签订时间为准），每提供一份合同或中标通知书得2分，满分4分。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供应商提供针对本项目的履约能力，至少包含： 1.仓储设施； 2.运输工具； 3.管理水平等方面。 各项内容全面，条理清晰，阐述合理，能有效保障项目实施。每缺1项扣3分，每有一处内容存在缺陷，扣1分，扣完为止。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满足磋商文件要求且投标价格最低的投标报价为评标基准价，其价格分为满分。其他投标人的价格分统一按照下列公式计算：投标报价得分=（评标基准价/投标报价）×30，最低报价不是中标的唯一依据。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详见附件：法定代表人（单位负责人）身份证明及授权委托书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