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版本号：HGMHCG-2025-8020250916001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宜君县农村土地承包经营权确权登记颁证档案整理移交进馆项目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HGMHCG-2025-80</w:t>
      </w:r>
      <w:r>
        <w:br/>
      </w:r>
      <w:r>
        <w:br/>
      </w:r>
      <w:r>
        <w:br/>
      </w:r>
    </w:p>
    <w:p>
      <w:pPr>
        <w:pStyle w:val="null3"/>
        <w:jc w:val="center"/>
        <w:outlineLvl w:val="2"/>
      </w:pPr>
      <w:r>
        <w:rPr>
          <w:rFonts w:ascii="仿宋_GB2312" w:hAnsi="仿宋_GB2312" w:cs="仿宋_GB2312" w:eastAsia="仿宋_GB2312"/>
          <w:sz w:val="28"/>
          <w:b/>
        </w:rPr>
        <w:t>宜君县农村经济发展指导中心</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宜君县农村经济发展指导中心</w:t>
      </w:r>
      <w:r>
        <w:rPr>
          <w:rFonts w:ascii="仿宋_GB2312" w:hAnsi="仿宋_GB2312" w:cs="仿宋_GB2312" w:eastAsia="仿宋_GB2312"/>
        </w:rPr>
        <w:t>委托，拟对</w:t>
      </w:r>
      <w:r>
        <w:rPr>
          <w:rFonts w:ascii="仿宋_GB2312" w:hAnsi="仿宋_GB2312" w:cs="仿宋_GB2312" w:eastAsia="仿宋_GB2312"/>
        </w:rPr>
        <w:t>宜君县农村土地承包经营权确权登记颁证档案整理移交进馆项目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宜君县农村土地承包经营权确权登记颁证档案整理移交进馆项目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宜君县农村土地承包经营权确权登记颁证档案整理移交进馆项目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采购包1（宜君县农村土地承包经营权确权登记颁证档案整理移交进馆项目）：属于专门面向中小企业采购。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7、供应商具备国家秘密载体印刷资质证书，资质类别：涉密档案数字化加工乙级（含乙级）及以上：供应商具备国家秘密载体印刷资质证书，资质类别：涉密档案数字化加工乙级（含乙级）及以上。</w:t>
      </w:r>
    </w:p>
    <w:p>
      <w:pPr>
        <w:pStyle w:val="null3"/>
      </w:pPr>
      <w:r>
        <w:rPr>
          <w:rFonts w:ascii="仿宋_GB2312" w:hAnsi="仿宋_GB2312" w:cs="仿宋_GB2312" w:eastAsia="仿宋_GB2312"/>
        </w:rPr>
        <w:t>8、供应商不得为“信用中国”中列入失信被执行人和重大税收违法案件当事人名单的供应商，不得为“中国政府采购网”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宜君县农村经济发展指导中心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宜君县宜阳北街28号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0919-8172983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陕西省铜川市新区长虹南路山水雅庭3幢1单元10901室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宜君县农村经济发展指导中心</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宜君县农村经济发展指导中心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宜君县农村经济发展指导中心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满足采购人需求，符合国家或者行业相关标准和技术规范。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地址：陕西省铜川市新区长虹南路山水雅庭6幢1单元301室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宜君县农村土地承包经营权确权登记颁证档案整理移交进馆项目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870,000.00</w:t>
      </w:r>
    </w:p>
    <w:p>
      <w:pPr>
        <w:pStyle w:val="null3"/>
      </w:pPr>
      <w:r>
        <w:rPr>
          <w:rFonts w:ascii="仿宋_GB2312" w:hAnsi="仿宋_GB2312" w:cs="仿宋_GB2312" w:eastAsia="仿宋_GB2312"/>
        </w:rPr>
        <w:t>采购包最高限价（元）: 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宜君县农村土地承包经营权确权登记颁证档案整理移交进馆项目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标的名称：宜君县农村土地承包经营权确权登记颁证档案整理移交进馆项目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65" w:after="120"/>
              <w:ind w:right="570"/>
              <w:jc w:val="both"/>
            </w:pPr>
            <w:r>
              <w:rPr>
                <w:rFonts w:ascii="仿宋_GB2312" w:hAnsi="仿宋_GB2312" w:cs="仿宋_GB2312" w:eastAsia="仿宋_GB2312"/>
                <w:sz w:val="21"/>
                <w:b/>
              </w:rPr>
              <w:t>一、项目名称</w:t>
            </w:r>
          </w:p>
          <w:p>
            <w:pPr>
              <w:pStyle w:val="null3"/>
              <w:ind w:firstLine="560"/>
              <w:jc w:val="both"/>
            </w:pPr>
            <w:r>
              <w:rPr>
                <w:rFonts w:ascii="仿宋_GB2312" w:hAnsi="仿宋_GB2312" w:cs="仿宋_GB2312" w:eastAsia="仿宋_GB2312"/>
                <w:sz w:val="21"/>
              </w:rPr>
              <w:t>宜君县农村土地承包经营权确权登记颁证档案整理移交进馆项目</w:t>
            </w:r>
          </w:p>
          <w:p>
            <w:pPr>
              <w:pStyle w:val="null3"/>
              <w:spacing w:before="165" w:after="120"/>
              <w:ind w:right="570"/>
              <w:jc w:val="both"/>
            </w:pPr>
            <w:r>
              <w:rPr>
                <w:rFonts w:ascii="仿宋_GB2312" w:hAnsi="仿宋_GB2312" w:cs="仿宋_GB2312" w:eastAsia="仿宋_GB2312"/>
                <w:sz w:val="21"/>
                <w:b/>
              </w:rPr>
              <w:t>二、服务内容及要求：</w:t>
            </w:r>
          </w:p>
          <w:p>
            <w:pPr>
              <w:pStyle w:val="null3"/>
              <w:ind w:firstLine="562"/>
              <w:jc w:val="both"/>
            </w:pPr>
            <w:r>
              <w:rPr>
                <w:rFonts w:ascii="仿宋_GB2312" w:hAnsi="仿宋_GB2312" w:cs="仿宋_GB2312" w:eastAsia="仿宋_GB2312"/>
                <w:sz w:val="21"/>
                <w:b/>
              </w:rPr>
              <w:t>1、档案整理及数字化加工服务内容</w:t>
            </w:r>
          </w:p>
          <w:p>
            <w:pPr>
              <w:pStyle w:val="null3"/>
              <w:ind w:firstLine="560"/>
              <w:jc w:val="both"/>
            </w:pPr>
            <w:r>
              <w:rPr>
                <w:rFonts w:ascii="仿宋_GB2312" w:hAnsi="仿宋_GB2312" w:cs="仿宋_GB2312" w:eastAsia="仿宋_GB2312"/>
                <w:sz w:val="21"/>
              </w:rPr>
              <w:t>（1）承包地确权档案规范化完善整理及数字化加工预估20662户</w:t>
            </w:r>
          </w:p>
          <w:p>
            <w:pPr>
              <w:pStyle w:val="null3"/>
              <w:ind w:firstLine="560"/>
              <w:jc w:val="both"/>
            </w:pPr>
            <w:r>
              <w:rPr>
                <w:rFonts w:ascii="仿宋_GB2312" w:hAnsi="仿宋_GB2312" w:cs="仿宋_GB2312" w:eastAsia="仿宋_GB2312"/>
                <w:sz w:val="21"/>
              </w:rPr>
              <w:t>①、规范化整理工作内容：档案清理、审核，完善归档章加盖与填写、页码核对、文件编码、卷内文件目录题名修正与打印，文件装订等。</w:t>
            </w:r>
          </w:p>
          <w:p>
            <w:pPr>
              <w:pStyle w:val="null3"/>
              <w:ind w:firstLine="560"/>
              <w:jc w:val="both"/>
            </w:pPr>
            <w:r>
              <w:rPr>
                <w:rFonts w:ascii="仿宋_GB2312" w:hAnsi="仿宋_GB2312" w:cs="仿宋_GB2312" w:eastAsia="仿宋_GB2312"/>
                <w:sz w:val="21"/>
              </w:rPr>
              <w:t>②、数字化加工工作内容：档案调卷、拆卷、档案扫描、图像优化处理、原文质量效验检查、装订还原、数据质检、数据转换、数据挂接、数据备份、数据移交。</w:t>
            </w:r>
          </w:p>
          <w:p>
            <w:pPr>
              <w:pStyle w:val="null3"/>
              <w:ind w:firstLine="560"/>
              <w:jc w:val="both"/>
            </w:pPr>
            <w:r>
              <w:rPr>
                <w:rFonts w:ascii="仿宋_GB2312" w:hAnsi="仿宋_GB2312" w:cs="仿宋_GB2312" w:eastAsia="仿宋_GB2312"/>
                <w:sz w:val="21"/>
              </w:rPr>
              <w:t>（2）电子目录著录预估80000条。</w:t>
            </w:r>
          </w:p>
          <w:p>
            <w:pPr>
              <w:pStyle w:val="null3"/>
              <w:ind w:firstLine="560"/>
              <w:jc w:val="both"/>
            </w:pPr>
            <w:r>
              <w:rPr>
                <w:rFonts w:ascii="仿宋_GB2312" w:hAnsi="仿宋_GB2312" w:cs="仿宋_GB2312" w:eastAsia="仿宋_GB2312"/>
                <w:sz w:val="21"/>
              </w:rPr>
              <w:t>工作内容：目录核对、按照规范著录案卷目录、卷内文件目录，符合省市及国家移交进馆数据要求。</w:t>
            </w:r>
          </w:p>
          <w:p>
            <w:pPr>
              <w:pStyle w:val="null3"/>
              <w:spacing w:after="120"/>
              <w:ind w:firstLine="560"/>
              <w:jc w:val="both"/>
            </w:pPr>
            <w:r>
              <w:rPr>
                <w:rFonts w:ascii="仿宋_GB2312" w:hAnsi="仿宋_GB2312" w:cs="仿宋_GB2312" w:eastAsia="仿宋_GB2312"/>
                <w:sz w:val="21"/>
              </w:rPr>
              <w:t>（3）图桶图纸数字化预估220个图桶、确权档案产生的所有图片、实物、音视频档案的规范化整理，以及行业要求的各类档案的存储设施，并且安全规范移交进馆</w:t>
            </w:r>
          </w:p>
          <w:p>
            <w:pPr>
              <w:pStyle w:val="null3"/>
              <w:spacing w:after="120"/>
              <w:ind w:firstLine="560"/>
              <w:jc w:val="both"/>
            </w:pPr>
            <w:r>
              <w:rPr>
                <w:rFonts w:ascii="仿宋_GB2312" w:hAnsi="仿宋_GB2312" w:cs="仿宋_GB2312" w:eastAsia="仿宋_GB2312"/>
                <w:sz w:val="21"/>
              </w:rPr>
              <w:t>工作内容：扫描图纸获取图像、依需求设分辨率等参数、图像处理，修正倾斜、去噪、著录标引，录入元数据、格式转换，存为通用格式、质检归档，备份存储。</w:t>
            </w:r>
          </w:p>
          <w:p>
            <w:pPr>
              <w:pStyle w:val="null3"/>
              <w:spacing w:after="120"/>
              <w:ind w:firstLine="562"/>
              <w:jc w:val="both"/>
            </w:pPr>
            <w:r>
              <w:rPr>
                <w:rFonts w:ascii="仿宋_GB2312" w:hAnsi="仿宋_GB2312" w:cs="仿宋_GB2312" w:eastAsia="仿宋_GB2312"/>
                <w:sz w:val="21"/>
                <w:b/>
              </w:rPr>
              <w:t>2、标准规范（需要参考的技术标准）</w:t>
            </w:r>
          </w:p>
          <w:p>
            <w:pPr>
              <w:pStyle w:val="null3"/>
              <w:spacing w:after="120"/>
              <w:ind w:firstLine="560"/>
              <w:jc w:val="both"/>
            </w:pPr>
            <w:r>
              <w:rPr>
                <w:rFonts w:ascii="仿宋_GB2312" w:hAnsi="仿宋_GB2312" w:cs="仿宋_GB2312" w:eastAsia="仿宋_GB2312"/>
                <w:sz w:val="21"/>
              </w:rPr>
              <w:t>《档案著录规则》DA／T 18-2022</w:t>
            </w:r>
          </w:p>
          <w:p>
            <w:pPr>
              <w:pStyle w:val="null3"/>
              <w:spacing w:after="120"/>
              <w:ind w:firstLine="560"/>
              <w:jc w:val="both"/>
            </w:pPr>
            <w:r>
              <w:rPr>
                <w:rFonts w:ascii="仿宋_GB2312" w:hAnsi="仿宋_GB2312" w:cs="仿宋_GB2312" w:eastAsia="仿宋_GB2312"/>
                <w:sz w:val="21"/>
              </w:rPr>
              <w:t>《纸质档案数字化技术规范》（DA/T31-2017）</w:t>
            </w:r>
          </w:p>
          <w:p>
            <w:pPr>
              <w:pStyle w:val="null3"/>
              <w:spacing w:after="120"/>
              <w:ind w:firstLine="560"/>
              <w:jc w:val="both"/>
            </w:pPr>
            <w:r>
              <w:rPr>
                <w:rFonts w:ascii="仿宋_GB2312" w:hAnsi="仿宋_GB2312" w:cs="仿宋_GB2312" w:eastAsia="仿宋_GB2312"/>
                <w:sz w:val="21"/>
              </w:rPr>
              <w:t>《电子文件归档与管理规范》（GB/T18894-2016）</w:t>
            </w:r>
          </w:p>
          <w:p>
            <w:pPr>
              <w:pStyle w:val="null3"/>
              <w:spacing w:after="120"/>
              <w:ind w:firstLine="560"/>
              <w:jc w:val="both"/>
            </w:pPr>
            <w:r>
              <w:rPr>
                <w:rFonts w:ascii="仿宋_GB2312" w:hAnsi="仿宋_GB2312" w:cs="仿宋_GB2312" w:eastAsia="仿宋_GB2312"/>
                <w:sz w:val="21"/>
              </w:rPr>
              <w:t>《农村土地承包经营权调查规程》（NY/T2537-2014）</w:t>
            </w:r>
          </w:p>
          <w:p>
            <w:pPr>
              <w:pStyle w:val="null3"/>
              <w:spacing w:after="120"/>
              <w:ind w:firstLine="560"/>
              <w:jc w:val="both"/>
            </w:pPr>
            <w:r>
              <w:rPr>
                <w:rFonts w:ascii="仿宋_GB2312" w:hAnsi="仿宋_GB2312" w:cs="仿宋_GB2312" w:eastAsia="仿宋_GB2312"/>
                <w:sz w:val="21"/>
              </w:rPr>
              <w:t>《农村土地承包经营权要素编码规则》（NY/T2538-2014）</w:t>
            </w:r>
          </w:p>
          <w:p>
            <w:pPr>
              <w:pStyle w:val="null3"/>
              <w:spacing w:after="120"/>
              <w:ind w:firstLine="560"/>
              <w:jc w:val="both"/>
            </w:pPr>
            <w:r>
              <w:rPr>
                <w:rFonts w:ascii="仿宋_GB2312" w:hAnsi="仿宋_GB2312" w:cs="仿宋_GB2312" w:eastAsia="仿宋_GB2312"/>
                <w:sz w:val="21"/>
              </w:rPr>
              <w:t>《农村土地承包经营权确权登记数据库规范》（NY/T2539-2014）</w:t>
            </w:r>
          </w:p>
          <w:p>
            <w:pPr>
              <w:pStyle w:val="null3"/>
              <w:spacing w:after="120"/>
              <w:ind w:firstLine="560"/>
              <w:jc w:val="both"/>
            </w:pPr>
            <w:r>
              <w:rPr>
                <w:rFonts w:ascii="仿宋_GB2312" w:hAnsi="仿宋_GB2312" w:cs="仿宋_GB2312" w:eastAsia="仿宋_GB2312"/>
                <w:sz w:val="21"/>
              </w:rPr>
              <w:t>《中华人民共和国档案法实施办法》；</w:t>
            </w:r>
          </w:p>
          <w:p>
            <w:pPr>
              <w:pStyle w:val="null3"/>
              <w:spacing w:after="120"/>
              <w:ind w:firstLine="560"/>
              <w:jc w:val="both"/>
            </w:pPr>
            <w:r>
              <w:rPr>
                <w:rFonts w:ascii="仿宋_GB2312" w:hAnsi="仿宋_GB2312" w:cs="仿宋_GB2312" w:eastAsia="仿宋_GB2312"/>
                <w:sz w:val="21"/>
              </w:rPr>
              <w:t>《中华人民共和国保守国家秘密法实施办法》；</w:t>
            </w:r>
          </w:p>
          <w:p>
            <w:pPr>
              <w:pStyle w:val="null3"/>
              <w:spacing w:after="120"/>
              <w:ind w:firstLine="560"/>
              <w:jc w:val="both"/>
            </w:pPr>
            <w:r>
              <w:rPr>
                <w:rFonts w:ascii="仿宋_GB2312" w:hAnsi="仿宋_GB2312" w:cs="仿宋_GB2312" w:eastAsia="仿宋_GB2312"/>
                <w:sz w:val="21"/>
              </w:rPr>
              <w:t>《“十四五”全国档案事业发展规划》；</w:t>
            </w:r>
          </w:p>
          <w:p>
            <w:pPr>
              <w:pStyle w:val="null3"/>
              <w:spacing w:after="120"/>
              <w:ind w:firstLine="560"/>
              <w:jc w:val="both"/>
            </w:pPr>
            <w:r>
              <w:rPr>
                <w:rFonts w:ascii="仿宋_GB2312" w:hAnsi="仿宋_GB2312" w:cs="仿宋_GB2312" w:eastAsia="仿宋_GB2312"/>
                <w:sz w:val="21"/>
              </w:rPr>
              <w:t>《机关文件材料归档范围和文书档案保管期限规定》（国家档案局第8号令）；</w:t>
            </w:r>
          </w:p>
          <w:p>
            <w:pPr>
              <w:pStyle w:val="null3"/>
              <w:spacing w:after="120"/>
              <w:ind w:firstLine="560"/>
              <w:jc w:val="both"/>
            </w:pPr>
            <w:r>
              <w:rPr>
                <w:rFonts w:ascii="仿宋_GB2312" w:hAnsi="仿宋_GB2312" w:cs="仿宋_GB2312" w:eastAsia="仿宋_GB2312"/>
                <w:sz w:val="21"/>
              </w:rPr>
              <w:t>《机关档案管理规定》（国家档案局第 13 号令）；</w:t>
            </w:r>
          </w:p>
          <w:p>
            <w:pPr>
              <w:pStyle w:val="null3"/>
              <w:spacing w:after="120"/>
              <w:ind w:firstLine="562"/>
              <w:jc w:val="both"/>
            </w:pPr>
            <w:r>
              <w:rPr>
                <w:rFonts w:ascii="仿宋_GB2312" w:hAnsi="仿宋_GB2312" w:cs="仿宋_GB2312" w:eastAsia="仿宋_GB2312"/>
                <w:sz w:val="21"/>
                <w:b/>
              </w:rPr>
              <w:t>3、档案规范化整理及数字化加工基本流程</w:t>
            </w:r>
          </w:p>
          <w:p>
            <w:pPr>
              <w:pStyle w:val="null3"/>
              <w:spacing w:after="120"/>
              <w:ind w:firstLine="562"/>
              <w:jc w:val="both"/>
            </w:pPr>
            <w:r>
              <w:rPr>
                <w:rFonts w:ascii="仿宋_GB2312" w:hAnsi="仿宋_GB2312" w:cs="仿宋_GB2312" w:eastAsia="仿宋_GB2312"/>
                <w:sz w:val="21"/>
                <w:b/>
              </w:rPr>
              <w:t>（1）档案规范化整理流程质量要求</w:t>
            </w:r>
          </w:p>
          <w:p>
            <w:pPr>
              <w:pStyle w:val="null3"/>
              <w:spacing w:after="120"/>
              <w:ind w:firstLine="562"/>
              <w:jc w:val="both"/>
            </w:pPr>
            <w:r>
              <w:rPr>
                <w:rFonts w:ascii="仿宋_GB2312" w:hAnsi="仿宋_GB2312" w:cs="仿宋_GB2312" w:eastAsia="仿宋_GB2312"/>
                <w:sz w:val="21"/>
                <w:b/>
              </w:rPr>
              <w:t>第一步：档案分类与排序</w:t>
            </w:r>
          </w:p>
          <w:p>
            <w:pPr>
              <w:pStyle w:val="null3"/>
              <w:spacing w:after="120"/>
              <w:ind w:firstLine="560"/>
              <w:jc w:val="both"/>
            </w:pPr>
            <w:r>
              <w:rPr>
                <w:rFonts w:ascii="仿宋_GB2312" w:hAnsi="仿宋_GB2312" w:cs="仿宋_GB2312" w:eastAsia="仿宋_GB2312"/>
                <w:sz w:val="21"/>
              </w:rPr>
              <w:t>按“乡镇（街道）—村（组）—承包户”三级分类体系对档案进行分类，先将档案按乡镇（街道）划分大类，每个乡镇（街道）下按村（组）划分中类，每个村（组）下按承包户划分小类，确保分类逻辑清晰，便于后续查找与管理。</w:t>
            </w:r>
          </w:p>
          <w:p>
            <w:pPr>
              <w:pStyle w:val="null3"/>
              <w:spacing w:after="120"/>
              <w:ind w:firstLine="560"/>
              <w:jc w:val="both"/>
            </w:pPr>
            <w:r>
              <w:rPr>
                <w:rFonts w:ascii="仿宋_GB2312" w:hAnsi="仿宋_GB2312" w:cs="仿宋_GB2312" w:eastAsia="仿宋_GB2312"/>
                <w:sz w:val="21"/>
              </w:rPr>
              <w:t>针对每个承包户的档案，按资料形成时间先后或业务流程顺序（如确权申请、权属调查、审核公示、合同签订、颁证登记等）进行排序，确保同一承包户的档案材料顺序连贯，能完整反映确权登记颁证全过程。</w:t>
            </w:r>
          </w:p>
          <w:p>
            <w:pPr>
              <w:pStyle w:val="null3"/>
              <w:spacing w:after="120"/>
              <w:ind w:firstLine="562"/>
              <w:jc w:val="both"/>
            </w:pPr>
            <w:r>
              <w:rPr>
                <w:rFonts w:ascii="仿宋_GB2312" w:hAnsi="仿宋_GB2312" w:cs="仿宋_GB2312" w:eastAsia="仿宋_GB2312"/>
                <w:sz w:val="21"/>
                <w:b/>
              </w:rPr>
              <w:t>第二步：档案审核与补充完善</w:t>
            </w:r>
          </w:p>
          <w:p>
            <w:pPr>
              <w:pStyle w:val="null3"/>
              <w:spacing w:after="120"/>
              <w:ind w:firstLine="560"/>
              <w:jc w:val="both"/>
            </w:pPr>
            <w:r>
              <w:rPr>
                <w:rFonts w:ascii="仿宋_GB2312" w:hAnsi="仿宋_GB2312" w:cs="仿宋_GB2312" w:eastAsia="仿宋_GB2312"/>
                <w:sz w:val="21"/>
              </w:rPr>
              <w:t>逐份审核档案材料的完整性与规范性：检查确权申请书是否有承包户签字、村委会审核意见及盖章；承包合同是否填写完整（承包方信息、地块信息、承包期限等）、双方签字盖章是否齐全；权属证明材料是否真实有效；公示材料是否有公示时间、地点、公示结果及村民反馈记录等。</w:t>
            </w:r>
          </w:p>
          <w:p>
            <w:pPr>
              <w:pStyle w:val="null3"/>
              <w:spacing w:after="120"/>
              <w:ind w:firstLine="560"/>
              <w:jc w:val="both"/>
            </w:pPr>
            <w:r>
              <w:rPr>
                <w:rFonts w:ascii="仿宋_GB2312" w:hAnsi="仿宋_GB2312" w:cs="仿宋_GB2312" w:eastAsia="仿宋_GB2312"/>
                <w:sz w:val="21"/>
              </w:rPr>
              <w:t>对审核中发现的问题分类处理：若存在资料缺失，通知基层协作团队联系承包户或相关部门补充完善；若存在填写错误或签字盖章不全，指导相关责任人更正或补签；若存在权属争议相关记录，单独整理归档，并关联至对应承包户档案，标注争议处理进度。</w:t>
            </w:r>
          </w:p>
          <w:p>
            <w:pPr>
              <w:pStyle w:val="null3"/>
              <w:spacing w:after="120"/>
              <w:ind w:firstLine="562"/>
              <w:jc w:val="both"/>
            </w:pPr>
            <w:r>
              <w:rPr>
                <w:rFonts w:ascii="仿宋_GB2312" w:hAnsi="仿宋_GB2312" w:cs="仿宋_GB2312" w:eastAsia="仿宋_GB2312"/>
                <w:sz w:val="21"/>
                <w:b/>
              </w:rPr>
              <w:t>第三步：档案修复与装订</w:t>
            </w:r>
          </w:p>
          <w:p>
            <w:pPr>
              <w:pStyle w:val="null3"/>
              <w:spacing w:after="120"/>
              <w:ind w:firstLine="560"/>
              <w:jc w:val="both"/>
            </w:pPr>
            <w:r>
              <w:rPr>
                <w:rFonts w:ascii="仿宋_GB2312" w:hAnsi="仿宋_GB2312" w:cs="仿宋_GB2312" w:eastAsia="仿宋_GB2312"/>
                <w:sz w:val="21"/>
              </w:rPr>
              <w:t>对存在破损、褶皱、霉变的档案材料进行修复：轻微破损的采用修补纸粘贴修复，破损严重的由专业档案修复人员进行托裱处理；有褶皱的先平整纸张，再进行修复；存在轻微霉变的，在通风干燥环境下晾晒消毒（避免阳光直射），严重霉变的按档案保护规范进行专业消毒处理，确保修复后的档案符合长期保存要求。</w:t>
            </w:r>
          </w:p>
          <w:p>
            <w:pPr>
              <w:pStyle w:val="null3"/>
              <w:spacing w:after="120"/>
              <w:ind w:firstLine="560"/>
              <w:jc w:val="both"/>
            </w:pPr>
            <w:r>
              <w:rPr>
                <w:rFonts w:ascii="仿宋_GB2312" w:hAnsi="仿宋_GB2312" w:cs="仿宋_GB2312" w:eastAsia="仿宋_GB2312"/>
                <w:sz w:val="21"/>
              </w:rPr>
              <w:t>修复完成后，按档案装订规范进行装订：对纸张规格统一、厚度适中的档案，采用线装或胶装方式装订；对纸张规格不统一或厚度较大的档案，采用档案盒分装，每盒档案内附《卷内文件目录》，注明每份文件的序号、文件名称、形成时间、页数等信息，便于查阅。</w:t>
            </w:r>
          </w:p>
          <w:p>
            <w:pPr>
              <w:pStyle w:val="null3"/>
              <w:spacing w:after="120"/>
              <w:ind w:firstLine="562"/>
              <w:jc w:val="both"/>
            </w:pPr>
            <w:r>
              <w:rPr>
                <w:rFonts w:ascii="仿宋_GB2312" w:hAnsi="仿宋_GB2312" w:cs="仿宋_GB2312" w:eastAsia="仿宋_GB2312"/>
                <w:sz w:val="21"/>
                <w:b/>
              </w:rPr>
              <w:t>第四步：档案著录与电子档案制作</w:t>
            </w:r>
          </w:p>
          <w:p>
            <w:pPr>
              <w:pStyle w:val="null3"/>
              <w:spacing w:after="120"/>
              <w:ind w:firstLine="560"/>
              <w:jc w:val="both"/>
            </w:pPr>
            <w:r>
              <w:rPr>
                <w:rFonts w:ascii="仿宋_GB2312" w:hAnsi="仿宋_GB2312" w:cs="仿宋_GB2312" w:eastAsia="仿宋_GB2312"/>
                <w:sz w:val="21"/>
              </w:rPr>
              <w:t>按照档案著录规则，对每一份纸质档案进行著录，著录内容包括档案编号（按三级分类体系编制唯一编号）、乡镇（街道）、村（组）、承包户姓名、档案类别（如申请书、合同、公示材料等）、文件名称、形成时间、页数、保管期限、档案状态（完好、修复后等）等信息，将著录信息录入档案管理系统，建立电子台账。</w:t>
            </w:r>
          </w:p>
          <w:p>
            <w:pPr>
              <w:pStyle w:val="null3"/>
              <w:spacing w:after="120"/>
              <w:ind w:firstLine="560"/>
              <w:jc w:val="both"/>
            </w:pPr>
            <w:r>
              <w:rPr>
                <w:rFonts w:ascii="仿宋_GB2312" w:hAnsi="仿宋_GB2312" w:cs="仿宋_GB2312" w:eastAsia="仿宋_GB2312"/>
                <w:sz w:val="21"/>
              </w:rPr>
              <w:t>使用扫描仪对纸质档案进行扫描，生成电子档案，扫描分辨率不低于300dpi，格式统一为PDF 、JPEG或OFD，确保电子档案清晰、完整，与纸质档案内容一致。同时，将电子档案与对应的纸质档案著录信息关联，实现“一物一码”管理，便于电子检索与调阅。</w:t>
            </w:r>
          </w:p>
          <w:p>
            <w:pPr>
              <w:pStyle w:val="null3"/>
              <w:spacing w:after="120"/>
              <w:ind w:firstLine="562"/>
              <w:jc w:val="both"/>
            </w:pPr>
            <w:r>
              <w:rPr>
                <w:rFonts w:ascii="仿宋_GB2312" w:hAnsi="仿宋_GB2312" w:cs="仿宋_GB2312" w:eastAsia="仿宋_GB2312"/>
                <w:sz w:val="21"/>
                <w:b/>
              </w:rPr>
              <w:t>（2）档案数字化加工流程</w:t>
            </w:r>
          </w:p>
          <w:p>
            <w:pPr>
              <w:pStyle w:val="null3"/>
              <w:spacing w:after="120"/>
              <w:ind w:firstLine="562"/>
              <w:jc w:val="both"/>
            </w:pPr>
            <w:r>
              <w:rPr>
                <w:rFonts w:ascii="仿宋_GB2312" w:hAnsi="仿宋_GB2312" w:cs="仿宋_GB2312" w:eastAsia="仿宋_GB2312"/>
                <w:sz w:val="21"/>
                <w:b/>
              </w:rPr>
              <w:t>第一步：制定方案与制度</w:t>
            </w:r>
          </w:p>
          <w:p>
            <w:pPr>
              <w:pStyle w:val="null3"/>
              <w:spacing w:after="120"/>
              <w:ind w:firstLine="560"/>
              <w:jc w:val="both"/>
            </w:pPr>
            <w:r>
              <w:rPr>
                <w:rFonts w:ascii="仿宋_GB2312" w:hAnsi="仿宋_GB2312" w:cs="仿宋_GB2312" w:eastAsia="仿宋_GB2312"/>
                <w:sz w:val="21"/>
              </w:rPr>
              <w:t>制定详细的数字化工作方案，明确数字化对象、工作目标、工作内容、成本核算、技术方法、验收依据、人员安排、责任分工、进度安排和安全管理措施等。</w:t>
            </w:r>
          </w:p>
          <w:p>
            <w:pPr>
              <w:pStyle w:val="null3"/>
              <w:spacing w:after="120"/>
              <w:ind w:firstLine="560"/>
              <w:jc w:val="both"/>
            </w:pPr>
            <w:r>
              <w:rPr>
                <w:rFonts w:ascii="仿宋_GB2312" w:hAnsi="仿宋_GB2312" w:cs="仿宋_GB2312" w:eastAsia="仿宋_GB2312"/>
                <w:sz w:val="21"/>
              </w:rPr>
              <w:t>建立岗位管理、人员管理、场地管理、设备管理、数据管理、档案实体管理等方面的数字化工作制度。</w:t>
            </w:r>
          </w:p>
          <w:p>
            <w:pPr>
              <w:pStyle w:val="null3"/>
              <w:spacing w:after="120"/>
              <w:ind w:firstLine="562"/>
              <w:jc w:val="both"/>
            </w:pPr>
            <w:r>
              <w:rPr>
                <w:rFonts w:ascii="仿宋_GB2312" w:hAnsi="仿宋_GB2312" w:cs="仿宋_GB2312" w:eastAsia="仿宋_GB2312"/>
                <w:sz w:val="21"/>
                <w:b/>
              </w:rPr>
              <w:t>第二步：准备工作</w:t>
            </w:r>
          </w:p>
          <w:p>
            <w:pPr>
              <w:pStyle w:val="null3"/>
              <w:spacing w:after="120"/>
              <w:ind w:firstLine="560"/>
              <w:jc w:val="both"/>
            </w:pPr>
            <w:r>
              <w:rPr>
                <w:rFonts w:ascii="仿宋_GB2312" w:hAnsi="仿宋_GB2312" w:cs="仿宋_GB2312" w:eastAsia="仿宋_GB2312"/>
                <w:sz w:val="21"/>
              </w:rPr>
              <w:t>配备专用加工场地，将档案存放、数字化前处理、著录、扫描、图像处理、质量检查等工作区域分区布置。</w:t>
            </w:r>
          </w:p>
          <w:p>
            <w:pPr>
              <w:pStyle w:val="null3"/>
              <w:spacing w:after="120"/>
              <w:ind w:firstLine="560"/>
              <w:jc w:val="both"/>
            </w:pPr>
            <w:r>
              <w:rPr>
                <w:rFonts w:ascii="仿宋_GB2312" w:hAnsi="仿宋_GB2312" w:cs="仿宋_GB2312" w:eastAsia="仿宋_GB2312"/>
                <w:sz w:val="21"/>
              </w:rPr>
              <w:t>准备必要的计算机、扫描仪、存储磁盘、档案整理加工工具等设备，以及防盗报警、视频监控等安全设施。</w:t>
            </w:r>
          </w:p>
          <w:p>
            <w:pPr>
              <w:pStyle w:val="null3"/>
              <w:spacing w:after="120"/>
              <w:ind w:firstLine="562"/>
              <w:jc w:val="both"/>
            </w:pPr>
            <w:r>
              <w:rPr>
                <w:rFonts w:ascii="仿宋_GB2312" w:hAnsi="仿宋_GB2312" w:cs="仿宋_GB2312" w:eastAsia="仿宋_GB2312"/>
                <w:sz w:val="21"/>
                <w:b/>
              </w:rPr>
              <w:t>第三步：档案出库</w:t>
            </w:r>
          </w:p>
          <w:p>
            <w:pPr>
              <w:pStyle w:val="null3"/>
              <w:spacing w:after="120"/>
              <w:ind w:firstLine="560"/>
              <w:jc w:val="both"/>
            </w:pPr>
            <w:r>
              <w:rPr>
                <w:rFonts w:ascii="仿宋_GB2312" w:hAnsi="仿宋_GB2312" w:cs="仿宋_GB2312" w:eastAsia="仿宋_GB2312"/>
                <w:sz w:val="21"/>
              </w:rPr>
              <w:t>工作人员协同宜君县农业农村局工作人员从档案库房提取需要进行数字化加工的档案原件到加工现场（可以按工作日、班次或批次提取），根据需要清点到盒（卷），记录每盒（卷）档案件数及页数，认真核对数量和质量等，不出现遗漏登记或重复登记，填写《档案交接登记表》。</w:t>
            </w:r>
          </w:p>
          <w:p>
            <w:pPr>
              <w:pStyle w:val="null3"/>
              <w:spacing w:after="120"/>
              <w:ind w:firstLine="562"/>
              <w:jc w:val="both"/>
            </w:pPr>
            <w:r>
              <w:rPr>
                <w:rFonts w:ascii="仿宋_GB2312" w:hAnsi="仿宋_GB2312" w:cs="仿宋_GB2312" w:eastAsia="仿宋_GB2312"/>
                <w:sz w:val="21"/>
                <w:b/>
              </w:rPr>
              <w:t>第四步：数字化前处理</w:t>
            </w:r>
          </w:p>
          <w:p>
            <w:pPr>
              <w:pStyle w:val="null3"/>
              <w:spacing w:after="120"/>
              <w:ind w:firstLine="560"/>
              <w:jc w:val="both"/>
            </w:pPr>
            <w:r>
              <w:rPr>
                <w:rFonts w:ascii="仿宋_GB2312" w:hAnsi="仿宋_GB2312" w:cs="仿宋_GB2312" w:eastAsia="仿宋_GB2312"/>
                <w:sz w:val="21"/>
              </w:rPr>
              <w:t>确定扫描页：原则上对确定为数字化对象的纸质档案全部扫描，密级档案单独扫描单独存储。</w:t>
            </w:r>
          </w:p>
          <w:p>
            <w:pPr>
              <w:pStyle w:val="null3"/>
              <w:spacing w:after="120"/>
              <w:ind w:firstLine="560"/>
              <w:jc w:val="both"/>
            </w:pPr>
            <w:r>
              <w:rPr>
                <w:rFonts w:ascii="仿宋_GB2312" w:hAnsi="仿宋_GB2312" w:cs="仿宋_GB2312" w:eastAsia="仿宋_GB2312"/>
                <w:sz w:val="21"/>
              </w:rPr>
              <w:t>编制页号：对没有页号或页号不正确的档案重新编制页号，在统一位置用铅笔书写，同时登记破损页面、缺页等特殊情况。</w:t>
            </w:r>
          </w:p>
          <w:p>
            <w:pPr>
              <w:pStyle w:val="null3"/>
              <w:spacing w:after="120"/>
              <w:ind w:firstLine="560"/>
              <w:jc w:val="both"/>
            </w:pPr>
            <w:r>
              <w:rPr>
                <w:rFonts w:ascii="仿宋_GB2312" w:hAnsi="仿宋_GB2312" w:cs="仿宋_GB2312" w:eastAsia="仿宋_GB2312"/>
                <w:sz w:val="21"/>
              </w:rPr>
              <w:t>拆除装订：以保护纸质档案为原则，确定是否拆除装订物，对排列顺序不准确的档案进行重排，特殊装订且需恢复的档案，拆除时应拍照记录原貌。</w:t>
            </w:r>
          </w:p>
          <w:p>
            <w:pPr>
              <w:pStyle w:val="null3"/>
              <w:spacing w:after="120"/>
              <w:ind w:firstLine="560"/>
              <w:jc w:val="both"/>
            </w:pPr>
            <w:r>
              <w:rPr>
                <w:rFonts w:ascii="仿宋_GB2312" w:hAnsi="仿宋_GB2312" w:cs="仿宋_GB2312" w:eastAsia="仿宋_GB2312"/>
                <w:sz w:val="21"/>
              </w:rPr>
              <w:t>技术修复：对破损严重或无法直接扫描的纸质档案，先进行技术修复裱糊，折皱不平影响扫描质量的进行压平等处理。</w:t>
            </w:r>
          </w:p>
          <w:p>
            <w:pPr>
              <w:pStyle w:val="null3"/>
              <w:spacing w:after="120"/>
              <w:ind w:firstLine="562"/>
              <w:jc w:val="both"/>
            </w:pPr>
            <w:r>
              <w:rPr>
                <w:rFonts w:ascii="仿宋_GB2312" w:hAnsi="仿宋_GB2312" w:cs="仿宋_GB2312" w:eastAsia="仿宋_GB2312"/>
                <w:sz w:val="21"/>
                <w:b/>
              </w:rPr>
              <w:t>第五步：著录目录数据</w:t>
            </w:r>
          </w:p>
          <w:p>
            <w:pPr>
              <w:pStyle w:val="null3"/>
              <w:spacing w:after="120"/>
              <w:ind w:firstLine="560"/>
              <w:jc w:val="both"/>
            </w:pPr>
            <w:r>
              <w:rPr>
                <w:rFonts w:ascii="仿宋_GB2312" w:hAnsi="仿宋_GB2312" w:cs="仿宋_GB2312" w:eastAsia="仿宋_GB2312"/>
                <w:sz w:val="21"/>
              </w:rPr>
              <w:t>使用档案管理软件建立档案门类，设定著录项，包括全宗号、档案门类代码、保管期限、年度、实体分类号、卷号、件号、档号等。</w:t>
            </w:r>
          </w:p>
          <w:p>
            <w:pPr>
              <w:pStyle w:val="null3"/>
              <w:spacing w:after="120"/>
              <w:ind w:firstLine="560"/>
              <w:jc w:val="both"/>
            </w:pPr>
            <w:r>
              <w:rPr>
                <w:rFonts w:ascii="仿宋_GB2312" w:hAnsi="仿宋_GB2312" w:cs="仿宋_GB2312" w:eastAsia="仿宋_GB2312"/>
                <w:sz w:val="21"/>
              </w:rPr>
              <w:t>确定“档号”规则，同一门类的档案在本行政区域内保持一致。</w:t>
            </w:r>
          </w:p>
          <w:p>
            <w:pPr>
              <w:pStyle w:val="null3"/>
              <w:spacing w:after="120"/>
              <w:ind w:firstLine="560"/>
              <w:jc w:val="both"/>
            </w:pPr>
            <w:r>
              <w:rPr>
                <w:rFonts w:ascii="仿宋_GB2312" w:hAnsi="仿宋_GB2312" w:cs="仿宋_GB2312" w:eastAsia="仿宋_GB2312"/>
                <w:sz w:val="21"/>
              </w:rPr>
              <w:t>按照《档案著录规则》进行著录项的数据著录，确保数据格式统一，内容准确。</w:t>
            </w:r>
          </w:p>
          <w:p>
            <w:pPr>
              <w:pStyle w:val="null3"/>
              <w:spacing w:after="120"/>
              <w:ind w:firstLine="562"/>
              <w:jc w:val="both"/>
            </w:pPr>
            <w:r>
              <w:rPr>
                <w:rFonts w:ascii="仿宋_GB2312" w:hAnsi="仿宋_GB2312" w:cs="仿宋_GB2312" w:eastAsia="仿宋_GB2312"/>
                <w:sz w:val="21"/>
                <w:b/>
              </w:rPr>
              <w:t>第六步：档案扫描</w:t>
            </w:r>
          </w:p>
          <w:p>
            <w:pPr>
              <w:pStyle w:val="null3"/>
              <w:spacing w:after="120"/>
              <w:ind w:firstLine="560"/>
              <w:jc w:val="both"/>
            </w:pPr>
            <w:r>
              <w:rPr>
                <w:rFonts w:ascii="仿宋_GB2312" w:hAnsi="仿宋_GB2312" w:cs="仿宋_GB2312" w:eastAsia="仿宋_GB2312"/>
                <w:sz w:val="21"/>
              </w:rPr>
              <w:t>根据纸质档案原件实际情况、数字化目的等选择相应的扫描设备，并设置和调整相关参数，保证扫描后数字图像清晰、完整、不失真。</w:t>
            </w:r>
          </w:p>
          <w:p>
            <w:pPr>
              <w:pStyle w:val="null3"/>
              <w:spacing w:after="120"/>
              <w:ind w:firstLine="560"/>
              <w:jc w:val="both"/>
            </w:pPr>
            <w:r>
              <w:rPr>
                <w:rFonts w:ascii="仿宋_GB2312" w:hAnsi="仿宋_GB2312" w:cs="仿宋_GB2312" w:eastAsia="仿宋_GB2312"/>
                <w:sz w:val="21"/>
              </w:rPr>
              <w:t>对于纸张老旧、薄脆、破损的档案，不使用高速扫描仪进行扫描。分幅扫描时，相邻图像之间应留有足够的重叠。</w:t>
            </w:r>
          </w:p>
          <w:p>
            <w:pPr>
              <w:pStyle w:val="null3"/>
              <w:spacing w:after="120"/>
              <w:ind w:firstLine="562"/>
              <w:jc w:val="both"/>
            </w:pPr>
            <w:r>
              <w:rPr>
                <w:rFonts w:ascii="仿宋_GB2312" w:hAnsi="仿宋_GB2312" w:cs="仿宋_GB2312" w:eastAsia="仿宋_GB2312"/>
                <w:sz w:val="21"/>
                <w:b/>
              </w:rPr>
              <w:t>第七步：图像处理</w:t>
            </w:r>
          </w:p>
          <w:p>
            <w:pPr>
              <w:pStyle w:val="null3"/>
              <w:spacing w:after="120"/>
              <w:ind w:firstLine="560"/>
              <w:jc w:val="both"/>
            </w:pPr>
            <w:r>
              <w:rPr>
                <w:rFonts w:ascii="仿宋_GB2312" w:hAnsi="仿宋_GB2312" w:cs="仿宋_GB2312" w:eastAsia="仿宋_GB2312"/>
                <w:sz w:val="21"/>
              </w:rPr>
              <w:t>对分幅扫描形成的多幅数字图像进行拼接处理，确保拼接处平滑融合，无明显拼接痕迹。</w:t>
            </w:r>
          </w:p>
          <w:p>
            <w:pPr>
              <w:pStyle w:val="null3"/>
              <w:spacing w:after="120"/>
              <w:ind w:firstLine="560"/>
              <w:jc w:val="both"/>
            </w:pPr>
            <w:r>
              <w:rPr>
                <w:rFonts w:ascii="仿宋_GB2312" w:hAnsi="仿宋_GB2312" w:cs="仿宋_GB2312" w:eastAsia="仿宋_GB2312"/>
                <w:sz w:val="21"/>
              </w:rPr>
              <w:t>对不符合阅读方向的数字图像进行旋转还原，对扫描过程中出现偏斜的图像进行纠偏处理。</w:t>
            </w:r>
          </w:p>
          <w:p>
            <w:pPr>
              <w:pStyle w:val="null3"/>
              <w:spacing w:after="120"/>
              <w:ind w:firstLine="560"/>
              <w:jc w:val="both"/>
            </w:pPr>
            <w:r>
              <w:rPr>
                <w:rFonts w:ascii="仿宋_GB2312" w:hAnsi="仿宋_GB2312" w:cs="仿宋_GB2312" w:eastAsia="仿宋_GB2312"/>
                <w:sz w:val="21"/>
              </w:rPr>
              <w:t>如需对数字图像进行裁边处理，应在距页边最外延至少 2 至 3 毫米处进行。</w:t>
            </w:r>
          </w:p>
          <w:p>
            <w:pPr>
              <w:pStyle w:val="null3"/>
              <w:spacing w:after="120"/>
              <w:ind w:firstLine="562"/>
              <w:jc w:val="both"/>
            </w:pPr>
            <w:r>
              <w:rPr>
                <w:rFonts w:ascii="仿宋_GB2312" w:hAnsi="仿宋_GB2312" w:cs="仿宋_GB2312" w:eastAsia="仿宋_GB2312"/>
                <w:sz w:val="21"/>
                <w:b/>
              </w:rPr>
              <w:t>第八步：数据质检</w:t>
            </w:r>
          </w:p>
          <w:p>
            <w:pPr>
              <w:pStyle w:val="null3"/>
              <w:spacing w:after="120"/>
              <w:ind w:firstLine="560"/>
              <w:jc w:val="both"/>
            </w:pPr>
            <w:r>
              <w:rPr>
                <w:rFonts w:ascii="仿宋_GB2312" w:hAnsi="仿宋_GB2312" w:cs="仿宋_GB2312" w:eastAsia="仿宋_GB2312"/>
                <w:sz w:val="21"/>
              </w:rPr>
              <w:t>由专业质检员对数据全过程进行抽检、全检，出现问题及时登记更正，确保数据无误。</w:t>
            </w:r>
          </w:p>
          <w:p>
            <w:pPr>
              <w:pStyle w:val="null3"/>
              <w:spacing w:after="120"/>
              <w:ind w:firstLine="562"/>
              <w:jc w:val="both"/>
            </w:pPr>
            <w:r>
              <w:rPr>
                <w:rFonts w:ascii="仿宋_GB2312" w:hAnsi="仿宋_GB2312" w:cs="仿宋_GB2312" w:eastAsia="仿宋_GB2312"/>
                <w:sz w:val="21"/>
                <w:b/>
              </w:rPr>
              <w:t>第九步：数据挂接与验收</w:t>
            </w:r>
          </w:p>
          <w:p>
            <w:pPr>
              <w:pStyle w:val="null3"/>
              <w:spacing w:after="120"/>
              <w:ind w:firstLine="560"/>
              <w:jc w:val="both"/>
            </w:pPr>
            <w:r>
              <w:rPr>
                <w:rFonts w:ascii="仿宋_GB2312" w:hAnsi="仿宋_GB2312" w:cs="仿宋_GB2312" w:eastAsia="仿宋_GB2312"/>
                <w:sz w:val="21"/>
              </w:rPr>
              <w:t>将扫描后的数字原文和档案目录进行挂接，实现一一对应。</w:t>
            </w:r>
          </w:p>
          <w:p>
            <w:pPr>
              <w:pStyle w:val="null3"/>
              <w:spacing w:after="120"/>
              <w:ind w:firstLine="560"/>
              <w:jc w:val="both"/>
            </w:pPr>
            <w:r>
              <w:rPr>
                <w:rFonts w:ascii="仿宋_GB2312" w:hAnsi="仿宋_GB2312" w:cs="仿宋_GB2312" w:eastAsia="仿宋_GB2312"/>
                <w:sz w:val="21"/>
              </w:rPr>
              <w:t>按照相关标准和要求对数字化成果进行质量检查和验收，包括图像质量、目录数据准确性、数据挂接完整性等。</w:t>
            </w:r>
          </w:p>
          <w:p>
            <w:pPr>
              <w:pStyle w:val="null3"/>
              <w:spacing w:after="120"/>
              <w:ind w:firstLine="560"/>
              <w:jc w:val="both"/>
            </w:pPr>
            <w:r>
              <w:rPr>
                <w:rFonts w:ascii="仿宋_GB2312" w:hAnsi="仿宋_GB2312" w:cs="仿宋_GB2312" w:eastAsia="仿宋_GB2312"/>
                <w:sz w:val="21"/>
              </w:rPr>
              <w:t>以全宗的一个或多个目录为单元，随机抽查20%的数据，对条目数量及其著录项目内容的准确性进行逐条检查。其中，档号的合格率要求达到100%，其他项目抽检合格率要求达到98%以上（含98%）。</w:t>
            </w:r>
          </w:p>
          <w:p>
            <w:pPr>
              <w:pStyle w:val="null3"/>
              <w:spacing w:after="120"/>
              <w:ind w:firstLine="560"/>
              <w:jc w:val="both"/>
            </w:pPr>
            <w:r>
              <w:rPr>
                <w:rFonts w:ascii="仿宋_GB2312" w:hAnsi="仿宋_GB2312" w:cs="仿宋_GB2312" w:eastAsia="仿宋_GB2312"/>
                <w:sz w:val="21"/>
              </w:rPr>
              <w:t>合格率＝抽检合格文件数/抽检文件总数×100%</w:t>
            </w:r>
          </w:p>
          <w:p>
            <w:pPr>
              <w:pStyle w:val="null3"/>
              <w:spacing w:after="120"/>
              <w:ind w:firstLine="562"/>
              <w:jc w:val="both"/>
            </w:pPr>
            <w:r>
              <w:rPr>
                <w:rFonts w:ascii="仿宋_GB2312" w:hAnsi="仿宋_GB2312" w:cs="仿宋_GB2312" w:eastAsia="仿宋_GB2312"/>
                <w:sz w:val="21"/>
                <w:b/>
              </w:rPr>
              <w:t>第十步：数据备份</w:t>
            </w:r>
          </w:p>
          <w:p>
            <w:pPr>
              <w:pStyle w:val="null3"/>
              <w:spacing w:after="120"/>
              <w:ind w:firstLine="560"/>
              <w:jc w:val="both"/>
            </w:pPr>
            <w:r>
              <w:rPr>
                <w:rFonts w:ascii="仿宋_GB2312" w:hAnsi="仿宋_GB2312" w:cs="仿宋_GB2312" w:eastAsia="仿宋_GB2312"/>
                <w:sz w:val="21"/>
              </w:rPr>
              <w:t>经验收合格的完整数据应及时进行备份，为保证数据安全，备份载体的选择应多样化，可采用在线、离线相结合的方式实现多套备份，并注意异地保存。</w:t>
            </w:r>
          </w:p>
          <w:p>
            <w:pPr>
              <w:pStyle w:val="null3"/>
              <w:spacing w:after="120"/>
              <w:ind w:firstLine="562"/>
              <w:jc w:val="both"/>
            </w:pPr>
            <w:r>
              <w:rPr>
                <w:rFonts w:ascii="仿宋_GB2312" w:hAnsi="仿宋_GB2312" w:cs="仿宋_GB2312" w:eastAsia="仿宋_GB2312"/>
                <w:sz w:val="21"/>
                <w:b/>
              </w:rPr>
              <w:t>第十一步：成品交付</w:t>
            </w:r>
          </w:p>
          <w:p>
            <w:pPr>
              <w:pStyle w:val="null3"/>
              <w:spacing w:after="120"/>
              <w:ind w:firstLine="560"/>
              <w:jc w:val="both"/>
            </w:pPr>
            <w:r>
              <w:rPr>
                <w:rFonts w:ascii="仿宋_GB2312" w:hAnsi="仿宋_GB2312" w:cs="仿宋_GB2312" w:eastAsia="仿宋_GB2312"/>
                <w:sz w:val="21"/>
              </w:rPr>
              <w:t>将提取处理的交付数据通过数据交付程序刻录至指定的光盘介质上。在进行交付时对光盘的格式及其目录等都必须进行约定。刻录时JPEG格式数据备份要求使用国产化档案级蓝光光盘，PDF格式数据备份要求使用普通不可擦写光盘。</w:t>
            </w:r>
          </w:p>
          <w:p>
            <w:pPr>
              <w:pStyle w:val="null3"/>
              <w:spacing w:after="120"/>
              <w:ind w:firstLine="562"/>
              <w:jc w:val="both"/>
            </w:pPr>
            <w:r>
              <w:rPr>
                <w:rFonts w:ascii="仿宋_GB2312" w:hAnsi="仿宋_GB2312" w:cs="仿宋_GB2312" w:eastAsia="仿宋_GB2312"/>
                <w:sz w:val="21"/>
                <w:b/>
              </w:rPr>
              <w:t>第十二步：装订还原协助移交进馆</w:t>
            </w:r>
          </w:p>
          <w:p>
            <w:pPr>
              <w:pStyle w:val="null3"/>
              <w:spacing w:after="120"/>
              <w:ind w:firstLine="560"/>
              <w:jc w:val="both"/>
            </w:pPr>
            <w:r>
              <w:rPr>
                <w:rFonts w:ascii="仿宋_GB2312" w:hAnsi="仿宋_GB2312" w:cs="仿宋_GB2312" w:eastAsia="仿宋_GB2312"/>
                <w:sz w:val="21"/>
              </w:rPr>
              <w:t>装订好后档案，协助甲方移交进馆按顺序分年度排放。</w:t>
            </w:r>
          </w:p>
          <w:p>
            <w:pPr>
              <w:pStyle w:val="null3"/>
              <w:spacing w:before="165" w:after="120"/>
              <w:ind w:right="570"/>
              <w:jc w:val="both"/>
            </w:pPr>
            <w:r>
              <w:rPr>
                <w:rFonts w:ascii="仿宋_GB2312" w:hAnsi="仿宋_GB2312" w:cs="仿宋_GB2312" w:eastAsia="仿宋_GB2312"/>
                <w:sz w:val="21"/>
                <w:b/>
              </w:rPr>
              <w:t>三、完成期限：</w:t>
            </w:r>
            <w:r>
              <w:rPr>
                <w:rFonts w:ascii="仿宋_GB2312" w:hAnsi="仿宋_GB2312" w:cs="仿宋_GB2312" w:eastAsia="仿宋_GB2312"/>
                <w:sz w:val="21"/>
              </w:rPr>
              <w:t>90日历天</w:t>
            </w:r>
          </w:p>
          <w:p>
            <w:pPr>
              <w:pStyle w:val="null3"/>
            </w:pPr>
            <w:r>
              <w:rPr>
                <w:rFonts w:ascii="仿宋_GB2312" w:hAnsi="仿宋_GB2312" w:cs="仿宋_GB2312" w:eastAsia="仿宋_GB2312"/>
                <w:sz w:val="21"/>
                <w:b/>
              </w:rPr>
              <w:t>四、知识产权</w:t>
            </w:r>
          </w:p>
          <w:p>
            <w:pPr>
              <w:pStyle w:val="null3"/>
            </w:pPr>
            <w:r>
              <w:rPr>
                <w:rFonts w:ascii="仿宋_GB2312" w:hAnsi="仿宋_GB2312" w:cs="仿宋_GB2312" w:eastAsia="仿宋_GB2312"/>
                <w:sz w:val="21"/>
              </w:rPr>
              <w:t xml:space="preserve">   采购人在中华人民共和国境内使用投标人提供的货物及服务时免受第三方提出的侵犯其专利权或其它知识产权的起诉。如果第三方提出侵权指控，成交人应承担由此而引起的一切法律责任和费用。</w:t>
            </w:r>
          </w:p>
          <w:p>
            <w:pPr>
              <w:pStyle w:val="null3"/>
            </w:pPr>
            <w:r>
              <w:rPr>
                <w:rFonts w:ascii="仿宋_GB2312" w:hAnsi="仿宋_GB2312" w:cs="仿宋_GB2312" w:eastAsia="仿宋_GB2312"/>
                <w:sz w:val="21"/>
                <w:b/>
              </w:rPr>
              <w:t>五、合同实施</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   1、成交人应在合同签订后3个日历日内安排人员就项目实施工作进行安排部署。</w:t>
            </w:r>
          </w:p>
          <w:p>
            <w:pPr>
              <w:pStyle w:val="null3"/>
            </w:pPr>
            <w:r>
              <w:rPr>
                <w:rFonts w:ascii="仿宋_GB2312" w:hAnsi="仿宋_GB2312" w:cs="仿宋_GB2312" w:eastAsia="仿宋_GB2312"/>
                <w:sz w:val="21"/>
              </w:rPr>
              <w:t xml:space="preserve">   2、若未能在服务期限内完成合同规定的义务，由此对采购人造成的延误和一切损失，由成交人承担和赔偿。</w:t>
            </w:r>
          </w:p>
          <w:p>
            <w:pPr>
              <w:pStyle w:val="null3"/>
            </w:pPr>
            <w:r>
              <w:rPr>
                <w:rFonts w:ascii="仿宋_GB2312" w:hAnsi="仿宋_GB2312" w:cs="仿宋_GB2312" w:eastAsia="仿宋_GB2312"/>
                <w:sz w:val="21"/>
                <w:b/>
              </w:rPr>
              <w:t>六、违约责任：</w:t>
            </w:r>
          </w:p>
          <w:p>
            <w:pPr>
              <w:pStyle w:val="null3"/>
            </w:pPr>
            <w:r>
              <w:rPr>
                <w:rFonts w:ascii="仿宋_GB2312" w:hAnsi="仿宋_GB2312" w:cs="仿宋_GB2312" w:eastAsia="仿宋_GB2312"/>
                <w:sz w:val="21"/>
              </w:rPr>
              <w:t xml:space="preserve">   1、按《中华人民共和国民法典》中的相关条款执行。</w:t>
            </w:r>
          </w:p>
          <w:p>
            <w:pPr>
              <w:pStyle w:val="null3"/>
            </w:pPr>
            <w:r>
              <w:rPr>
                <w:rFonts w:ascii="仿宋_GB2312" w:hAnsi="仿宋_GB2312" w:cs="仿宋_GB2312" w:eastAsia="仿宋_GB2312"/>
                <w:sz w:val="21"/>
              </w:rPr>
              <w:t xml:space="preserve">   2、未按合同要求提供</w:t>
            </w:r>
            <w:r>
              <w:rPr>
                <w:rFonts w:ascii="仿宋_GB2312" w:hAnsi="仿宋_GB2312" w:cs="仿宋_GB2312" w:eastAsia="仿宋_GB2312"/>
                <w:sz w:val="21"/>
              </w:rPr>
              <w:t>服务或服务</w:t>
            </w:r>
            <w:r>
              <w:rPr>
                <w:rFonts w:ascii="仿宋_GB2312" w:hAnsi="仿宋_GB2312" w:cs="仿宋_GB2312" w:eastAsia="仿宋_GB2312"/>
                <w:sz w:val="21"/>
              </w:rPr>
              <w:t>质量不能满足技术要求，采购人有权终止合同，并对供方违约行为进行追究，同时按《中华人民共和国政府采购法》的有关规定进行处罚。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满足采购人需求，符合国家或者行业相关标准和技术规范。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完成后验收通过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供应商具备国家秘密载体印刷资质证书，资质类别：涉密档案数字化加工乙级（含乙级）及以上</w:t>
            </w:r>
          </w:p>
        </w:tc>
        <w:tc>
          <w:tcPr>
            <w:tcW w:type="dxa" w:w="3322"/>
          </w:tcPr>
          <w:p>
            <w:pPr>
              <w:pStyle w:val="null3"/>
            </w:pPr>
            <w:r>
              <w:rPr>
                <w:rFonts w:ascii="仿宋_GB2312" w:hAnsi="仿宋_GB2312" w:cs="仿宋_GB2312" w:eastAsia="仿宋_GB2312"/>
              </w:rPr>
              <w:t>供应商具备国家秘密载体印刷资质证书，资质类别：涉密档案数字化加工乙级（含乙级）及以上。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服务方案：包括但不限于对本项目的组织架构方案、人力配置方案、项目监督方案、项目进度方案、项目追踪方案等</w:t>
            </w:r>
          </w:p>
        </w:tc>
        <w:tc>
          <w:tcPr>
            <w:tcW w:type="dxa" w:w="2492"/>
          </w:tcPr>
          <w:p>
            <w:pPr>
              <w:pStyle w:val="null3"/>
            </w:pPr>
            <w:r>
              <w:rPr>
                <w:rFonts w:ascii="仿宋_GB2312" w:hAnsi="仿宋_GB2312" w:cs="仿宋_GB2312" w:eastAsia="仿宋_GB2312"/>
              </w:rPr>
              <w:t>1、服务方案全面，针对性强，具有较强可操作性，10～15分； 2、服务方案合理，针对性、可操作性一般，5～9分； 3、服务方案不清晰，针对性、可操作性较差，1～4分。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人员配备：投入本项目人员，服务团队分工明确，配置齐全</w:t>
            </w:r>
          </w:p>
        </w:tc>
        <w:tc>
          <w:tcPr>
            <w:tcW w:type="dxa" w:w="2492"/>
          </w:tcPr>
          <w:p>
            <w:pPr>
              <w:pStyle w:val="null3"/>
            </w:pPr>
            <w:r>
              <w:rPr>
                <w:rFonts w:ascii="仿宋_GB2312" w:hAnsi="仿宋_GB2312" w:cs="仿宋_GB2312" w:eastAsia="仿宋_GB2312"/>
              </w:rPr>
              <w:t>评委根据人员配置的数量、职称、经验等方面，横向比较打分（1～15分）。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重点问题解决方案：资料收集、重点难点分析等、提出可操作性的对策建议</w:t>
            </w:r>
          </w:p>
        </w:tc>
        <w:tc>
          <w:tcPr>
            <w:tcW w:type="dxa" w:w="2492"/>
          </w:tcPr>
          <w:p>
            <w:pPr>
              <w:pStyle w:val="null3"/>
            </w:pPr>
            <w:r>
              <w:rPr>
                <w:rFonts w:ascii="仿宋_GB2312" w:hAnsi="仿宋_GB2312" w:cs="仿宋_GB2312" w:eastAsia="仿宋_GB2312"/>
              </w:rPr>
              <w:t>1、方案总体思路清晰，内容全面，10～15分； 2、实施方案总体思路较清晰，涵盖内容较全面，5～9 分； 3、实施方案总体思路不成熟，涵盖内容不够全面，1～4分。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进度保证措施：针对本项目有合理的进度保障体系及措施</w:t>
            </w:r>
          </w:p>
        </w:tc>
        <w:tc>
          <w:tcPr>
            <w:tcW w:type="dxa" w:w="2492"/>
          </w:tcPr>
          <w:p>
            <w:pPr>
              <w:pStyle w:val="null3"/>
            </w:pPr>
            <w:r>
              <w:rPr>
                <w:rFonts w:ascii="仿宋_GB2312" w:hAnsi="仿宋_GB2312" w:cs="仿宋_GB2312" w:eastAsia="仿宋_GB2312"/>
              </w:rPr>
              <w:t>1、进度保障体系及措施科学、合理，10～15分； 2、进度保障体系及措施基本合理、可行，5～9分；3、进度保障体系及措施合理性和可行性较差，1～4分。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质量保证措施：针对本项目制订质量保障措施</w:t>
            </w:r>
          </w:p>
        </w:tc>
        <w:tc>
          <w:tcPr>
            <w:tcW w:type="dxa" w:w="2492"/>
          </w:tcPr>
          <w:p>
            <w:pPr>
              <w:pStyle w:val="null3"/>
            </w:pPr>
            <w:r>
              <w:rPr>
                <w:rFonts w:ascii="仿宋_GB2312" w:hAnsi="仿宋_GB2312" w:cs="仿宋_GB2312" w:eastAsia="仿宋_GB2312"/>
              </w:rPr>
              <w:t>1、保证措施科学、合理、可行，10～15分； 2、基本合理可行，5～9分； 3、合理性和可行性较差，1～4分。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安全保密方案：对档案实体、电子数据、现场管理的保密措施的全面性、有效性、可靠性和切实可行性方案等</w:t>
            </w:r>
          </w:p>
        </w:tc>
        <w:tc>
          <w:tcPr>
            <w:tcW w:type="dxa" w:w="2492"/>
          </w:tcPr>
          <w:p>
            <w:pPr>
              <w:pStyle w:val="null3"/>
            </w:pPr>
            <w:r>
              <w:rPr>
                <w:rFonts w:ascii="仿宋_GB2312" w:hAnsi="仿宋_GB2312" w:cs="仿宋_GB2312" w:eastAsia="仿宋_GB2312"/>
              </w:rPr>
              <w:t>1、方案可行性强，5～7分；2、方案可行性较强，3～4分；方案一般，1～2分。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项目承诺及后期服务</w:t>
            </w:r>
          </w:p>
        </w:tc>
        <w:tc>
          <w:tcPr>
            <w:tcW w:type="dxa" w:w="2492"/>
          </w:tcPr>
          <w:p>
            <w:pPr>
              <w:pStyle w:val="null3"/>
            </w:pPr>
            <w:r>
              <w:rPr>
                <w:rFonts w:ascii="仿宋_GB2312" w:hAnsi="仿宋_GB2312" w:cs="仿宋_GB2312" w:eastAsia="仿宋_GB2312"/>
              </w:rPr>
              <w:t>针对本项目的相关承诺和后期服务 ，由磋商小组综合评审自主打分（ 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业绩：以合同或成交通知书的形式提供投标人近三年（2022年至今）同类业绩</w:t>
            </w:r>
          </w:p>
        </w:tc>
        <w:tc>
          <w:tcPr>
            <w:tcW w:type="dxa" w:w="2492"/>
          </w:tcPr>
          <w:p>
            <w:pPr>
              <w:pStyle w:val="null3"/>
            </w:pPr>
            <w:r>
              <w:rPr>
                <w:rFonts w:ascii="仿宋_GB2312" w:hAnsi="仿宋_GB2312" w:cs="仿宋_GB2312" w:eastAsia="仿宋_GB2312"/>
              </w:rPr>
              <w:t>需提供合同或成交（中标）通知书，提供不全不得分，每一份计0.5分，计满2分为止；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