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版本号：SXBH-ZFCG-2025-08920250922001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宜君县殡葬服务设施布局专项规划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SXBH-ZFCG-2025-089</w:t>
      </w:r>
      <w:r>
        <w:br/>
      </w:r>
      <w:r>
        <w:br/>
      </w:r>
      <w:r>
        <w:br/>
      </w:r>
    </w:p>
    <w:p>
      <w:pPr>
        <w:pStyle w:val="null3"/>
        <w:jc w:val="center"/>
        <w:outlineLvl w:val="2"/>
      </w:pPr>
      <w:r>
        <w:rPr>
          <w:rFonts w:ascii="仿宋_GB2312" w:hAnsi="仿宋_GB2312" w:cs="仿宋_GB2312" w:eastAsia="仿宋_GB2312"/>
          <w:sz w:val="28"/>
          <w:b/>
        </w:rPr>
        <w:t>宜君县民政局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宜君县民政局</w:t>
      </w:r>
      <w:r>
        <w:rPr>
          <w:rFonts w:ascii="仿宋_GB2312" w:hAnsi="仿宋_GB2312" w:cs="仿宋_GB2312" w:eastAsia="仿宋_GB2312"/>
        </w:rPr>
        <w:t>委托，拟对</w:t>
      </w:r>
      <w:r>
        <w:rPr>
          <w:rFonts w:ascii="仿宋_GB2312" w:hAnsi="仿宋_GB2312" w:cs="仿宋_GB2312" w:eastAsia="仿宋_GB2312"/>
        </w:rPr>
        <w:t>宜君县殡葬服务设施布局专项规划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SXBH-ZFCG-2025-089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宜君县殡葬服务设施布局专项规划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宜君县殡葬服务设施布局专项规划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采购包1（宜君县殡葬服务设施布局专项规划）：属于专门面向中小企业采购。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2、企业资质：供应商须具备城乡规划编制乙级或以上资质。</w:t>
      </w:r>
    </w:p>
    <w:p>
      <w:pPr>
        <w:pStyle w:val="null3"/>
      </w:pPr>
      <w:r>
        <w:rPr>
          <w:rFonts w:ascii="仿宋_GB2312" w:hAnsi="仿宋_GB2312" w:cs="仿宋_GB2312" w:eastAsia="仿宋_GB2312"/>
        </w:rPr>
        <w:t>3、供应商应提供健全的财务会计制度的证明材料：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磋商截止日前六个月内其基本存款账户开户银行出具的资信证明，或信用担保机构出具的担保函；</w:t>
      </w:r>
    </w:p>
    <w:p>
      <w:pPr>
        <w:pStyle w:val="null3"/>
      </w:pPr>
      <w:r>
        <w:rPr>
          <w:rFonts w:ascii="仿宋_GB2312" w:hAnsi="仿宋_GB2312" w:cs="仿宋_GB2312" w:eastAsia="仿宋_GB2312"/>
        </w:rPr>
        <w:t>4、有依法缴纳税收的良好记录：提供磋商截止日前近六个月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5、有依法缴纳社会保障资金的良好记录：提供磋商截止日前近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6、具有履行合同所必需的设备和专业技术能力：提供具有履行合同所必需的设备和专业技术能力的书面声明；</w:t>
      </w:r>
    </w:p>
    <w:p>
      <w:pPr>
        <w:pStyle w:val="null3"/>
      </w:pPr>
      <w:r>
        <w:rPr>
          <w:rFonts w:ascii="仿宋_GB2312" w:hAnsi="仿宋_GB2312" w:cs="仿宋_GB2312" w:eastAsia="仿宋_GB2312"/>
        </w:rPr>
        <w:t>7、法定代表人证明书或法定代表人授权书：法定代表人参加磋商的，须提供法定代表人证明书及本人身份证复印件；法定代表人授权他人参加磋商的，须提供法定代表人授权委托书并出示授权代表的身份证复印件。采购文件中凡是需要法定代表人签字盖章之处，非法人单位的负责人均参照执行；</w:t>
      </w:r>
    </w:p>
    <w:p>
      <w:pPr>
        <w:pStyle w:val="null3"/>
      </w:pPr>
      <w:r>
        <w:rPr>
          <w:rFonts w:ascii="仿宋_GB2312" w:hAnsi="仿宋_GB2312" w:cs="仿宋_GB2312" w:eastAsia="仿宋_GB2312"/>
        </w:rPr>
        <w:t>8、参加本次政府采购活动前3年内在经营活动中没有重大违法记录或被起诉：提供参加本次政府采购活动前3年内在经营活动中没有重大违法记录或被起诉的书面声明；</w:t>
      </w:r>
    </w:p>
    <w:p>
      <w:pPr>
        <w:pStyle w:val="null3"/>
      </w:pPr>
      <w:r>
        <w:rPr>
          <w:rFonts w:ascii="仿宋_GB2312" w:hAnsi="仿宋_GB2312" w:cs="仿宋_GB2312" w:eastAsia="仿宋_GB2312"/>
        </w:rPr>
        <w:t>9、本项目不接受联合体磋商：提供非联合体承诺书。</w:t>
      </w:r>
    </w:p>
    <w:p>
      <w:pPr>
        <w:pStyle w:val="null3"/>
      </w:pPr>
      <w:r>
        <w:rPr>
          <w:rFonts w:ascii="仿宋_GB2312" w:hAnsi="仿宋_GB2312" w:cs="仿宋_GB2312" w:eastAsia="仿宋_GB2312"/>
        </w:rPr>
        <w:t>10、无关联声明：单位负责人为同一人或者存在直接控股、管理关系的不同供应商，不得参加同一合同项下的政府采购活动的书面声明；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宜阳中街8号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13152281626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17691172318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宜君县民政局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联系人：刘瑞华</w:t>
      </w:r>
    </w:p>
    <w:p>
      <w:pPr>
        <w:pStyle w:val="null3"/>
      </w:pPr>
      <w:r>
        <w:rPr>
          <w:rFonts w:ascii="仿宋_GB2312" w:hAnsi="仿宋_GB2312" w:cs="仿宋_GB2312" w:eastAsia="仿宋_GB2312"/>
        </w:rPr>
        <w:t>联系电话：17691172318</w:t>
      </w:r>
    </w:p>
    <w:p>
      <w:pPr>
        <w:pStyle w:val="null3"/>
      </w:pPr>
      <w:r>
        <w:rPr>
          <w:rFonts w:ascii="仿宋_GB2312" w:hAnsi="仿宋_GB2312" w:cs="仿宋_GB2312" w:eastAsia="仿宋_GB2312"/>
        </w:rPr>
        <w:t>地址：铜川市印台区惠民佳苑8号楼2楼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宜君县殡葬服务设施布局专项规划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殡葬服务设施布局专项规划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标的名称：殡葬服务设施布局专项规划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18"/>
              </w:rPr>
              <w:t>一</w:t>
            </w:r>
            <w:r>
              <w:rPr>
                <w:rFonts w:ascii="仿宋_GB2312" w:hAnsi="仿宋_GB2312" w:cs="仿宋_GB2312" w:eastAsia="仿宋_GB2312"/>
                <w:sz w:val="18"/>
              </w:rPr>
              <w:t>.总体要求</w:t>
            </w:r>
          </w:p>
          <w:p>
            <w:pPr>
              <w:pStyle w:val="null3"/>
              <w:ind w:firstLine="420"/>
              <w:jc w:val="both"/>
            </w:pPr>
            <w:r>
              <w:rPr>
                <w:rFonts w:ascii="仿宋_GB2312" w:hAnsi="仿宋_GB2312" w:cs="仿宋_GB2312" w:eastAsia="仿宋_GB2312"/>
                <w:sz w:val="18"/>
              </w:rPr>
              <w:t>(一)规划对象</w:t>
            </w:r>
          </w:p>
          <w:p>
            <w:pPr>
              <w:pStyle w:val="null3"/>
              <w:ind w:firstLine="420"/>
              <w:jc w:val="both"/>
            </w:pPr>
            <w:r>
              <w:rPr>
                <w:rFonts w:ascii="仿宋_GB2312" w:hAnsi="仿宋_GB2312" w:cs="仿宋_GB2312" w:eastAsia="仿宋_GB2312"/>
                <w:sz w:val="18"/>
              </w:rPr>
              <w:t>本次规划对象涵盖全</w:t>
            </w:r>
            <w:r>
              <w:rPr>
                <w:rFonts w:ascii="仿宋_GB2312" w:hAnsi="仿宋_GB2312" w:cs="仿宋_GB2312" w:eastAsia="仿宋_GB2312"/>
                <w:sz w:val="18"/>
              </w:rPr>
              <w:t>县</w:t>
            </w:r>
            <w:r>
              <w:rPr>
                <w:rFonts w:ascii="仿宋_GB2312" w:hAnsi="仿宋_GB2312" w:cs="仿宋_GB2312" w:eastAsia="仿宋_GB2312"/>
                <w:sz w:val="18"/>
              </w:rPr>
              <w:t>范围内的殡仪馆、殡仪服务站、城市公益性公墓、农村公益性公墓等各类殡葬服务设施。</w:t>
            </w:r>
          </w:p>
          <w:p>
            <w:pPr>
              <w:pStyle w:val="null3"/>
              <w:ind w:firstLine="420"/>
              <w:jc w:val="both"/>
            </w:pPr>
            <w:r>
              <w:rPr>
                <w:rFonts w:ascii="仿宋_GB2312" w:hAnsi="仿宋_GB2312" w:cs="仿宋_GB2312" w:eastAsia="仿宋_GB2312"/>
                <w:sz w:val="18"/>
              </w:rPr>
              <w:t>(二)规划目标</w:t>
            </w:r>
          </w:p>
          <w:p>
            <w:pPr>
              <w:pStyle w:val="null3"/>
              <w:ind w:firstLine="420"/>
              <w:jc w:val="both"/>
            </w:pPr>
            <w:r>
              <w:rPr>
                <w:rFonts w:ascii="仿宋_GB2312" w:hAnsi="仿宋_GB2312" w:cs="仿宋_GB2312" w:eastAsia="仿宋_GB2312"/>
                <w:sz w:val="18"/>
              </w:rPr>
              <w:t>1.构建惠民保障体系健全、土地利用生态集约、文化内涵健康与“生态宜居城市”相适宜的现代殡葬体系。</w:t>
            </w:r>
          </w:p>
          <w:p>
            <w:pPr>
              <w:pStyle w:val="null3"/>
              <w:ind w:firstLine="420"/>
              <w:jc w:val="both"/>
            </w:pPr>
            <w:r>
              <w:rPr>
                <w:rFonts w:ascii="仿宋_GB2312" w:hAnsi="仿宋_GB2312" w:cs="仿宋_GB2312" w:eastAsia="仿宋_GB2312"/>
                <w:sz w:val="18"/>
              </w:rPr>
              <w:t>2.城区殡仪馆建设达到设施现代化、环境优质化、管理现代化、服务人性化。</w:t>
            </w:r>
          </w:p>
          <w:p>
            <w:pPr>
              <w:pStyle w:val="null3"/>
              <w:ind w:firstLine="420"/>
              <w:jc w:val="both"/>
            </w:pPr>
            <w:r>
              <w:rPr>
                <w:rFonts w:ascii="仿宋_GB2312" w:hAnsi="仿宋_GB2312" w:cs="仿宋_GB2312" w:eastAsia="仿宋_GB2312"/>
                <w:sz w:val="18"/>
              </w:rPr>
              <w:t>3.建立完善的城镇殡仪服务网络，满足城镇居民文明治丧的需求，殡仪服务水平全面提高，实现低碳殡葬、人文殡葬、绿色殡葬。</w:t>
            </w:r>
          </w:p>
          <w:p>
            <w:pPr>
              <w:pStyle w:val="null3"/>
              <w:ind w:firstLine="420"/>
              <w:jc w:val="both"/>
            </w:pPr>
            <w:r>
              <w:rPr>
                <w:rFonts w:ascii="仿宋_GB2312" w:hAnsi="仿宋_GB2312" w:cs="仿宋_GB2312" w:eastAsia="仿宋_GB2312"/>
                <w:sz w:val="18"/>
              </w:rPr>
              <w:t>4.骨灰安放集中至公墓，逐渐实现立体、生态安葬，</w:t>
            </w:r>
            <w:r>
              <w:rPr>
                <w:rFonts w:ascii="仿宋_GB2312" w:hAnsi="仿宋_GB2312" w:cs="仿宋_GB2312" w:eastAsia="仿宋_GB2312"/>
                <w:sz w:val="18"/>
              </w:rPr>
              <w:t>全县</w:t>
            </w:r>
            <w:r>
              <w:rPr>
                <w:rFonts w:ascii="仿宋_GB2312" w:hAnsi="仿宋_GB2312" w:cs="仿宋_GB2312" w:eastAsia="仿宋_GB2312"/>
                <w:sz w:val="18"/>
              </w:rPr>
              <w:t>无非法公墓和散埋乱葬现象，尽量达到少占地或不占地的目标。</w:t>
            </w:r>
          </w:p>
          <w:p>
            <w:pPr>
              <w:pStyle w:val="null3"/>
              <w:ind w:firstLine="420"/>
              <w:jc w:val="both"/>
            </w:pPr>
            <w:r>
              <w:rPr>
                <w:rFonts w:ascii="仿宋_GB2312" w:hAnsi="仿宋_GB2312" w:cs="仿宋_GB2312" w:eastAsia="仿宋_GB2312"/>
                <w:sz w:val="18"/>
              </w:rPr>
              <w:t>5.建立殡葬管理长效机制，实现民政与其他相关部门协同监管，完善区一镇(街)一村(社区)三级殡葬管理体系，深入落实殡葬相关政策法规，形成规范的殡葬管理体系。</w:t>
            </w:r>
          </w:p>
          <w:p>
            <w:pPr>
              <w:pStyle w:val="null3"/>
              <w:ind w:firstLine="420"/>
              <w:jc w:val="both"/>
            </w:pPr>
            <w:r>
              <w:rPr>
                <w:rFonts w:ascii="仿宋_GB2312" w:hAnsi="仿宋_GB2312" w:cs="仿宋_GB2312" w:eastAsia="仿宋_GB2312"/>
                <w:sz w:val="18"/>
              </w:rPr>
              <w:t>二、规划布局</w:t>
            </w:r>
          </w:p>
          <w:p>
            <w:pPr>
              <w:pStyle w:val="null3"/>
              <w:ind w:firstLine="420"/>
              <w:jc w:val="both"/>
            </w:pPr>
            <w:r>
              <w:rPr>
                <w:rFonts w:ascii="仿宋_GB2312" w:hAnsi="仿宋_GB2312" w:cs="仿宋_GB2312" w:eastAsia="仿宋_GB2312"/>
                <w:sz w:val="18"/>
              </w:rPr>
              <w:t>（一</w:t>
            </w:r>
            <w:r>
              <w:rPr>
                <w:rFonts w:ascii="仿宋_GB2312" w:hAnsi="仿宋_GB2312" w:cs="仿宋_GB2312" w:eastAsia="仿宋_GB2312"/>
                <w:sz w:val="18"/>
              </w:rPr>
              <w:t>)殡仪服务设施</w:t>
            </w:r>
          </w:p>
          <w:p>
            <w:pPr>
              <w:pStyle w:val="null3"/>
              <w:ind w:firstLine="420"/>
              <w:jc w:val="both"/>
            </w:pPr>
            <w:r>
              <w:rPr>
                <w:rFonts w:ascii="仿宋_GB2312" w:hAnsi="仿宋_GB2312" w:cs="仿宋_GB2312" w:eastAsia="仿宋_GB2312"/>
                <w:sz w:val="18"/>
              </w:rPr>
              <w:t>1.</w:t>
            </w:r>
            <w:r>
              <w:rPr>
                <w:rFonts w:ascii="仿宋_GB2312" w:hAnsi="仿宋_GB2312" w:cs="仿宋_GB2312" w:eastAsia="仿宋_GB2312"/>
                <w:sz w:val="18"/>
              </w:rPr>
              <w:t>宜君县</w:t>
            </w:r>
            <w:r>
              <w:rPr>
                <w:rFonts w:ascii="仿宋_GB2312" w:hAnsi="仿宋_GB2312" w:cs="仿宋_GB2312" w:eastAsia="仿宋_GB2312"/>
                <w:sz w:val="18"/>
              </w:rPr>
              <w:t>殡仪馆</w:t>
            </w:r>
            <w:r>
              <w:rPr>
                <w:rFonts w:ascii="仿宋_GB2312" w:hAnsi="仿宋_GB2312" w:cs="仿宋_GB2312" w:eastAsia="仿宋_GB2312"/>
                <w:sz w:val="18"/>
              </w:rPr>
              <w:t>:</w:t>
            </w:r>
            <w:r>
              <w:rPr>
                <w:rFonts w:ascii="仿宋_GB2312" w:hAnsi="仿宋_GB2312" w:cs="仿宋_GB2312" w:eastAsia="仿宋_GB2312"/>
                <w:sz w:val="18"/>
              </w:rPr>
              <w:t>规划宜君县殡仪馆</w:t>
            </w:r>
            <w:r>
              <w:rPr>
                <w:rFonts w:ascii="仿宋_GB2312" w:hAnsi="仿宋_GB2312" w:cs="仿宋_GB2312" w:eastAsia="仿宋_GB2312"/>
                <w:sz w:val="18"/>
              </w:rPr>
              <w:t>1处，遗体年火化服务能力2000具，规划占地面积1.62公顷（24.30亩），规划用地位于宜阳街道黑家河村白渠河组梨洼梁处</w:t>
            </w:r>
            <w:r>
              <w:rPr>
                <w:rFonts w:ascii="仿宋_GB2312" w:hAnsi="仿宋_GB2312" w:cs="仿宋_GB2312" w:eastAsia="仿宋_GB2312"/>
                <w:sz w:val="18"/>
              </w:rPr>
              <w:t>;</w:t>
            </w:r>
          </w:p>
          <w:p>
            <w:pPr>
              <w:pStyle w:val="null3"/>
              <w:ind w:firstLine="420"/>
              <w:jc w:val="both"/>
            </w:pPr>
            <w:r>
              <w:rPr>
                <w:rFonts w:ascii="仿宋_GB2312" w:hAnsi="仿宋_GB2312" w:cs="仿宋_GB2312" w:eastAsia="仿宋_GB2312"/>
                <w:sz w:val="18"/>
              </w:rPr>
              <w:t>2.镇级殡仪服务站:在</w:t>
            </w:r>
            <w:r>
              <w:rPr>
                <w:rFonts w:ascii="仿宋_GB2312" w:hAnsi="仿宋_GB2312" w:cs="仿宋_GB2312" w:eastAsia="仿宋_GB2312"/>
                <w:sz w:val="18"/>
              </w:rPr>
              <w:t>全县</w:t>
            </w:r>
            <w:r>
              <w:rPr>
                <w:rFonts w:ascii="仿宋_GB2312" w:hAnsi="仿宋_GB2312" w:cs="仿宋_GB2312" w:eastAsia="仿宋_GB2312"/>
                <w:sz w:val="18"/>
              </w:rPr>
              <w:t>8</w:t>
            </w:r>
            <w:r>
              <w:rPr>
                <w:rFonts w:ascii="仿宋_GB2312" w:hAnsi="仿宋_GB2312" w:cs="仿宋_GB2312" w:eastAsia="仿宋_GB2312"/>
                <w:sz w:val="18"/>
              </w:rPr>
              <w:t>个镇</w:t>
            </w:r>
            <w:r>
              <w:rPr>
                <w:rFonts w:ascii="仿宋_GB2312" w:hAnsi="仿宋_GB2312" w:cs="仿宋_GB2312" w:eastAsia="仿宋_GB2312"/>
                <w:sz w:val="18"/>
              </w:rPr>
              <w:t>(街道)各设1处，提供灵堂搭建、遗体暂放及瞻仰、告别仪式、物品存放、接待慰问等相关治丧活动。</w:t>
            </w:r>
          </w:p>
          <w:p>
            <w:pPr>
              <w:pStyle w:val="null3"/>
              <w:ind w:firstLine="420"/>
              <w:jc w:val="both"/>
            </w:pPr>
            <w:r>
              <w:rPr>
                <w:rFonts w:ascii="仿宋_GB2312" w:hAnsi="仿宋_GB2312" w:cs="仿宋_GB2312" w:eastAsia="仿宋_GB2312"/>
                <w:sz w:val="18"/>
              </w:rPr>
              <w:t>(二)安葬设施</w:t>
            </w:r>
          </w:p>
          <w:p>
            <w:pPr>
              <w:pStyle w:val="null3"/>
              <w:ind w:firstLine="420"/>
              <w:jc w:val="both"/>
            </w:pPr>
            <w:r>
              <w:rPr>
                <w:rFonts w:ascii="仿宋_GB2312" w:hAnsi="仿宋_GB2312" w:cs="仿宋_GB2312" w:eastAsia="仿宋_GB2312"/>
                <w:sz w:val="18"/>
              </w:rPr>
              <w:t>1.</w:t>
            </w:r>
            <w:r>
              <w:rPr>
                <w:rFonts w:ascii="仿宋_GB2312" w:hAnsi="仿宋_GB2312" w:cs="仿宋_GB2312" w:eastAsia="仿宋_GB2312"/>
                <w:sz w:val="18"/>
              </w:rPr>
              <w:t>宜君县</w:t>
            </w:r>
            <w:r>
              <w:rPr>
                <w:rFonts w:ascii="仿宋_GB2312" w:hAnsi="仿宋_GB2312" w:cs="仿宋_GB2312" w:eastAsia="仿宋_GB2312"/>
                <w:sz w:val="18"/>
              </w:rPr>
              <w:t>城市公益性公墓</w:t>
            </w:r>
            <w:r>
              <w:rPr>
                <w:rFonts w:ascii="仿宋_GB2312" w:hAnsi="仿宋_GB2312" w:cs="仿宋_GB2312" w:eastAsia="仿宋_GB2312"/>
                <w:sz w:val="18"/>
              </w:rPr>
              <w:t>:</w:t>
            </w:r>
            <w:r>
              <w:rPr>
                <w:rFonts w:ascii="仿宋_GB2312" w:hAnsi="仿宋_GB2312" w:cs="仿宋_GB2312" w:eastAsia="仿宋_GB2312"/>
                <w:sz w:val="18"/>
              </w:rPr>
              <w:t>规划用地位于宜阳街道黑家河村白渠河组梨洼梁处</w:t>
            </w:r>
            <w:r>
              <w:rPr>
                <w:rFonts w:ascii="仿宋_GB2312" w:hAnsi="仿宋_GB2312" w:cs="仿宋_GB2312" w:eastAsia="仿宋_GB2312"/>
                <w:sz w:val="18"/>
              </w:rPr>
              <w:t>;</w:t>
            </w:r>
          </w:p>
          <w:p>
            <w:pPr>
              <w:pStyle w:val="null3"/>
              <w:ind w:firstLine="420"/>
              <w:jc w:val="both"/>
            </w:pPr>
            <w:r>
              <w:rPr>
                <w:rFonts w:ascii="仿宋_GB2312" w:hAnsi="仿宋_GB2312" w:cs="仿宋_GB2312" w:eastAsia="仿宋_GB2312"/>
                <w:sz w:val="18"/>
              </w:rPr>
              <w:t>2.农村公益性公墓:按照一村一公墓(可根据自然村分布设立若干个安葬点)、“镇(街道)村共建”或“多村联建”模式布局，优先利用荒山瘠地、非耕地。</w:t>
            </w:r>
          </w:p>
          <w:p>
            <w:pPr>
              <w:pStyle w:val="null3"/>
              <w:ind w:firstLine="420"/>
              <w:jc w:val="both"/>
            </w:pPr>
            <w:r>
              <w:rPr>
                <w:rFonts w:ascii="仿宋_GB2312" w:hAnsi="仿宋_GB2312" w:cs="仿宋_GB2312" w:eastAsia="仿宋_GB2312"/>
                <w:sz w:val="18"/>
              </w:rPr>
              <w:t>三、服务要求：</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1）根据采购人提供的有关资料和上级部门的相关要求，依照有关法规和规范等要求，按双方拟定的进度，按时、保质、保量提供相关数据及文件资料。</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2）供应商负责项目工作会议涉及项目方案的汇报工作，负责提供会议汇报材料、成果等。在项目工作过程和成果报审过程中与采购人密切配合，做好成果的修改完善。协助配合采购人组织项目成果评审和报审工作。</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3）在服务期间，若省、市出台其他规定，应以省、市其他规定为准，如遇上级政策调整，应按上级新的时间要求和新的编制规程及政策要求,对所做成果进行调整和完善，并满足采购人对本项目的使用。</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4）供应商应保护采购人的知识产权。未经采购人同意，不得向第三方转让采购人提供的有关图纸等技术经济资料。如发生以上情况并给采购人造成损失，采购人有权提出索赔。</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5）供应商应积极配合采购人处理在项目实施过程中遇到的专业性问题。非因成果质量问题需要到场服务的，可与采购人另行商议有偿服务费用。</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6）专项规划需要达到国家有关技术标准、规范的规定，质量合格。要全面落实铜川市国土空间总体规划确定的管控内容，不得违背总体规划确定的空间战略、总体目标、约束性指标等强制性内容，专项规划文本中应包含涉及空间开发保护与利用的专门篇章，以及与涉及国土空间规划衔接情况的专门说明，规划要通过有关部门组织审核或批复，并与国土空间规划和“一张图”衔接。</w:t>
            </w:r>
          </w:p>
          <w:p>
            <w:pPr>
              <w:pStyle w:val="null3"/>
              <w:ind w:firstLine="420"/>
              <w:jc w:val="both"/>
            </w:pPr>
            <w:r>
              <w:rPr>
                <w:rFonts w:ascii="仿宋_GB2312" w:hAnsi="仿宋_GB2312" w:cs="仿宋_GB2312" w:eastAsia="仿宋_GB2312"/>
                <w:sz w:val="18"/>
              </w:rPr>
              <w:t>四、预期成果</w:t>
            </w:r>
          </w:p>
          <w:p>
            <w:pPr>
              <w:pStyle w:val="null3"/>
              <w:ind w:firstLine="420"/>
              <w:jc w:val="both"/>
            </w:pPr>
            <w:r>
              <w:rPr>
                <w:rFonts w:ascii="仿宋_GB2312" w:hAnsi="仿宋_GB2312" w:cs="仿宋_GB2312" w:eastAsia="仿宋_GB2312"/>
                <w:sz w:val="18"/>
              </w:rPr>
              <w:t>（一）总报告</w:t>
            </w:r>
          </w:p>
          <w:p>
            <w:pPr>
              <w:pStyle w:val="null3"/>
              <w:ind w:firstLine="420"/>
              <w:jc w:val="both"/>
            </w:pPr>
            <w:r>
              <w:rPr>
                <w:rFonts w:ascii="仿宋_GB2312" w:hAnsi="仿宋_GB2312" w:cs="仿宋_GB2312" w:eastAsia="仿宋_GB2312"/>
                <w:sz w:val="18"/>
              </w:rPr>
              <w:t>《</w:t>
            </w:r>
            <w:r>
              <w:rPr>
                <w:rFonts w:ascii="仿宋_GB2312" w:hAnsi="仿宋_GB2312" w:cs="仿宋_GB2312" w:eastAsia="仿宋_GB2312"/>
                <w:sz w:val="18"/>
              </w:rPr>
              <w:t>宜君县</w:t>
            </w:r>
            <w:r>
              <w:rPr>
                <w:rFonts w:ascii="仿宋_GB2312" w:hAnsi="仿宋_GB2312" w:cs="仿宋_GB2312" w:eastAsia="仿宋_GB2312"/>
                <w:sz w:val="18"/>
              </w:rPr>
              <w:t>殡葬服务设施布局专项规划》</w:t>
            </w:r>
          </w:p>
          <w:p>
            <w:pPr>
              <w:pStyle w:val="null3"/>
              <w:ind w:firstLine="420"/>
              <w:jc w:val="both"/>
            </w:pPr>
            <w:r>
              <w:rPr>
                <w:rFonts w:ascii="仿宋_GB2312" w:hAnsi="仿宋_GB2312" w:cs="仿宋_GB2312" w:eastAsia="仿宋_GB2312"/>
                <w:sz w:val="18"/>
              </w:rPr>
              <w:t>（二）其他成果</w:t>
            </w:r>
          </w:p>
          <w:p>
            <w:pPr>
              <w:pStyle w:val="null3"/>
              <w:ind w:firstLine="420"/>
              <w:jc w:val="both"/>
            </w:pPr>
            <w:r>
              <w:rPr>
                <w:rFonts w:ascii="仿宋_GB2312" w:hAnsi="仿宋_GB2312" w:cs="仿宋_GB2312" w:eastAsia="仿宋_GB2312"/>
                <w:sz w:val="18"/>
              </w:rPr>
              <w:t>形成规划项目库和相关图册</w:t>
            </w:r>
          </w:p>
          <w:p>
            <w:pPr>
              <w:pStyle w:val="null3"/>
              <w:ind w:firstLine="420"/>
              <w:jc w:val="both"/>
            </w:pPr>
            <w:r>
              <w:rPr>
                <w:rFonts w:ascii="仿宋_GB2312" w:hAnsi="仿宋_GB2312" w:cs="仿宋_GB2312" w:eastAsia="仿宋_GB2312"/>
                <w:sz w:val="18"/>
              </w:rPr>
              <w:t>五、提交主要成果</w:t>
            </w:r>
          </w:p>
          <w:p>
            <w:pPr>
              <w:pStyle w:val="null3"/>
              <w:ind w:firstLine="420"/>
              <w:jc w:val="both"/>
            </w:pPr>
            <w:r>
              <w:rPr>
                <w:rFonts w:ascii="仿宋_GB2312" w:hAnsi="仿宋_GB2312" w:cs="仿宋_GB2312" w:eastAsia="仿宋_GB2312"/>
                <w:sz w:val="18"/>
              </w:rPr>
              <w:t>规划成果报告：</w:t>
            </w:r>
            <w:r>
              <w:rPr>
                <w:rFonts w:ascii="仿宋_GB2312" w:hAnsi="仿宋_GB2312" w:cs="仿宋_GB2312" w:eastAsia="仿宋_GB2312"/>
                <w:sz w:val="18"/>
              </w:rPr>
              <w:t>6套；电子版U盘资料：1套。</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合同签订后，乙方应开具增值税发票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项目服务完成并经甲方验收合格后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 求执行、质量不能满足要求，采购人可根据成交供应商的违约情况，调整成交供应商的服务范围或取消其服务资格，并终止合 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2、邮寄地址：铜川市印台区惠民佳苑八号楼二楼（住房公积金隔壁玻璃门楼梯间上二楼）； 联系人：刘瑞华 ；电话：17691172318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磋商截止日前六个月内其基本存款账户开户银行出具的资信证明，或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供应商须具备城乡规划编制乙级或以上资质。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磋商截止日前六个月内其基本存款账户开户银行出具的资信证明，或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六个月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磋商的，须提供法定代表人证明书及本人身份证复印件；法定代表人授权他人参加磋商的，须提供法定代表人授权委托书并出示授权代表的身份证复印件。采购文件中凡是需要法定代表人签字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 法定代表人证明书.docx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提供参加本次政府采购活动前3年内在经营活动中没有重大违法记录或被起诉的书面声明；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法定代表人或被授权人签名（或盖章），其余页面逐页盖公章，否则将作为无效响应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法定代表人授权书.docx 响应文件封面 残疾人福利性单位声明函 服务方案 标的清单 法定代表人证明书.docx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自合同签订之日起30日历天</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磋商报价不能高于最高限价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A、供应商的磋商报价有选择性报价或者磋商报价重新计算后超过本项目采购预算或者最高限价的； B、供应商未经过正常渠道领取采购文件，或供应商名称与领取采购文件时登记的供应商名称不符的；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I、提供虚假技术性能指标。J、实质性内容不满足、未完全未响应招标要求或擅自改动采购清单的； K、响应文件的关键内容字迹模糊、无法辨认的；L、不符合法律、法规规定的其它实质性要求的。</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法定代表人授权书.docx 响应文件封面 残疾人福利性单位声明函 服务方案 标的清单 法定代表人证明书.docx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经过有效性和符合性审核合格的供应商，其商务条款响应符合磋商文件最低要求的计3分。不完全响应最低要求的计0分。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提供2021年1月1日起至今已完同类项目业绩证明材料，每提供1份同类业绩计2分，最多计6分。评审依据：附合同或中标通知书的复印件或扫描件并加盖供应商公章，时间以合同签订时间中体现的时间为准。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（1）提供针对本项目的服务流程，计0.1-3分，不提供不计分； （2）提供针对本项目的完整的服务标准及效果评估，计0.1-3分，不提供不计分； （3）提供针对本项目的实施背景、工作目标和需求分析的理解，计0.1-3分，不提供不计分； （4）提供针对本项目的服务保障措施，计0.1-3分，不提供不计分； （5）提供针对本项目的服务承诺，计0.1-3分，不提供不计分。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项目分析理解</w:t>
            </w:r>
          </w:p>
        </w:tc>
        <w:tc>
          <w:tcPr>
            <w:tcW w:type="dxa" w:w="2492"/>
          </w:tcPr>
          <w:p>
            <w:pPr>
              <w:pStyle w:val="null3"/>
            </w:pPr>
            <w:r>
              <w:rPr>
                <w:rFonts w:ascii="仿宋_GB2312" w:hAnsi="仿宋_GB2312" w:cs="仿宋_GB2312" w:eastAsia="仿宋_GB2312"/>
              </w:rPr>
              <w:t>提供针对本项目的重难点分析及解决方案，计0.1-4分，不提供不计分。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（1）提供针对本项目的保密承诺，计0.1-3分，不提供不计分； （2）提供针对本项目的保密岗位责任，计0.1-3分，不提供不计分； （3）提供针对本项目的保密制度，计0.1-3分，不提供不计分。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项目进度方案</w:t>
            </w:r>
          </w:p>
        </w:tc>
        <w:tc>
          <w:tcPr>
            <w:tcW w:type="dxa" w:w="2492"/>
          </w:tcPr>
          <w:p>
            <w:pPr>
              <w:pStyle w:val="null3"/>
            </w:pPr>
            <w:r>
              <w:rPr>
                <w:rFonts w:ascii="仿宋_GB2312" w:hAnsi="仿宋_GB2312" w:cs="仿宋_GB2312" w:eastAsia="仿宋_GB2312"/>
              </w:rPr>
              <w:t>（1）提供针对本项目的项目进度计划，计0.1-4分，不提供不计分； （2）提供针对本项目的项目进度安排，响应及时程度，计0.1-4分，不提供不计分； （3）提供针对本项目的进度保障管理及措施，计0.1-4分，不提供不计分。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（1）提供针对本项目专业服务团队，提供人员配置汇总表及相关证件材料（注册城乡规划师职业资格证书或城乡规划类职称），提供1份，计1份，最高计4分，不提供不计分； （2）提供针对本项目服务期限内团队稳定性与人员到位情况的保障承诺（包括但不限于原班人员保障、团队管理、应急机制等），计0.1-4分，不提供不计分； （3）提供针对本项目的人员管理制度及人员职责与分工，计0.1-4分，不提供不计分。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（1）提供针对本项目的质量控制方案，计0.1-4分，不提供不计分； （2）提供针对本项目的质量保障措施，计0.1-4分，不提供不计分； （3）提供针对本项目的质量保证承诺，计0.1-4分，不提供不计分； （4）提供针对本项目的突发状况的应急预案措施，计0.1-4分，不提供不计分。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提供针对本项目编制工作中可能遇到的问题进行预计、识别并清晰地加以阐述和分析，提出合理化建议，计0.1-3分，不提供不计分。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价格分统一采用低价优先法计算，即满足磋商文件要求且价格最低的磋商评审价为磋商基准价，其价格分为满分。其他供应商的价格分统一按照下列公式计算： 价格分=(磋商基准价／磋商评审价)×100×价格权值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