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版本号：YCD-2025010F20250926001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2025年第二批中央财政林木良种苗木培育项目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YCD-2025010F</w:t>
      </w:r>
      <w:r>
        <w:br/>
      </w:r>
      <w:r>
        <w:br/>
      </w:r>
      <w:r>
        <w:br/>
      </w:r>
    </w:p>
    <w:p>
      <w:pPr>
        <w:pStyle w:val="null3"/>
        <w:jc w:val="center"/>
        <w:outlineLvl w:val="2"/>
      </w:pPr>
      <w:r>
        <w:rPr>
          <w:rFonts w:ascii="仿宋_GB2312" w:hAnsi="仿宋_GB2312" w:cs="仿宋_GB2312" w:eastAsia="仿宋_GB2312"/>
          <w:sz w:val="28"/>
          <w:b/>
        </w:rPr>
        <w:t>宜君县太安国有生态林场</w:t>
      </w:r>
    </w:p>
    <w:p>
      <w:pPr>
        <w:pStyle w:val="null3"/>
        <w:jc w:val="center"/>
        <w:outlineLvl w:val="2"/>
      </w:pPr>
      <w:r>
        <w:rPr>
          <w:rFonts w:ascii="仿宋_GB2312" w:hAnsi="仿宋_GB2312" w:cs="仿宋_GB2312" w:eastAsia="仿宋_GB2312"/>
          <w:sz w:val="28"/>
          <w:b/>
        </w:rPr>
        <w:t>远创项目管理有限公司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远创项目管理有限公司</w:t>
      </w:r>
      <w:r>
        <w:rPr>
          <w:rFonts w:ascii="仿宋_GB2312" w:hAnsi="仿宋_GB2312" w:cs="仿宋_GB2312" w:eastAsia="仿宋_GB2312"/>
        </w:rPr>
        <w:t>（以下简称“代理机构”）受</w:t>
      </w:r>
      <w:r>
        <w:rPr>
          <w:rFonts w:ascii="仿宋_GB2312" w:hAnsi="仿宋_GB2312" w:cs="仿宋_GB2312" w:eastAsia="仿宋_GB2312"/>
        </w:rPr>
        <w:t>宜君县太安国有生态林场</w:t>
      </w:r>
      <w:r>
        <w:rPr>
          <w:rFonts w:ascii="仿宋_GB2312" w:hAnsi="仿宋_GB2312" w:cs="仿宋_GB2312" w:eastAsia="仿宋_GB2312"/>
        </w:rPr>
        <w:t>委托，拟对</w:t>
      </w:r>
      <w:r>
        <w:rPr>
          <w:rFonts w:ascii="仿宋_GB2312" w:hAnsi="仿宋_GB2312" w:cs="仿宋_GB2312" w:eastAsia="仿宋_GB2312"/>
        </w:rPr>
        <w:t>2025年第二批中央财政林木良种苗木培育项目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YCD-2025010F</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2025年第二批中央财政林木良种苗木培育项目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培育油松良种苗木160万株及配套工程施工。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采购包1（2025年第二批中央财政林木良种苗木培育项目）：属于专门面向中小企业采购。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财务状况报告：①提交2024年度经审计的财务会计报告(至少包括审计报告、资产负债表、现金流量表和利润表，成立时间至提交响应文件截止时间不足一年的，可提供成立后至提交文件前最近一个月的资产负债表)②提交响应文件截止时间三个月内其基本账户开户银行出具的资信证明;备注:以上两种形式的资料提供任何一种即可；</w:t>
      </w:r>
    </w:p>
    <w:p>
      <w:pPr>
        <w:pStyle w:val="null3"/>
      </w:pPr>
      <w:r>
        <w:rPr>
          <w:rFonts w:ascii="仿宋_GB2312" w:hAnsi="仿宋_GB2312" w:cs="仿宋_GB2312" w:eastAsia="仿宋_GB2312"/>
        </w:rPr>
        <w:t>2、税收缴纳证明：提交响应文件截止时间三个月内任意一个月的纳税证明或完税证明，纳税证明或完税证明上应有代收机构或税务机关的公章或业务专用章(依法免税的供应商应提供相应文件证明)；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3、社会保障缴纳证明：提交响应文件截止时间三个月内任意一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4、身份证明：法定代表人(主要负责人)委托代理人参加投标时，应提供法定代表人(主要负责人)委托授权书;法定代表人(主要负责人)亲自参加投标时，应提供法定代表人(主要负责人)身份证明；</w:t>
      </w:r>
    </w:p>
    <w:p>
      <w:pPr>
        <w:pStyle w:val="null3"/>
      </w:pPr>
      <w:r>
        <w:rPr>
          <w:rFonts w:ascii="仿宋_GB2312" w:hAnsi="仿宋_GB2312" w:cs="仿宋_GB2312" w:eastAsia="仿宋_GB2312"/>
        </w:rPr>
        <w:t>5、控股关系证明：单位负责人为同一人或者存在直接控股、管理关系的不同供应商，不得参加同一合同项下的政府采购活动;(提供承诺书)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宜君县太安国有生态林场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太安镇马坊村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727205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宜君县太安国有生态林场经办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13992954428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远创项目管理有限公司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陕西省西安市碑林区友谊东路6号新兴翰园B座2-163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18091933523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蔡富春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采购包1：814,258.95元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按国家计委颁发的《招标代理服务收费管理暂行办法》(计价格(2002)1980号)文件中的有关规定计取。中标(成交)人承担组织项目采购活动的全部费用，乙方收取的采购代理服务费按双方约定的金额支付。代理服务费的币种:人民币:代理服务费的支付时间:中标(成交)通知书发出前:代理服务费的支付方式:由中标(成交)人一次性支付完毕</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宜君县太安国有生态林场</w:t>
      </w:r>
      <w:r>
        <w:rPr>
          <w:rFonts w:ascii="仿宋_GB2312" w:hAnsi="仿宋_GB2312" w:cs="仿宋_GB2312" w:eastAsia="仿宋_GB2312"/>
        </w:rPr>
        <w:t>和</w:t>
      </w:r>
      <w:r>
        <w:rPr>
          <w:rFonts w:ascii="仿宋_GB2312" w:hAnsi="仿宋_GB2312" w:cs="仿宋_GB2312" w:eastAsia="仿宋_GB2312"/>
        </w:rPr>
        <w:t>远创项目管理有限公司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宜君县太安国有生态林场</w:t>
      </w:r>
      <w:r>
        <w:rPr>
          <w:rFonts w:ascii="仿宋_GB2312" w:hAnsi="仿宋_GB2312" w:cs="仿宋_GB2312" w:eastAsia="仿宋_GB2312"/>
        </w:rPr>
        <w:t>负责解释。除上述磋商文件内容，其他内容由</w:t>
      </w:r>
      <w:r>
        <w:rPr>
          <w:rFonts w:ascii="仿宋_GB2312" w:hAnsi="仿宋_GB2312" w:cs="仿宋_GB2312" w:eastAsia="仿宋_GB2312"/>
        </w:rPr>
        <w:t>远创项目管理有限公司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宜君县太安国有生态林场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远创项目管理有限公司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(一)按国家现行项目实施规范和合同规定的验收评定标准等要求进行验收。 (二)验收依据 1、本项目采购文件、响应文件;2、本项目合同及附件文本; 3、合同签订时国家及行业现行的标准和技术规范。</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远创项目管理有限公司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远创项目管理有限公司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远创项目管理有限公司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联系人：杨花</w:t>
      </w:r>
    </w:p>
    <w:p>
      <w:pPr>
        <w:pStyle w:val="null3"/>
      </w:pPr>
      <w:r>
        <w:rPr>
          <w:rFonts w:ascii="仿宋_GB2312" w:hAnsi="仿宋_GB2312" w:cs="仿宋_GB2312" w:eastAsia="仿宋_GB2312"/>
        </w:rPr>
        <w:t>联系电话：18091933523</w:t>
      </w:r>
    </w:p>
    <w:p>
      <w:pPr>
        <w:pStyle w:val="null3"/>
      </w:pPr>
      <w:r>
        <w:rPr>
          <w:rFonts w:ascii="仿宋_GB2312" w:hAnsi="仿宋_GB2312" w:cs="仿宋_GB2312" w:eastAsia="仿宋_GB2312"/>
        </w:rPr>
        <w:t>地址：陕西省西安市碑林区友谊东路6号新兴翰园B座2-163</w:t>
      </w:r>
    </w:p>
    <w:p>
      <w:pPr>
        <w:pStyle w:val="null3"/>
      </w:pPr>
      <w:r>
        <w:rPr>
          <w:rFonts w:ascii="仿宋_GB2312" w:hAnsi="仿宋_GB2312" w:cs="仿宋_GB2312" w:eastAsia="仿宋_GB2312"/>
        </w:rPr>
        <w:t>邮编：710072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814,258.95</w:t>
      </w:r>
    </w:p>
    <w:p>
      <w:pPr>
        <w:pStyle w:val="null3"/>
      </w:pPr>
      <w:r>
        <w:rPr>
          <w:rFonts w:ascii="仿宋_GB2312" w:hAnsi="仿宋_GB2312" w:cs="仿宋_GB2312" w:eastAsia="仿宋_GB2312"/>
        </w:rPr>
        <w:t>采购包最高限价（元）: 814,258.95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宜君县太安国有生态林场2025年第二批中央财政林木良种苗木培育项目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814,258.95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农、林、牧、渔业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标的名称：宜君县太安国有生态林场2025年第二批中央财政林木良种苗木培育项目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达到国家及行业现行技术规范标准，符合国家及行业验收合格标准，施工过程中要严格控制材料的使用，确保项目质量符合约定的质量合格标准。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达到国家及行业现行技术规范标准，符合国家及行业验收合格标准，施工过程中要严格控制材料的使用，确保施工质量符合约定的质量合格标准。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1.工程建设过程中所发生的安全事故、人身财产损害或对第三方造成的财产均由成交供应商承担。 2.所有材料必须使用合格产品。3.施工单位应及时清运施工过程中产生的建筑垃圾，如未及时清理，存在潜在风险造成的安全事故及损失由施工单位承担。4.项目实施过程中所有破坏的建筑装修装饰、元器件等均按原标准予以恢复。5.工程完毕后需对现场进行完全清理，标准达到采购人需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程量清单详见附件，供应商应充分考虑磋商文件的各项条款和掌握的市场情况结合本想项目实际情况采取自主报价，单价包含项目名称描述的所有工作内容的一切费用。可不按照2.4.7的第三条合同价格形式进行报价；（2）本项目已标价的工程量清单需采用陕西易投造价软件进行编制；（3）计划工期:合同签订后300日历天(雨、雪天气顺延)；（4）质保期:自项目竣工验收合格之日起1年；（5）投标人无需提交纸质投标文件，待采购结果公告后，由中标(成交)单位补交纸质(与电子版内容保持一致)投标文件(正本壹份、副本贰份、电子版(U盘内包含PDF格式及易投造价软件格式)贰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提交2024年度经审计的财务会计报告(至少包括审计报告、资产负债表、现金流量表和利润表，成立时间至提交响应文件截止时间不足一年的，可提供成立后至提交文件前最近一个月的资产负债表)②提交响应文件截止时间三个月内其基本账户开户银行出具的资信证明;备注: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提交响应文件截止时间三个月内任意一个月的纳税证明或完税证明，纳税证明或完税证明上应有代收机构或税务机关的公章或业务专用章(依法免税的供应商应提供相应文件证明)；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社会保障缴纳证明</w:t>
            </w:r>
          </w:p>
        </w:tc>
        <w:tc>
          <w:tcPr>
            <w:tcW w:type="dxa" w:w="3322"/>
          </w:tcPr>
          <w:p>
            <w:pPr>
              <w:pStyle w:val="null3"/>
            </w:pPr>
            <w:r>
              <w:rPr>
                <w:rFonts w:ascii="仿宋_GB2312" w:hAnsi="仿宋_GB2312" w:cs="仿宋_GB2312" w:eastAsia="仿宋_GB2312"/>
              </w:rPr>
              <w:t>提交响应文件截止时间三个月内任意一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控股关系证明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单位负责人为同一人或者存在直接控股、管理关系的不同供应商，不得参加同一合同项下的政府采购活动;(提供承诺书)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w:t>
            </w:r>
          </w:p>
        </w:tc>
        <w:tc>
          <w:tcPr>
            <w:tcW w:type="dxa" w:w="3322"/>
          </w:tcPr>
          <w:p>
            <w:pPr>
              <w:pStyle w:val="null3"/>
            </w:pPr>
            <w:r>
              <w:rPr>
                <w:rFonts w:ascii="仿宋_GB2312" w:hAnsi="仿宋_GB2312" w:cs="仿宋_GB2312" w:eastAsia="仿宋_GB2312"/>
              </w:rPr>
              <w:t>无重大缺漏项、偏离；格式、填写要求符合磋商文件规定并加盖供应商电子签章</w:t>
            </w:r>
          </w:p>
        </w:tc>
        <w:tc>
          <w:tcPr>
            <w:tcW w:type="dxa" w:w="1661"/>
          </w:tcPr>
          <w:p>
            <w:pPr>
              <w:pStyle w:val="null3"/>
            </w:pPr>
            <w:r>
              <w:rPr>
                <w:rFonts w:ascii="仿宋_GB2312" w:hAnsi="仿宋_GB2312" w:cs="仿宋_GB2312" w:eastAsia="仿宋_GB2312"/>
              </w:rPr>
              <w:t>响应文件封面 技术方案.docx 已标价工程量清单 项目管理机构组成表 中小企业声明函 技术服务合同条款及其他商务要求应答表 供应商类似项目业绩一览表 响应函 主要人员简历表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唯一报价，并未超出采购预算</w:t>
            </w:r>
          </w:p>
        </w:tc>
        <w:tc>
          <w:tcPr>
            <w:tcW w:type="dxa" w:w="1661"/>
          </w:tcPr>
          <w:p>
            <w:pPr>
              <w:pStyle w:val="null3"/>
            </w:pPr>
            <w:r>
              <w:rPr>
                <w:rFonts w:ascii="仿宋_GB2312" w:hAnsi="仿宋_GB2312" w:cs="仿宋_GB2312" w:eastAsia="仿宋_GB2312"/>
              </w:rPr>
              <w:t>响应文件封面 已标价工程量清单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对工期、质保期、质量标准的响应</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技术服务合同条款及其他商务要求应答表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每轮报价只有一个报价，无选择性报价</w:t>
            </w:r>
          </w:p>
        </w:tc>
        <w:tc>
          <w:tcPr>
            <w:tcW w:type="dxa" w:w="1661"/>
          </w:tcPr>
          <w:p>
            <w:pPr>
              <w:pStyle w:val="null3"/>
            </w:pPr>
            <w:r>
              <w:rPr>
                <w:rFonts w:ascii="仿宋_GB2312" w:hAnsi="仿宋_GB2312" w:cs="仿宋_GB2312" w:eastAsia="仿宋_GB2312"/>
              </w:rPr>
              <w:t>响应文件封面 已标价工程量清单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按磋商文件要求提供授权委托书</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响应文件不得含有采购人不能接受的附加条件并需满足本竞争性磋商文件中实质性要求</w:t>
            </w:r>
          </w:p>
        </w:tc>
        <w:tc>
          <w:tcPr>
            <w:tcW w:type="dxa" w:w="3322"/>
          </w:tcPr>
          <w:p>
            <w:pPr>
              <w:pStyle w:val="null3"/>
            </w:pPr>
            <w:r>
              <w:rPr>
                <w:rFonts w:ascii="仿宋_GB2312" w:hAnsi="仿宋_GB2312" w:cs="仿宋_GB2312" w:eastAsia="仿宋_GB2312"/>
              </w:rPr>
              <w:t>响应文件不得含有采购人不能接受的附加条件并需满足本竞争性磋商文件中实质性要求</w:t>
            </w:r>
          </w:p>
        </w:tc>
        <w:tc>
          <w:tcPr>
            <w:tcW w:type="dxa" w:w="1661"/>
          </w:tcPr>
          <w:p>
            <w:pPr>
              <w:pStyle w:val="null3"/>
            </w:pPr>
            <w:r>
              <w:rPr>
                <w:rFonts w:ascii="仿宋_GB2312" w:hAnsi="仿宋_GB2312" w:cs="仿宋_GB2312" w:eastAsia="仿宋_GB2312"/>
              </w:rPr>
              <w:t>响应文件封面 技术方案.docx 已标价工程量清单 技术服务合同条款及其他商务要求应答表 响应函 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一、评审内容:①施工组织设计；②工艺流程。 二、评审标准:①科学性:内容符合项目实际需求，科学合理、条理清楚；②完整性：内容齐全完整，考虑全面。 三、赋分标准(满分10分):①针对施工方案，每完全满足一项评审标准得2.5分，满分5分；存在瑕疵扣0.1-2.5分。②针对工艺流程，每完全满足一项评审标准得2.5分，满分5分；存在瑕疵扣0.1-2.5分。注:瑕疵是指内容不完整或不详细或内容前后表述不一致或缺项或缺少关键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确保质量的技术组织措施</w:t>
            </w:r>
          </w:p>
        </w:tc>
        <w:tc>
          <w:tcPr>
            <w:tcW w:type="dxa" w:w="2492"/>
          </w:tcPr>
          <w:p>
            <w:pPr>
              <w:pStyle w:val="null3"/>
            </w:pPr>
            <w:r>
              <w:rPr>
                <w:rFonts w:ascii="仿宋_GB2312" w:hAnsi="仿宋_GB2312" w:cs="仿宋_GB2312" w:eastAsia="仿宋_GB2312"/>
              </w:rPr>
              <w:t>一、评审内容:①质量管理体系；②过程控制措施。 二、评审标准:①完整性:覆盖全生命周期质量管理;②合理性:可落地执行。 三、赋分标准(满分10分):①针对质量管理体系，每完全满足一项评审标准得2.5分，满分5分;存在瑕疵扣o.1-2.5分。 ②针对过程控制措施，每完全满足一项评审标准得25分，满分5分;存在瑕疵扣。1-25分。注:瑕疵是指内容不完整或不详细或内容前后表述不一致或缺项或缺少关键点。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确保安全的技术组织措施</w:t>
            </w:r>
          </w:p>
        </w:tc>
        <w:tc>
          <w:tcPr>
            <w:tcW w:type="dxa" w:w="2492"/>
          </w:tcPr>
          <w:p>
            <w:pPr>
              <w:pStyle w:val="null3"/>
            </w:pPr>
            <w:r>
              <w:rPr>
                <w:rFonts w:ascii="仿宋_GB2312" w:hAnsi="仿宋_GB2312" w:cs="仿宋_GB2312" w:eastAsia="仿宋_GB2312"/>
              </w:rPr>
              <w:t>一、评审内容：①安全责任体系；②风险防控措施。 二、评审标准：①合规性：符合国家强制标准；②实操性：可落地执行。 三、赋分标准（满分10分）： ①针对安全责任体系，每完全满足一项评审标准得2.5分，满分5分；存在瑕疵扣0 .1- 2.5分。②针对风险防控措施，每完全满足一项评审标准得2.5分，满分5分；存在瑕疵扣0.1-2.5分。注：瑕疵是指内容不完整或不详细或内容前后表述不一致或缺项或缺少关键点。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组织机构及管理制度</w:t>
            </w:r>
          </w:p>
        </w:tc>
        <w:tc>
          <w:tcPr>
            <w:tcW w:type="dxa" w:w="2492"/>
          </w:tcPr>
          <w:p>
            <w:pPr>
              <w:pStyle w:val="null3"/>
            </w:pPr>
            <w:r>
              <w:rPr>
                <w:rFonts w:ascii="仿宋_GB2312" w:hAnsi="仿宋_GB2312" w:cs="仿宋_GB2312" w:eastAsia="仿宋_GB2312"/>
              </w:rPr>
              <w:t>一、评审内容:①组织机构；②管理制度。 二、评审标准:①完整性:内容全面、覆盖整个项目部；②合理性:内容齐全、符合项目实际。 三、赋分标准(满分10分):①针对组织机构：每完全满足一项评审标准得2.5分，满分5分；存在瑕疵扣0.1-2.5分；②针对管理制度，每完全满足一项评审标准得2.5分，满分5分；存在瑕疵扣0.1-2.5分；注:瑕疵是指内容不完整或不详细或内容前后表述不一致或缺项或缺少关键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验收方案及售后服务</w:t>
            </w:r>
          </w:p>
        </w:tc>
        <w:tc>
          <w:tcPr>
            <w:tcW w:type="dxa" w:w="2492"/>
          </w:tcPr>
          <w:p>
            <w:pPr>
              <w:pStyle w:val="null3"/>
            </w:pPr>
            <w:r>
              <w:rPr>
                <w:rFonts w:ascii="仿宋_GB2312" w:hAnsi="仿宋_GB2312" w:cs="仿宋_GB2312" w:eastAsia="仿宋_GB2312"/>
              </w:rPr>
              <w:t>一、评审内容:①验收方案；②售后服务计划及承诺。 二、评审标准:①完备性:内容详尽，考虑全面；②合理性:贴合项目实际需求。 三、赋分标准(满分10分):①针对验收方案，每完全满足一项评审标准得2.5分，满分5分；存在瑕疵扣0.1-2.5分；②售后服务计划及相关承诺，每完全满足一项评审标准得2.5分，满分5分；存在瑕疵扣0.1-2.5分；注:瑕疵是指内容不完整或不详细或内容前后表述不一致或缺项或缺少关键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一、评审内容:制定项目实施期间的环境保护措施。 二、评审标准:①完备性:措施内容完善；②可操作性:内容针对性强，有良好的可操作性。 三、赋分标准(满分10分):每完全满足一项评审标准得5分，满分10分；存在瑕疵扣0.1-5分。注:瑕疵是指内容不完整或不详细或内容前后表述不一致或缺项或缺少关键点。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以合同的形式提供自2022年9月至今类似项目业绩，每份2分，满分10分.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x价格分值(注:满足招标文件要求且投标价格最低的投标报价为评标基准价。)最低报价不是中标的唯一依据。因落实政府采购政策进行价格调整的，以调整后的价格计算评标基准价和投标报价。本项目为专门面向中小型企业，不享受价格折扣优惠。</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