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版本号：JXZB2025-03220250925001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宜君县社会治安综合治理中心建设项目(一期)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JXZB2025-032</w:t>
      </w:r>
      <w:r>
        <w:br/>
      </w:r>
      <w:r>
        <w:br/>
      </w:r>
      <w:r>
        <w:br/>
      </w:r>
    </w:p>
    <w:p>
      <w:pPr>
        <w:pStyle w:val="null3"/>
        <w:jc w:val="center"/>
        <w:outlineLvl w:val="2"/>
      </w:pPr>
      <w:r>
        <w:rPr>
          <w:rFonts w:ascii="仿宋_GB2312" w:hAnsi="仿宋_GB2312" w:cs="仿宋_GB2312" w:eastAsia="仿宋_GB2312"/>
          <w:sz w:val="28"/>
          <w:b/>
        </w:rPr>
        <w:t>宜君县司法局</w:t>
      </w:r>
    </w:p>
    <w:p>
      <w:pPr>
        <w:pStyle w:val="null3"/>
        <w:jc w:val="center"/>
        <w:outlineLvl w:val="2"/>
      </w:pPr>
      <w:r>
        <w:rPr>
          <w:rFonts w:ascii="仿宋_GB2312" w:hAnsi="仿宋_GB2312" w:cs="仿宋_GB2312" w:eastAsia="仿宋_GB2312"/>
          <w:sz w:val="28"/>
          <w:b/>
        </w:rPr>
        <w:t>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嘉翔项目管理有限公司</w:t>
      </w:r>
      <w:r>
        <w:rPr>
          <w:rFonts w:ascii="仿宋_GB2312" w:hAnsi="仿宋_GB2312" w:cs="仿宋_GB2312" w:eastAsia="仿宋_GB2312"/>
        </w:rPr>
        <w:t>（以下简称“代理机构”）受</w:t>
      </w:r>
      <w:r>
        <w:rPr>
          <w:rFonts w:ascii="仿宋_GB2312" w:hAnsi="仿宋_GB2312" w:cs="仿宋_GB2312" w:eastAsia="仿宋_GB2312"/>
        </w:rPr>
        <w:t>宜君县司法局</w:t>
      </w:r>
      <w:r>
        <w:rPr>
          <w:rFonts w:ascii="仿宋_GB2312" w:hAnsi="仿宋_GB2312" w:cs="仿宋_GB2312" w:eastAsia="仿宋_GB2312"/>
        </w:rPr>
        <w:t>委托，拟对</w:t>
      </w:r>
      <w:r>
        <w:rPr>
          <w:rFonts w:ascii="仿宋_GB2312" w:hAnsi="仿宋_GB2312" w:cs="仿宋_GB2312" w:eastAsia="仿宋_GB2312"/>
        </w:rPr>
        <w:t>宜君县社会治安综合治理中心建设项目(一期)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JXZB2025-032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宜君县社会治安综合治理中心建设项目(一期)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宜君县社会治安综合治理中心建设项目（一期）；本项目为宜君县社会治安综合治理中心建设项目(一期)，主要工程内容包括:房屋建筑与装饰工程、室外工程、电器设备安装工程、采暖燃气工程、给排水工程、通风空调工程等内容。具体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采购包1（宜君县社会治安综合治理中心建设项目(一期)）：属于专门面向中小企业采购。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2、企业资质：供应商须具备建设行政主管部门颁发的建筑工程施工总承包三级及以上资质，且具备合法有效的安全生产许可证；</w:t>
      </w:r>
    </w:p>
    <w:p>
      <w:pPr>
        <w:pStyle w:val="null3"/>
      </w:pPr>
      <w:r>
        <w:rPr>
          <w:rFonts w:ascii="仿宋_GB2312" w:hAnsi="仿宋_GB2312" w:cs="仿宋_GB2312" w:eastAsia="仿宋_GB2312"/>
        </w:rPr>
        <w:t>3、拟派项目负责人要求：供应商拟派项目经理须具备建筑工程专业二级及以上注册建造师资格，并具备有效的安全生产考核合格证书，在本单位注册，无在建项目；</w:t>
      </w:r>
    </w:p>
    <w:p>
      <w:pPr>
        <w:pStyle w:val="null3"/>
      </w:pPr>
      <w:r>
        <w:rPr>
          <w:rFonts w:ascii="仿宋_GB2312" w:hAnsi="仿宋_GB2312" w:cs="仿宋_GB2312" w:eastAsia="仿宋_GB2312"/>
        </w:rPr>
        <w:t>4、备案信息：供应商、拟派项目经理需在“陕西省住房和城乡建设厅（http://js.shaanxi.gov.cn/）陕西省建筑市场监管与诚信信息发布平台”可查询；</w:t>
      </w:r>
    </w:p>
    <w:p>
      <w:pPr>
        <w:pStyle w:val="null3"/>
      </w:pPr>
      <w:r>
        <w:rPr>
          <w:rFonts w:ascii="仿宋_GB2312" w:hAnsi="仿宋_GB2312" w:cs="仿宋_GB2312" w:eastAsia="仿宋_GB2312"/>
        </w:rPr>
        <w:t>5、财务状况报表：提供2023年度或2024年度经审计的财务报告，或提交自2024年11月1日以来其基本开户银行出具的资信证明（以上二种形式的资料提供任何一种即可）；其他组织和自然人提供银行出具的资信证明或财务报表；</w:t>
      </w:r>
    </w:p>
    <w:p>
      <w:pPr>
        <w:pStyle w:val="null3"/>
      </w:pPr>
      <w:r>
        <w:rPr>
          <w:rFonts w:ascii="仿宋_GB2312" w:hAnsi="仿宋_GB2312" w:cs="仿宋_GB2312" w:eastAsia="仿宋_GB2312"/>
        </w:rPr>
        <w:t>6、税收缴纳证明：提供供应商2024年至今任意一个月已缴纳的完税凭证或税务机关开具的完税证明（任意税种），依法免税的单位应提供相关证明材料；</w:t>
      </w:r>
    </w:p>
    <w:p>
      <w:pPr>
        <w:pStyle w:val="null3"/>
      </w:pPr>
      <w:r>
        <w:rPr>
          <w:rFonts w:ascii="仿宋_GB2312" w:hAnsi="仿宋_GB2312" w:cs="仿宋_GB2312" w:eastAsia="仿宋_GB2312"/>
        </w:rPr>
        <w:t>7、社会保障资金缴纳证明：提供供应商2024年至今任意一个月的社会保障资金缴存单据或社保机构开具的社会保险参保缴费情况证明。依法不需要缴纳社会保障资金的供应商应提供相关证明文件；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8、声明书：提供具有履行本合同所必需的设备和专业技术能力的声明；</w:t>
      </w:r>
    </w:p>
    <w:p>
      <w:pPr>
        <w:pStyle w:val="null3"/>
      </w:pPr>
      <w:r>
        <w:rPr>
          <w:rFonts w:ascii="仿宋_GB2312" w:hAnsi="仿宋_GB2312" w:cs="仿宋_GB2312" w:eastAsia="仿宋_GB2312"/>
        </w:rPr>
        <w:t>9、声明书：出具参加政府采购活动前3年内在经营活动中没有重大违法记录的书面声明</w:t>
      </w:r>
    </w:p>
    <w:p>
      <w:pPr>
        <w:pStyle w:val="null3"/>
      </w:pPr>
      <w:r>
        <w:rPr>
          <w:rFonts w:ascii="仿宋_GB2312" w:hAnsi="仿宋_GB2312" w:cs="仿宋_GB2312" w:eastAsia="仿宋_GB2312"/>
        </w:rPr>
        <w:t>10、法定代表人授权书：法定代表人授权书及被授权人身份证(法定代表人直接参加投标，须提交其身份证复印件及法定代表人身份证明)；</w:t>
      </w:r>
    </w:p>
    <w:p>
      <w:pPr>
        <w:pStyle w:val="null3"/>
      </w:pPr>
      <w:r>
        <w:rPr>
          <w:rFonts w:ascii="仿宋_GB2312" w:hAnsi="仿宋_GB2312" w:cs="仿宋_GB2312" w:eastAsia="仿宋_GB2312"/>
        </w:rPr>
        <w:t>11、信用截图：供应商不得为“信用中国”网站(www.creditchina.gov.cn)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p>
      <w:pPr>
        <w:pStyle w:val="null3"/>
      </w:pPr>
      <w:r>
        <w:rPr>
          <w:rFonts w:ascii="仿宋_GB2312" w:hAnsi="仿宋_GB2312" w:cs="仿宋_GB2312" w:eastAsia="仿宋_GB2312"/>
        </w:rPr>
        <w:t>12、非联合体声明：本项目不接受联合体磋商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宜君县司法局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宜君县人社大楼8楼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宜君县司法局经办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18161799675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西安曲江新区雁南五路曲江影视大厦19层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029-85495286 转 8009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蔡富春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采购包1：728,864.09元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关于印发《招标代理服务收费管理暂行办法》的通知（计价格[2002]1980号）、国家发展改革委《关于降低部分建设项目收费标准规范收费行为等有关问题的通知》（发改价格[2011]534号）”规定收费标准收取。结算时以项目成交价为基数，按照合同签订收取比例计算招标代理服务费，代理费不足3000元的，按3000元收取。 招标代理服务费收款账户信息： 招标代理机构开户名称：嘉翔项目管理有限公司 开户行名称：中国建设银行股份有限公司西安八里村支行 账号：61050172370000000288 转账附言：JXZB2025-032代理服务费 注：成交人支付招标代理服务费后，请将转账凭证、单位开票信息、发票收件人地址信息发至3363927373@qq.com，如有疑问，可致电029-85495286 转 8009。</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宜君县司法局</w:t>
      </w:r>
      <w:r>
        <w:rPr>
          <w:rFonts w:ascii="仿宋_GB2312" w:hAnsi="仿宋_GB2312" w:cs="仿宋_GB2312" w:eastAsia="仿宋_GB2312"/>
        </w:rPr>
        <w:t>和</w:t>
      </w:r>
      <w:r>
        <w:rPr>
          <w:rFonts w:ascii="仿宋_GB2312" w:hAnsi="仿宋_GB2312" w:cs="仿宋_GB2312" w:eastAsia="仿宋_GB2312"/>
        </w:rPr>
        <w:t>嘉翔项目管理有限公司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宜君县司法局</w:t>
      </w:r>
      <w:r>
        <w:rPr>
          <w:rFonts w:ascii="仿宋_GB2312" w:hAnsi="仿宋_GB2312" w:cs="仿宋_GB2312" w:eastAsia="仿宋_GB2312"/>
        </w:rPr>
        <w:t>负责解释。除上述磋商文件内容，其他内容由</w:t>
      </w:r>
      <w:r>
        <w:rPr>
          <w:rFonts w:ascii="仿宋_GB2312" w:hAnsi="仿宋_GB2312" w:cs="仿宋_GB2312" w:eastAsia="仿宋_GB2312"/>
        </w:rPr>
        <w:t>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宜君县司法局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联系人：田凯</w:t>
      </w:r>
    </w:p>
    <w:p>
      <w:pPr>
        <w:pStyle w:val="null3"/>
      </w:pPr>
      <w:r>
        <w:rPr>
          <w:rFonts w:ascii="仿宋_GB2312" w:hAnsi="仿宋_GB2312" w:cs="仿宋_GB2312" w:eastAsia="仿宋_GB2312"/>
        </w:rPr>
        <w:t>联系电话：029-85495286转8009</w:t>
      </w:r>
    </w:p>
    <w:p>
      <w:pPr>
        <w:pStyle w:val="null3"/>
      </w:pPr>
      <w:r>
        <w:rPr>
          <w:rFonts w:ascii="仿宋_GB2312" w:hAnsi="仿宋_GB2312" w:cs="仿宋_GB2312" w:eastAsia="仿宋_GB2312"/>
        </w:rPr>
        <w:t>地址：西安曲江新区雁南五路曲江影视大厦19层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728,864.09</w:t>
      </w:r>
    </w:p>
    <w:p>
      <w:pPr>
        <w:pStyle w:val="null3"/>
      </w:pPr>
      <w:r>
        <w:rPr>
          <w:rFonts w:ascii="仿宋_GB2312" w:hAnsi="仿宋_GB2312" w:cs="仿宋_GB2312" w:eastAsia="仿宋_GB2312"/>
        </w:rPr>
        <w:t>采购包最高限价（元）: 728,864.09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宜君县社会治安综合治理中心建设项目(一期)</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728,864.09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标的名称：宜君县社会治安综合治理中心建设项目(一期)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rPr>
              <w:t>1.工期：45日历天。</w:t>
            </w:r>
          </w:p>
          <w:p>
            <w:pPr>
              <w:pStyle w:val="null3"/>
            </w:pPr>
            <w:r>
              <w:rPr>
                <w:rFonts w:ascii="仿宋_GB2312" w:hAnsi="仿宋_GB2312" w:cs="仿宋_GB2312" w:eastAsia="仿宋_GB2312"/>
                <w:sz w:val="18"/>
              </w:rPr>
              <w:t>2.施工范围：本项目为宜君县社会治安综合治理中心建设项目(一期)，主要工程内容包括:房屋建筑与装饰工程、室外工程电器设备安装工程、采暖燃气工程、给排水工程、通风空调工程等内容。具体内容详见工程量清单。</w:t>
            </w:r>
          </w:p>
          <w:p>
            <w:pPr>
              <w:pStyle w:val="null3"/>
            </w:pPr>
            <w:r>
              <w:rPr>
                <w:rFonts w:ascii="仿宋_GB2312" w:hAnsi="仿宋_GB2312" w:cs="仿宋_GB2312" w:eastAsia="仿宋_GB2312"/>
                <w:sz w:val="18"/>
              </w:rPr>
              <w:t>3.技术要求：宜君县社会治安综合治理中心建设项目(一期):所有整修必须达到国家标准，所以产品必须是全新的、未使用过的，物资质量应符合国家标准、行业标准，所有材料到达现场后，必须提供相关合格证明材料。其外观用料、内容均需符合合同要求，并按照甲方要求进行施工，期间产生的物流、装卸等全部费用，由施工方承担。</w:t>
            </w:r>
          </w:p>
          <w:p>
            <w:pPr>
              <w:pStyle w:val="null3"/>
            </w:pPr>
            <w:r>
              <w:rPr>
                <w:rFonts w:ascii="仿宋_GB2312" w:hAnsi="仿宋_GB2312" w:cs="仿宋_GB2312" w:eastAsia="仿宋_GB2312"/>
                <w:sz w:val="18"/>
              </w:rPr>
              <w:t>4.质量标准：达到国家现行施工验收规范“合格”标准</w:t>
            </w:r>
          </w:p>
          <w:p>
            <w:pPr>
              <w:pStyle w:val="null3"/>
            </w:pPr>
            <w:r>
              <w:rPr>
                <w:rFonts w:ascii="仿宋_GB2312" w:hAnsi="仿宋_GB2312" w:cs="仿宋_GB2312" w:eastAsia="仿宋_GB2312"/>
                <w:sz w:val="18"/>
                <w:color w:val="000000"/>
              </w:rPr>
              <w:t>5.</w:t>
            </w:r>
            <w:r>
              <w:rPr>
                <w:rFonts w:ascii="仿宋_GB2312" w:hAnsi="仿宋_GB2312" w:cs="仿宋_GB2312" w:eastAsia="仿宋_GB2312"/>
                <w:sz w:val="18"/>
                <w:color w:val="000000"/>
              </w:rPr>
              <w:t>质量保修期：2年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满足项目采购需求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1、该项目施工地点为宜君县，合同签订后5日内施工方需提供宜君县社会治安综合治理中心建设项目(一期)的施工方案，并将施工方案的内容交于甲方，同时进行施工、备货，合同签订之日起45天内全部施工完毕。 2、施工方应按甲方要求提供质量保修服务，质保期内相关费用由施工方承担，超出质保期的供应商应当提供上门维修服务，仅收取成本费。 3、本项目全过程中提供的数据、照片、资料、档案、视频均应做好保密工作，项目建设、运输、安装至验收完毕前的全部过程中，发生任何安全事故，甲方不负有任何责任。 4、项目实施完毕验收合格后按程序一次性付款。 5、编制使用软件: 广联达云计价平台GCCP7.0版本号7.5000.23.1。 二、采购标的对应的中小企业划分标准所属行业为建筑业。建筑业的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三、成交供应商在领取成交通知书时提供纸质版投标文件两套，应通过专用制作软件直接打印，确保与电子投标文件保持一致，不允许修改和补充。提交地点：西安曲江新区雁南五路曲江影视大厦19层。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关于财务会计制度的证明材料｛注：①可提供2023年度或2024年度经审计的财务报告，②可提供提交自2024年11月1日以来其基本开户银行出具的资信证明｝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其他.pdf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其他.pdf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 其他.pdf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供应商须具备建设行政主管部门颁发的建筑工程施工总承包三级及以上资质，且具备合法有效的安全生产许可证；</w:t>
            </w:r>
          </w:p>
        </w:tc>
        <w:tc>
          <w:tcPr>
            <w:tcW w:type="dxa" w:w="1661"/>
          </w:tcPr>
          <w:p>
            <w:pPr>
              <w:pStyle w:val="null3"/>
            </w:pPr>
            <w:r>
              <w:rPr>
                <w:rFonts w:ascii="仿宋_GB2312" w:hAnsi="仿宋_GB2312" w:cs="仿宋_GB2312" w:eastAsia="仿宋_GB2312"/>
              </w:rPr>
              <w:t>供应商应提交的相关资格证明材料 其他.pdf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拟派项目负责人要求</w:t>
            </w:r>
          </w:p>
        </w:tc>
        <w:tc>
          <w:tcPr>
            <w:tcW w:type="dxa" w:w="3322"/>
          </w:tcPr>
          <w:p>
            <w:pPr>
              <w:pStyle w:val="null3"/>
            </w:pPr>
            <w:r>
              <w:rPr>
                <w:rFonts w:ascii="仿宋_GB2312" w:hAnsi="仿宋_GB2312" w:cs="仿宋_GB2312" w:eastAsia="仿宋_GB2312"/>
              </w:rPr>
              <w:t>供应商拟派项目经理须具备建筑工程专业二级及以上注册建造师资格，并具备有效的安全生产考核合格证书，在本单位注册，无在建项目；</w:t>
            </w:r>
          </w:p>
        </w:tc>
        <w:tc>
          <w:tcPr>
            <w:tcW w:type="dxa" w:w="1661"/>
          </w:tcPr>
          <w:p>
            <w:pPr>
              <w:pStyle w:val="null3"/>
            </w:pPr>
            <w:r>
              <w:rPr>
                <w:rFonts w:ascii="仿宋_GB2312" w:hAnsi="仿宋_GB2312" w:cs="仿宋_GB2312" w:eastAsia="仿宋_GB2312"/>
              </w:rPr>
              <w:t>供应商应提交的相关资格证明材料 其他.pdf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备案信息</w:t>
            </w:r>
          </w:p>
        </w:tc>
        <w:tc>
          <w:tcPr>
            <w:tcW w:type="dxa" w:w="3322"/>
          </w:tcPr>
          <w:p>
            <w:pPr>
              <w:pStyle w:val="null3"/>
            </w:pPr>
            <w:r>
              <w:rPr>
                <w:rFonts w:ascii="仿宋_GB2312" w:hAnsi="仿宋_GB2312" w:cs="仿宋_GB2312" w:eastAsia="仿宋_GB2312"/>
              </w:rPr>
              <w:t>供应商、拟派项目经理需在“陕西省住房和城乡建设厅（http://js.shaanxi.gov.cn/）陕西省建筑市场监管与诚信信息发布平台”可查询；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 其他.pdf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财务状况报表</w:t>
            </w:r>
          </w:p>
        </w:tc>
        <w:tc>
          <w:tcPr>
            <w:tcW w:type="dxa" w:w="3322"/>
          </w:tcPr>
          <w:p>
            <w:pPr>
              <w:pStyle w:val="null3"/>
            </w:pPr>
            <w:r>
              <w:rPr>
                <w:rFonts w:ascii="仿宋_GB2312" w:hAnsi="仿宋_GB2312" w:cs="仿宋_GB2312" w:eastAsia="仿宋_GB2312"/>
              </w:rPr>
              <w:t>提供2023年度或2024年度经审计的财务报告，或提交自2024年11月1日以来其基本开户银行出具的资信证明（以上二种形式的资料提供任何一种即可）；其他组织和自然人提供银行出具的资信证明或财务报表；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 其他.pdf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提供供应商2024年至今任意一个月已缴纳的完税凭证或税务机关开具的完税证明（任意税种），依法免税的单位应提供相关证明材料；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 其他.pdf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提供供应商2024年至今任意一个月的社会保障资金缴存单据或社保机构开具的社会保险参保缴费情况证明。依法不需要缴纳社会保障资金的供应商应提供相关证明文件；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 其他.pdf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 其他.pdf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其他.pdf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法定代表人授权书及被授权人身份证(法定代表人直接参加投标，须提交其身份证复印件及法定代表人身份证明)；</w:t>
            </w:r>
          </w:p>
        </w:tc>
        <w:tc>
          <w:tcPr>
            <w:tcW w:type="dxa" w:w="1661"/>
          </w:tcPr>
          <w:p>
            <w:pPr>
              <w:pStyle w:val="null3"/>
            </w:pPr>
            <w:r>
              <w:rPr>
                <w:rFonts w:ascii="仿宋_GB2312" w:hAnsi="仿宋_GB2312" w:cs="仿宋_GB2312" w:eastAsia="仿宋_GB2312"/>
              </w:rPr>
              <w:t>供应商应提交的相关资格证明材料 其他.pdf</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供应商应提交的相关资格证明材料 其他.pdf</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 其他.pdf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（3）第一次磋商报价未超出总预算或磋商文件规定的最高限价。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45日历天</w:t>
            </w:r>
          </w:p>
        </w:tc>
        <w:tc>
          <w:tcPr>
            <w:tcW w:type="dxa" w:w="1661"/>
          </w:tcPr>
          <w:p>
            <w:pPr>
              <w:pStyle w:val="null3"/>
            </w:pPr>
            <w:r>
              <w:rPr>
                <w:rFonts w:ascii="仿宋_GB2312" w:hAnsi="仿宋_GB2312" w:cs="仿宋_GB2312" w:eastAsia="仿宋_GB2312"/>
              </w:rPr>
              <w:t>报价函 标的清单 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90日历天</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报价函 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供应商提供的响应文件内容无实质性遗漏</w:t>
            </w:r>
          </w:p>
        </w:tc>
        <w:tc>
          <w:tcPr>
            <w:tcW w:type="dxa" w:w="1661"/>
          </w:tcPr>
          <w:p>
            <w:pPr>
              <w:pStyle w:val="null3"/>
            </w:pPr>
            <w:r>
              <w:rPr>
                <w:rFonts w:ascii="仿宋_GB2312" w:hAnsi="仿宋_GB2312" w:cs="仿宋_GB2312" w:eastAsia="仿宋_GB2312"/>
              </w:rPr>
              <w:t>响应文件封面 技术服务合同条款及其他商务要求应答表 其他.pdf 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施工方案及相关技术措施</w:t>
            </w:r>
          </w:p>
        </w:tc>
        <w:tc>
          <w:tcPr>
            <w:tcW w:type="dxa" w:w="2492"/>
          </w:tcPr>
          <w:p>
            <w:pPr>
              <w:pStyle w:val="null3"/>
            </w:pPr>
            <w:r>
              <w:rPr>
                <w:rFonts w:ascii="仿宋_GB2312" w:hAnsi="仿宋_GB2312" w:cs="仿宋_GB2312" w:eastAsia="仿宋_GB2312"/>
              </w:rPr>
              <w:t>针对本项目提供完善的施工方案及相关技术措施，内容包含但不限于：①对项目总体概况表述；②施工部署及措施；③对项目主要及关键方案的表述；④施工总平面图布置等。方案完整，完全包含以上4项且满足实际工作需求的得12分，每缺少一项扣3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其他.pdf</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针对本项目提供完善的工程质量的技术组织措施，内容包含但不限于：①质量管理工作流程；②工程质量保障方案；③工程质量控制体系；④各施工阶段质量管理措施等。方案完整，完全包含以上4项且满足实际工作需求的得8分，每缺少一项扣2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其他.pdf</w:t>
            </w:r>
          </w:p>
        </w:tc>
      </w:tr>
      <w:tr>
        <w:tc>
          <w:tcPr>
            <w:tcW w:type="dxa" w:w="831"/>
            <w:vMerge/>
          </w:tcPr>
          <w:p/>
        </w:tc>
        <w:tc>
          <w:tcPr>
            <w:tcW w:type="dxa" w:w="1661"/>
          </w:tcPr>
          <w:p>
            <w:pPr>
              <w:pStyle w:val="null3"/>
            </w:pPr>
            <w:r>
              <w:rPr>
                <w:rFonts w:ascii="仿宋_GB2312" w:hAnsi="仿宋_GB2312" w:cs="仿宋_GB2312" w:eastAsia="仿宋_GB2312"/>
              </w:rPr>
              <w:t>确保安全施工保证措施</w:t>
            </w:r>
          </w:p>
        </w:tc>
        <w:tc>
          <w:tcPr>
            <w:tcW w:type="dxa" w:w="2492"/>
          </w:tcPr>
          <w:p>
            <w:pPr>
              <w:pStyle w:val="null3"/>
            </w:pPr>
            <w:r>
              <w:rPr>
                <w:rFonts w:ascii="仿宋_GB2312" w:hAnsi="仿宋_GB2312" w:cs="仿宋_GB2312" w:eastAsia="仿宋_GB2312"/>
              </w:rPr>
              <w:t>针对本项目提供完善的安全施工保证措施，内容包含但不限于：①安全生产目标及安全管理体系；②安全生产保障措施；方案完整，完全包含以上2项且满足实际工作需求的得8分，每缺少一项扣4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其他.pdf</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针对本项目提供完善的文明施工及环境保护的技术组织措施，内容包含但不限于：①安全文明施工目标及施工现场的管理措施；②文明施工保障措施；③环境保护管理体系及措施等。方案完整，完全包含以上3项且满足实际工作需求的得6分，每缺少一项扣2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其他.pdf</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针对本项目提供完善的工程进度计划与措施，内容包含但不限于：①工期目标及施工进度计划措施；②遇夜间、雨季、高温等情况的工期保证措施。方案完整，完全包含以上2项且满足实际工作需求的得6分，每缺少一项扣3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其他.pdf</w:t>
            </w:r>
          </w:p>
        </w:tc>
      </w:tr>
      <w:tr>
        <w:tc>
          <w:tcPr>
            <w:tcW w:type="dxa" w:w="831"/>
            <w:vMerge/>
          </w:tcPr>
          <w:p/>
        </w:tc>
        <w:tc>
          <w:tcPr>
            <w:tcW w:type="dxa" w:w="1661"/>
          </w:tcPr>
          <w:p>
            <w:pPr>
              <w:pStyle w:val="null3"/>
            </w:pPr>
            <w:r>
              <w:rPr>
                <w:rFonts w:ascii="仿宋_GB2312" w:hAnsi="仿宋_GB2312" w:cs="仿宋_GB2312" w:eastAsia="仿宋_GB2312"/>
              </w:rPr>
              <w:t>施工机械配备及材料投入计划</w:t>
            </w:r>
          </w:p>
        </w:tc>
        <w:tc>
          <w:tcPr>
            <w:tcW w:type="dxa" w:w="2492"/>
          </w:tcPr>
          <w:p>
            <w:pPr>
              <w:pStyle w:val="null3"/>
            </w:pPr>
            <w:r>
              <w:rPr>
                <w:rFonts w:ascii="仿宋_GB2312" w:hAnsi="仿宋_GB2312" w:cs="仿宋_GB2312" w:eastAsia="仿宋_GB2312"/>
              </w:rPr>
              <w:t>提供针对本项目完善的资源配备计划，内容包含但不限于：①主要材料供应计划；②施工机械设备配备计划；③材料设备发生紧急情况的调度配备计划等。方案完整，完全包含以上3项且满足实际工作需求的得9分，每缺少一项扣3分，每有一项缺陷（缺陷是指不适用项目实际情况、凭空编造、存在逻辑漏洞、科学原理错误、不可能实现的夸大情形以及涉及的规范、标准与本项目要求不一致等）扣1.5分，扣完为止。说明：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其他.pdf</w:t>
            </w:r>
          </w:p>
        </w:tc>
      </w:tr>
      <w:tr>
        <w:tc>
          <w:tcPr>
            <w:tcW w:type="dxa" w:w="831"/>
            <w:vMerge/>
          </w:tcPr>
          <w:p/>
        </w:tc>
        <w:tc>
          <w:tcPr>
            <w:tcW w:type="dxa" w:w="1661"/>
          </w:tcPr>
          <w:p>
            <w:pPr>
              <w:pStyle w:val="null3"/>
            </w:pPr>
            <w:r>
              <w:rPr>
                <w:rFonts w:ascii="仿宋_GB2312" w:hAnsi="仿宋_GB2312" w:cs="仿宋_GB2312" w:eastAsia="仿宋_GB2312"/>
              </w:rPr>
              <w:t>项目部组成人员</w:t>
            </w:r>
          </w:p>
        </w:tc>
        <w:tc>
          <w:tcPr>
            <w:tcW w:type="dxa" w:w="2492"/>
          </w:tcPr>
          <w:p>
            <w:pPr>
              <w:pStyle w:val="null3"/>
            </w:pPr>
            <w:r>
              <w:rPr>
                <w:rFonts w:ascii="仿宋_GB2312" w:hAnsi="仿宋_GB2312" w:cs="仿宋_GB2312" w:eastAsia="仿宋_GB2312"/>
              </w:rPr>
              <w:t>1）拟派人员数量和各专业搭配齐全，组织架构中（不含项目经理）至少包含施工员、安全员、质量员、资料员、材料员各1人（至少5人），满足以上基本要求得4分，不满足不得分。每增加一名专业管理人员增加 1 分，最多加2分。注：以加盖投标人单位公章的证书复印件或扫描件为准。 2）拟派项目经理具有高级及以上职称得3分，中级职称得2分，中级以下职称和无职称得0分。注：以加盖供应商单位公章的证书复印件或扫描件为准。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其他.pdf</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针对本项目提供完善的施工进度表或施工网络图，图表内容完整，合理，得3分；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其他.pdf</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针对本项目提供完善的劳动力安排计划及劳务分包情况表，内容包含但不限于：①劳动力计划表及劳务分包情况表；②劳动力保障措施等。 方案完整，完全包含以上2项且满足实际工作需求的得3分，每缺少一项扣1.5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供应商近3年(自2022年1月1日至今以合同签订日期为准)类似项目业绩，每提供一个业绩得2分，最多得6分；（须附类似项目业绩合同的复印件或扫描件，并加盖公章）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其他.pdf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磋商报价采用低价优先法计算，即满足竞争性磋商文件要求且最后磋商报价最低的报价为评审基准价，其价格分为满分。其他供应商的价格分统一按照下列公式计算： 磋商报价得分=（评审基准价/最后磋商报价）×30。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详见附件：其他.pdf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