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版本号：中赞招字(2025)第019号20250927001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优质均衡部室建设及校园维修项目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中赞招字(2025)第019号</w:t>
      </w:r>
      <w:r>
        <w:br/>
      </w:r>
      <w:r>
        <w:br/>
      </w:r>
      <w:r>
        <w:br/>
      </w:r>
    </w:p>
    <w:p>
      <w:pPr>
        <w:pStyle w:val="null3"/>
        <w:jc w:val="center"/>
        <w:outlineLvl w:val="2"/>
      </w:pPr>
      <w:r>
        <w:rPr>
          <w:rFonts w:ascii="仿宋_GB2312" w:hAnsi="仿宋_GB2312" w:cs="仿宋_GB2312" w:eastAsia="仿宋_GB2312"/>
          <w:sz w:val="28"/>
          <w:b/>
        </w:rPr>
        <w:t>宜君县第二中学</w:t>
      </w:r>
    </w:p>
    <w:p>
      <w:pPr>
        <w:pStyle w:val="null3"/>
        <w:jc w:val="center"/>
        <w:outlineLvl w:val="2"/>
      </w:pPr>
      <w:r>
        <w:rPr>
          <w:rFonts w:ascii="仿宋_GB2312" w:hAnsi="仿宋_GB2312" w:cs="仿宋_GB2312" w:eastAsia="仿宋_GB2312"/>
          <w:sz w:val="28"/>
          <w:b/>
        </w:rPr>
        <w:t>中赞国际项目管理有限公司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中赞国际项目管理有限公司</w:t>
      </w:r>
      <w:r>
        <w:rPr>
          <w:rFonts w:ascii="仿宋_GB2312" w:hAnsi="仿宋_GB2312" w:cs="仿宋_GB2312" w:eastAsia="仿宋_GB2312"/>
        </w:rPr>
        <w:t>（以下简称“代理机构”）受</w:t>
      </w:r>
      <w:r>
        <w:rPr>
          <w:rFonts w:ascii="仿宋_GB2312" w:hAnsi="仿宋_GB2312" w:cs="仿宋_GB2312" w:eastAsia="仿宋_GB2312"/>
        </w:rPr>
        <w:t>宜君县第二中学</w:t>
      </w:r>
      <w:r>
        <w:rPr>
          <w:rFonts w:ascii="仿宋_GB2312" w:hAnsi="仿宋_GB2312" w:cs="仿宋_GB2312" w:eastAsia="仿宋_GB2312"/>
        </w:rPr>
        <w:t>委托，拟对</w:t>
      </w:r>
      <w:r>
        <w:rPr>
          <w:rFonts w:ascii="仿宋_GB2312" w:hAnsi="仿宋_GB2312" w:cs="仿宋_GB2312" w:eastAsia="仿宋_GB2312"/>
        </w:rPr>
        <w:t>优质均衡部室建设及校园维修项目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中赞招字(2025)第019号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优质均衡部室建设及校园维修项目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优质均衡部室建设及校园维修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采购包1（优质均衡部室建设及校园维修项目）：属于专门面向小微企业采购。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事业单位法人证书等国家规定的相关证明：供应商应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证明书或法定代表人授权委托书：法定代表人参加投标的，须提供法定代表人证明书及本人身份证复印件；法定代表人授权他人参加投标的，须提供法定代表人授权委托书并提供授权代表身份证复印件。采购单位中凡是需要法定代表人签字盖章之处，非法人单位的负责人均参照执行。</w:t>
      </w:r>
    </w:p>
    <w:p>
      <w:pPr>
        <w:pStyle w:val="null3"/>
      </w:pPr>
      <w:r>
        <w:rPr>
          <w:rFonts w:ascii="仿宋_GB2312" w:hAnsi="仿宋_GB2312" w:cs="仿宋_GB2312" w:eastAsia="仿宋_GB2312"/>
        </w:rPr>
        <w:t>3、纳税证明或完税证明：提交响应文件截止时间三个月内任意一个月的纳税证明或完税证明（提供增值税、营业税、企业所得税中的至少一种），纳税证明或完税证明上应有代收机构或税务机关的公章或业务专用章。依法免税的单位应提供相关证明材料。</w:t>
      </w:r>
    </w:p>
    <w:p>
      <w:pPr>
        <w:pStyle w:val="null3"/>
      </w:pPr>
      <w:r>
        <w:rPr>
          <w:rFonts w:ascii="仿宋_GB2312" w:hAnsi="仿宋_GB2312" w:cs="仿宋_GB2312" w:eastAsia="仿宋_GB2312"/>
        </w:rPr>
        <w:t>4、履行合同所必需的设备和专业技术能力：具有履行合同所必需的设备和专业技术能力（提供声明）</w:t>
      </w:r>
    </w:p>
    <w:p>
      <w:pPr>
        <w:pStyle w:val="null3"/>
      </w:pPr>
      <w:r>
        <w:rPr>
          <w:rFonts w:ascii="仿宋_GB2312" w:hAnsi="仿宋_GB2312" w:cs="仿宋_GB2312" w:eastAsia="仿宋_GB2312"/>
        </w:rPr>
        <w:t>5、参加本次政府采购活动前3年内在经营活动中没有重大违法记录或被起诉：参加本次政府采购活动前3年内在经营活动中没有重大违法记录或被起诉（提供声明）</w:t>
      </w:r>
    </w:p>
    <w:p>
      <w:pPr>
        <w:pStyle w:val="null3"/>
      </w:pPr>
      <w:r>
        <w:rPr>
          <w:rFonts w:ascii="仿宋_GB2312" w:hAnsi="仿宋_GB2312" w:cs="仿宋_GB2312" w:eastAsia="仿宋_GB2312"/>
        </w:rPr>
        <w:t>6、信誉查询：供应商不得为“信用中国(www.creditchina.gov.cn)”中列入重大税收违法失信主体、严重失信主体名单及政府采购严重违法失信行为记录名单查询的供应商；不得在“中国执行信息公开网(http://zxgk.court.gov.cn)”被列为失信被执行人；不得被列入“国家企业信用信息公示系统(http://www.gsxt.gov.cn/index.html)”行政处罚信息、经营异常名录信息及严重违法失信名单；（提供查询截图）</w:t>
      </w:r>
    </w:p>
    <w:p>
      <w:pPr>
        <w:pStyle w:val="null3"/>
      </w:pPr>
      <w:r>
        <w:rPr>
          <w:rFonts w:ascii="仿宋_GB2312" w:hAnsi="仿宋_GB2312" w:cs="仿宋_GB2312" w:eastAsia="仿宋_GB2312"/>
        </w:rPr>
        <w:t>7、非联合体投标：本项目不接受联合体投标（提供声明）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宜君县第二中学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宜君县五里镇北街77号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宜君县第二中学经办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13992920152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中赞国际项目管理有限公司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陕西省铜川市印台区延安路幸福佳苑3号楼5层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赵思宇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13152295000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蔡富春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采购包1：456,442.05元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照国家计委关于印发《招标代理服务收费管理暂行办法》的通知(计价格〔2002〕1980号）及《国家发展改革委办公厅关于招标代理服务收费有关问题的通知》（发改办价格〔2003〕857号）文件规定的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宜君县第二中学</w:t>
      </w:r>
      <w:r>
        <w:rPr>
          <w:rFonts w:ascii="仿宋_GB2312" w:hAnsi="仿宋_GB2312" w:cs="仿宋_GB2312" w:eastAsia="仿宋_GB2312"/>
        </w:rPr>
        <w:t>和</w:t>
      </w:r>
      <w:r>
        <w:rPr>
          <w:rFonts w:ascii="仿宋_GB2312" w:hAnsi="仿宋_GB2312" w:cs="仿宋_GB2312" w:eastAsia="仿宋_GB2312"/>
        </w:rPr>
        <w:t>中赞国际项目管理有限公司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宜君县第二中学</w:t>
      </w:r>
      <w:r>
        <w:rPr>
          <w:rFonts w:ascii="仿宋_GB2312" w:hAnsi="仿宋_GB2312" w:cs="仿宋_GB2312" w:eastAsia="仿宋_GB2312"/>
        </w:rPr>
        <w:t>负责解释。除上述磋商文件内容，其他内容由</w:t>
      </w:r>
      <w:r>
        <w:rPr>
          <w:rFonts w:ascii="仿宋_GB2312" w:hAnsi="仿宋_GB2312" w:cs="仿宋_GB2312" w:eastAsia="仿宋_GB2312"/>
        </w:rPr>
        <w:t>中赞国际项目管理有限公司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宜君县第二中学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中赞国际项目管理有限公司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中赞国际项目管理有限公司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中赞国际项目管理有限公司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中赞国际项目管理有限公司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联系人：赵思宇</w:t>
      </w:r>
    </w:p>
    <w:p>
      <w:pPr>
        <w:pStyle w:val="null3"/>
      </w:pPr>
      <w:r>
        <w:rPr>
          <w:rFonts w:ascii="仿宋_GB2312" w:hAnsi="仿宋_GB2312" w:cs="仿宋_GB2312" w:eastAsia="仿宋_GB2312"/>
        </w:rPr>
        <w:t>联系电话：13152295000</w:t>
      </w:r>
    </w:p>
    <w:p>
      <w:pPr>
        <w:pStyle w:val="null3"/>
      </w:pPr>
      <w:r>
        <w:rPr>
          <w:rFonts w:ascii="仿宋_GB2312" w:hAnsi="仿宋_GB2312" w:cs="仿宋_GB2312" w:eastAsia="仿宋_GB2312"/>
        </w:rPr>
        <w:t>地址：陕西省铜川市印台区延安路幸福佳苑3号楼5层</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456,442.05</w:t>
      </w:r>
    </w:p>
    <w:p>
      <w:pPr>
        <w:pStyle w:val="null3"/>
      </w:pPr>
      <w:r>
        <w:rPr>
          <w:rFonts w:ascii="仿宋_GB2312" w:hAnsi="仿宋_GB2312" w:cs="仿宋_GB2312" w:eastAsia="仿宋_GB2312"/>
        </w:rPr>
        <w:t>采购包最高限价（元）: 456,442.05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宜君县第二中学优质均衡部室建设及校园维修项目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456,442.05</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标的名称：宜君县第二中学优质均衡部室建设及校园维修项目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1、工期：30日历天； 2、验收合格标准：达到国家及行业现行技术规范标准，符合国家及行业验收合格标准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2024年度经审计的财务报告（包含审计报告和审计报告中所涉及的财务报表和报表附注）。②、可提供响应文件提交截止日一年内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营业执照或事业单位法人证书等国家规定的相关证明</w:t>
            </w:r>
          </w:p>
        </w:tc>
        <w:tc>
          <w:tcPr>
            <w:tcW w:type="dxa" w:w="3322"/>
          </w:tcPr>
          <w:p>
            <w:pPr>
              <w:pStyle w:val="null3"/>
            </w:pPr>
            <w:r>
              <w:rPr>
                <w:rFonts w:ascii="仿宋_GB2312" w:hAnsi="仿宋_GB2312" w:cs="仿宋_GB2312" w:eastAsia="仿宋_GB2312"/>
              </w:rPr>
              <w:t>供应商应具有独立承担民事责任能力的法人、其他组织或自然人，并出具合法有效的营业执照或事业单位法人证书等国家规定的相关证明，自然人参与的提供其身份证明。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法定代表人证明书或法定代表人授权委托书</w:t>
            </w:r>
          </w:p>
        </w:tc>
        <w:tc>
          <w:tcPr>
            <w:tcW w:type="dxa" w:w="3322"/>
          </w:tcPr>
          <w:p>
            <w:pPr>
              <w:pStyle w:val="null3"/>
            </w:pPr>
            <w:r>
              <w:rPr>
                <w:rFonts w:ascii="仿宋_GB2312" w:hAnsi="仿宋_GB2312" w:cs="仿宋_GB2312" w:eastAsia="仿宋_GB2312"/>
              </w:rPr>
              <w:t>法定代表人参加投标的，须提供法定代表人证明书及本人身份证复印件；法定代表人授权他人参加投标的，须提供法定代表人授权委托书并提供授权代表身份证复印件。采购单位中凡是需要法定代表人签字盖章之处，非法人单位的负责人均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纳税证明或完税证明</w:t>
            </w:r>
          </w:p>
        </w:tc>
        <w:tc>
          <w:tcPr>
            <w:tcW w:type="dxa" w:w="3322"/>
          </w:tcPr>
          <w:p>
            <w:pPr>
              <w:pStyle w:val="null3"/>
            </w:pPr>
            <w:r>
              <w:rPr>
                <w:rFonts w:ascii="仿宋_GB2312" w:hAnsi="仿宋_GB2312" w:cs="仿宋_GB2312" w:eastAsia="仿宋_GB2312"/>
              </w:rPr>
              <w:t>提交响应文件截止时间三个月内任意一个月的纳税证明或完税证明（提供增值税、营业税、企业所得税中的至少一种），纳税证明或完税证明上应有代收机构或税务机关的公章或业务专用章。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具有履行合同所必需的设备和专业技术能力（提供声明）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参加本次政府采购活动前3年内在经营活动中没有重大违法记录或被起诉</w:t>
            </w:r>
          </w:p>
        </w:tc>
        <w:tc>
          <w:tcPr>
            <w:tcW w:type="dxa" w:w="3322"/>
          </w:tcPr>
          <w:p>
            <w:pPr>
              <w:pStyle w:val="null3"/>
            </w:pPr>
            <w:r>
              <w:rPr>
                <w:rFonts w:ascii="仿宋_GB2312" w:hAnsi="仿宋_GB2312" w:cs="仿宋_GB2312" w:eastAsia="仿宋_GB2312"/>
              </w:rPr>
              <w:t>参加本次政府采购活动前3年内在经营活动中没有重大违法记录或被起诉（提供声明）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信誉查询</w:t>
            </w:r>
          </w:p>
        </w:tc>
        <w:tc>
          <w:tcPr>
            <w:tcW w:type="dxa" w:w="3322"/>
          </w:tcPr>
          <w:p>
            <w:pPr>
              <w:pStyle w:val="null3"/>
            </w:pPr>
            <w:r>
              <w:rPr>
                <w:rFonts w:ascii="仿宋_GB2312" w:hAnsi="仿宋_GB2312" w:cs="仿宋_GB2312" w:eastAsia="仿宋_GB2312"/>
              </w:rPr>
              <w:t>供应商不得为“信用中国(www.creditchina.gov.cn)”中列入重大税收违法失信主体、严重失信主体名单及政府采购严重违法失信行为记录名单查询的供应商；不得在“中国执行信息公开网(http://zxgk.court.gov.cn)”被列为失信被执行人；不得被列入“国家企业信用信息公示系统(http://www.gsxt.gov.cn/index.html)”行政处罚信息、经营异常名录信息及严重违法失信名单；（提供查询截图）</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应符合“磋商响应文件格式”要求。（签字盖章齐全。）</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应满足磋商文件中要求的工期。</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应满足磋商文件中要求的磋商有效期。</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施工方案所涉及的施工内容及技术措施全面、详细得7.1-10分；施工方案主要部分施工内容有缺陷、不全面、较科学、较合理、较可行得3.1-7分；施工方案较简单得0.1-3分。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工程质量措施</w:t>
            </w:r>
          </w:p>
        </w:tc>
        <w:tc>
          <w:tcPr>
            <w:tcW w:type="dxa" w:w="2492"/>
          </w:tcPr>
          <w:p>
            <w:pPr>
              <w:pStyle w:val="null3"/>
            </w:pPr>
            <w:r>
              <w:rPr>
                <w:rFonts w:ascii="仿宋_GB2312" w:hAnsi="仿宋_GB2312" w:cs="仿宋_GB2312" w:eastAsia="仿宋_GB2312"/>
              </w:rPr>
              <w:t>工程质量措施有专门的质量技术管理机构和制度，且制度健全具有质量管理体系；主要工序有质量技术保证措施和手段，能有效保证技术质量得7.1-10分；工程质量的技术组织措施较科学、较合理、较可行得3.1-7分；工程质量的技术组织措施不科学、不合理、可行性较差得0.1-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安全生产措施</w:t>
            </w:r>
          </w:p>
        </w:tc>
        <w:tc>
          <w:tcPr>
            <w:tcW w:type="dxa" w:w="2492"/>
          </w:tcPr>
          <w:p>
            <w:pPr>
              <w:pStyle w:val="null3"/>
            </w:pPr>
            <w:r>
              <w:rPr>
                <w:rFonts w:ascii="仿宋_GB2312" w:hAnsi="仿宋_GB2312" w:cs="仿宋_GB2312" w:eastAsia="仿宋_GB2312"/>
              </w:rPr>
              <w:t>安全生产的技术组织措施有专门的安全管理人员和制度，且制度健全；各项工序安全技术措施针对性强，符合实际且满足有关安全技术标准要求得7.1-10分；安全生产的技术组织措施较科学、较合理、较可行得3.1-7分；安全生产的技术组织措施不科学、不合理、可行性较差得0.1-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工期措施</w:t>
            </w:r>
          </w:p>
        </w:tc>
        <w:tc>
          <w:tcPr>
            <w:tcW w:type="dxa" w:w="2492"/>
          </w:tcPr>
          <w:p>
            <w:pPr>
              <w:pStyle w:val="null3"/>
            </w:pPr>
            <w:r>
              <w:rPr>
                <w:rFonts w:ascii="仿宋_GB2312" w:hAnsi="仿宋_GB2312" w:cs="仿宋_GB2312" w:eastAsia="仿宋_GB2312"/>
              </w:rPr>
              <w:t>确保工期的技术组织措施在施工工艺、施工方法、材料选用、技术等方面有保证工期或提前竣工的具体措施且措施得当；有控制工期的施工进度计划得7.1-10分；确保工期的技术组织措施较科学、较合理、较可行得3.1-7分；确保工期的技术组织措施不科学、不合理、可行性较差得0.1-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针对本项目特点，应有文明施工计划及措施，环境保护措施，且计划措施内容达到“安全文明示范工地”标准；各项措施周全、具体、有效；提供针对本项目编制垃圾清运现场环保措施、运输保证措施得7.1-10分；文明施工及环境保护措施较科学、较合理、较可行得3.1-7分；文明施工及环境保护措施不科学、不合理、可行性较差得0.1-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有针对本项目编制应急处理措施，包括恶劣天气影响、自然灾害、等特殊情况制定应急处置得0.1-5分；无应急处理措施得0分。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各主要施工工序应有详细周密的劳动力安排计划明细，有各工种劳动力安排计划，劳动力投入经济合理，满足施工需要得2.6-5分；拟投入的劳动力较充分、基本满足项目需要得0.1-2.5分；拟投入的劳动力不充分、不能满足项目需要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提供2023年1月1日至响应文件递交截止日前已完成的工程类业绩(提供中标通知书或合同复印件加盖公章，时间以中标通知书日期或合同签订日期为准），每份计2分，计满10分为止。未提供的不得分。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终报价最低的磋商评审价为磋商基准价，其价格分为满分。其他供应商的价格分统一按照下列公式计算：有效报价得分=（磋商基准价/磋商评审价）*价格权益*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详见附件：建设工程施工合同（示范文本）仅供参考.docx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