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版本号：HGMHCG-2025-8320251009001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2025政府购买公共文化演出服务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HGMHCG-2025-83</w:t>
      </w:r>
      <w:r>
        <w:br/>
      </w:r>
      <w:r>
        <w:br/>
      </w:r>
      <w:r>
        <w:br/>
      </w:r>
    </w:p>
    <w:p>
      <w:pPr>
        <w:pStyle w:val="null3"/>
        <w:jc w:val="center"/>
        <w:outlineLvl w:val="2"/>
      </w:pPr>
      <w:r>
        <w:rPr>
          <w:rFonts w:ascii="仿宋_GB2312" w:hAnsi="仿宋_GB2312" w:cs="仿宋_GB2312" w:eastAsia="仿宋_GB2312"/>
          <w:sz w:val="28"/>
          <w:b/>
        </w:rPr>
        <w:t>宜君县文化和旅游文物局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宜君县文化和旅游文物局</w:t>
      </w:r>
      <w:r>
        <w:rPr>
          <w:rFonts w:ascii="仿宋_GB2312" w:hAnsi="仿宋_GB2312" w:cs="仿宋_GB2312" w:eastAsia="仿宋_GB2312"/>
        </w:rPr>
        <w:t>委托，拟对</w:t>
      </w:r>
      <w:r>
        <w:rPr>
          <w:rFonts w:ascii="仿宋_GB2312" w:hAnsi="仿宋_GB2312" w:cs="仿宋_GB2312" w:eastAsia="仿宋_GB2312"/>
        </w:rPr>
        <w:t>2025政府购买公共文化演出服务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2025政府购买公共文化演出服务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2025政府购买公共文化演出服务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采购包1（2025政府购买公共文化演出服务）：属于专门面向中小企业采购。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7、供应商具有文化行政主管部门颁发的《营业性演出许可证》：供应商具有文化行政主管部门颁发的《营业性演出许可证》。</w:t>
      </w:r>
    </w:p>
    <w:p>
      <w:pPr>
        <w:pStyle w:val="null3"/>
      </w:pPr>
      <w:r>
        <w:rPr>
          <w:rFonts w:ascii="仿宋_GB2312" w:hAnsi="仿宋_GB2312" w:cs="仿宋_GB2312" w:eastAsia="仿宋_GB2312"/>
        </w:rPr>
        <w:t>8、供应商不得为“信用中国”中列入失信被执行人和重大税收违法案件当事人名单的供应商，不得为“中国政府采购网”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宜君县文化和旅游文物局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宜君县文化和旅游文物局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宜君县文化和旅游文物局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宜君县文化和旅游文物局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2025政府购买公共文化演出服务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72.00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为了丰富群众精神文化生活，促进我县文化产业多元化发展，不断增强人民群众的幸福感和获得感。我局按照文化活动举办常态化、系列化、特色化的要求，持续打造地方特色文化品牌，推进政府购买公共文化演出服务工作，全年购买公共文化演出72</w:t>
            </w:r>
            <w:r>
              <w:rPr>
                <w:rFonts w:ascii="仿宋_GB2312" w:hAnsi="仿宋_GB2312" w:cs="仿宋_GB2312" w:eastAsia="仿宋_GB2312"/>
                <w:sz w:val="21"/>
              </w:rPr>
              <w:t>场次，保证演出节目要新颖，高质量完成演出服务。</w:t>
            </w:r>
          </w:p>
          <w:p>
            <w:pPr>
              <w:pStyle w:val="null3"/>
              <w:ind w:firstLine="480"/>
              <w:jc w:val="both"/>
            </w:pPr>
            <w:r>
              <w:rPr>
                <w:rFonts w:ascii="仿宋_GB2312" w:hAnsi="仿宋_GB2312" w:cs="仿宋_GB2312" w:eastAsia="仿宋_GB2312"/>
                <w:sz w:val="21"/>
              </w:rPr>
              <w:t>一、技术要求：</w:t>
            </w:r>
          </w:p>
          <w:p>
            <w:pPr>
              <w:pStyle w:val="null3"/>
              <w:ind w:firstLine="480"/>
              <w:jc w:val="both"/>
            </w:pPr>
            <w:r>
              <w:rPr>
                <w:rFonts w:ascii="仿宋_GB2312" w:hAnsi="仿宋_GB2312" w:cs="仿宋_GB2312" w:eastAsia="仿宋_GB2312"/>
                <w:sz w:val="21"/>
              </w:rPr>
              <w:t>1.符合时代精神、群众喜闻乐见的现代生活题材的艺术作品，表现形式多样化（舞蹈、歌曲小品、快板、相声、魔术、杂技、豫剧、秦腔、乐器等），既有艺术性和观赏性，也具有地方的独创性，充分表现欢快与喜庆的氛围；</w:t>
            </w:r>
          </w:p>
          <w:p>
            <w:pPr>
              <w:pStyle w:val="null3"/>
              <w:ind w:firstLine="480"/>
              <w:jc w:val="both"/>
            </w:pPr>
            <w:r>
              <w:rPr>
                <w:rFonts w:ascii="仿宋_GB2312" w:hAnsi="仿宋_GB2312" w:cs="仿宋_GB2312" w:eastAsia="仿宋_GB2312"/>
                <w:sz w:val="21"/>
              </w:rPr>
              <w:t>2.组织文艺工作者创作与企业形象、愿景相关的艺术作品，以艺术表演的形式充分展现企业、品牌的风采与魅力；</w:t>
            </w:r>
          </w:p>
          <w:p>
            <w:pPr>
              <w:pStyle w:val="null3"/>
              <w:ind w:firstLine="480"/>
              <w:jc w:val="both"/>
            </w:pPr>
            <w:r>
              <w:rPr>
                <w:rFonts w:ascii="仿宋_GB2312" w:hAnsi="仿宋_GB2312" w:cs="仿宋_GB2312" w:eastAsia="仿宋_GB2312"/>
                <w:sz w:val="21"/>
              </w:rPr>
              <w:t>3.鼓励当地有特色的或有影响力的优秀节目参与演出。</w:t>
            </w:r>
          </w:p>
          <w:p>
            <w:pPr>
              <w:pStyle w:val="null3"/>
              <w:ind w:firstLine="480"/>
              <w:jc w:val="both"/>
            </w:pPr>
            <w:r>
              <w:rPr>
                <w:rFonts w:ascii="仿宋_GB2312" w:hAnsi="仿宋_GB2312" w:cs="仿宋_GB2312" w:eastAsia="仿宋_GB2312"/>
                <w:sz w:val="21"/>
              </w:rPr>
              <w:t>二、商务要求：</w:t>
            </w:r>
          </w:p>
          <w:p>
            <w:pPr>
              <w:pStyle w:val="null3"/>
              <w:ind w:firstLine="480"/>
              <w:jc w:val="both"/>
            </w:pPr>
            <w:r>
              <w:rPr>
                <w:rFonts w:ascii="仿宋_GB2312" w:hAnsi="仿宋_GB2312" w:cs="仿宋_GB2312" w:eastAsia="仿宋_GB2312"/>
                <w:sz w:val="21"/>
              </w:rPr>
              <w:t>（一）演出要求</w:t>
            </w:r>
          </w:p>
          <w:p>
            <w:pPr>
              <w:pStyle w:val="null3"/>
              <w:ind w:firstLine="480"/>
              <w:jc w:val="both"/>
            </w:pPr>
            <w:r>
              <w:rPr>
                <w:rFonts w:ascii="仿宋_GB2312" w:hAnsi="仿宋_GB2312" w:cs="仿宋_GB2312" w:eastAsia="仿宋_GB2312"/>
                <w:sz w:val="21"/>
              </w:rPr>
              <w:t>为了进一步满足群众的精神文化需求，保障人民基本文化权益，演出节目编排要围绕社会主义核心价值观、巩固提升全国文明城市、国家卫生城市内容进行创作，主要以社会主义核心价值观，党史学习与文明城市、文明交通、文明行为，以及推广移风易俗，杜绝铺张浪费等为主要内容。相关节目数量不少于总场节目演出的30%。</w:t>
            </w:r>
          </w:p>
          <w:p>
            <w:pPr>
              <w:pStyle w:val="null3"/>
              <w:ind w:firstLine="480"/>
              <w:jc w:val="both"/>
            </w:pPr>
            <w:r>
              <w:rPr>
                <w:rFonts w:ascii="仿宋_GB2312" w:hAnsi="仿宋_GB2312" w:cs="仿宋_GB2312" w:eastAsia="仿宋_GB2312"/>
                <w:sz w:val="21"/>
              </w:rPr>
              <w:t>每场演出参演人员必须达到25人以上，节目时长不少于90分钟，每场不少于10个节目（舞蹈不少于2个，歌曲不少于2个，语言类不少于1个，器乐演奏不少于2个，其余自定）。节目内容要求新颖、健康向上、弘扬正能量，体现时代精神及主办方宣传主题。全年演出当地群众满意度测评达到95％以上。</w:t>
            </w:r>
          </w:p>
          <w:p>
            <w:pPr>
              <w:pStyle w:val="null3"/>
              <w:ind w:firstLine="480"/>
              <w:jc w:val="both"/>
            </w:pPr>
            <w:r>
              <w:rPr>
                <w:rFonts w:ascii="仿宋_GB2312" w:hAnsi="仿宋_GB2312" w:cs="仿宋_GB2312" w:eastAsia="仿宋_GB2312"/>
                <w:sz w:val="21"/>
              </w:rPr>
              <w:t>（二）活动要求</w:t>
            </w:r>
          </w:p>
          <w:p>
            <w:pPr>
              <w:pStyle w:val="null3"/>
              <w:ind w:firstLine="480"/>
              <w:jc w:val="both"/>
            </w:pPr>
            <w:r>
              <w:rPr>
                <w:rFonts w:ascii="仿宋_GB2312" w:hAnsi="仿宋_GB2312" w:cs="仿宋_GB2312" w:eastAsia="仿宋_GB2312"/>
                <w:sz w:val="21"/>
              </w:rPr>
              <w:t>1.积极准备，保证有力，演出顺利。</w:t>
            </w:r>
          </w:p>
          <w:p>
            <w:pPr>
              <w:pStyle w:val="null3"/>
              <w:ind w:firstLine="480"/>
              <w:jc w:val="both"/>
            </w:pPr>
            <w:r>
              <w:rPr>
                <w:rFonts w:ascii="仿宋_GB2312" w:hAnsi="仿宋_GB2312" w:cs="仿宋_GB2312" w:eastAsia="仿宋_GB2312"/>
                <w:sz w:val="21"/>
              </w:rPr>
              <w:t>2.保证演出质量和效果。</w:t>
            </w:r>
          </w:p>
          <w:p>
            <w:pPr>
              <w:pStyle w:val="null3"/>
              <w:ind w:firstLine="480"/>
              <w:jc w:val="both"/>
            </w:pPr>
            <w:r>
              <w:rPr>
                <w:rFonts w:ascii="仿宋_GB2312" w:hAnsi="仿宋_GB2312" w:cs="仿宋_GB2312" w:eastAsia="仿宋_GB2312"/>
                <w:sz w:val="21"/>
              </w:rPr>
              <w:t>3.做好安全防范，确保演出安全。</w:t>
            </w:r>
          </w:p>
          <w:p>
            <w:pPr>
              <w:pStyle w:val="null3"/>
              <w:ind w:firstLine="480"/>
              <w:jc w:val="both"/>
            </w:pPr>
            <w:r>
              <w:rPr>
                <w:rFonts w:ascii="仿宋_GB2312" w:hAnsi="仿宋_GB2312" w:cs="仿宋_GB2312" w:eastAsia="仿宋_GB2312"/>
                <w:sz w:val="21"/>
              </w:rPr>
              <w:t>4.演出单位不得向演出村镇索要报酬、提供便餐等未涉及事项。</w:t>
            </w:r>
          </w:p>
          <w:p>
            <w:pPr>
              <w:pStyle w:val="null3"/>
              <w:ind w:firstLine="480"/>
              <w:jc w:val="both"/>
            </w:pPr>
            <w:r>
              <w:rPr>
                <w:rFonts w:ascii="仿宋_GB2312" w:hAnsi="仿宋_GB2312" w:cs="仿宋_GB2312" w:eastAsia="仿宋_GB2312"/>
                <w:sz w:val="21"/>
              </w:rPr>
              <w:t>5.积极宣传推介。</w:t>
            </w:r>
          </w:p>
          <w:p>
            <w:pPr>
              <w:pStyle w:val="null3"/>
              <w:ind w:firstLine="480"/>
              <w:jc w:val="both"/>
            </w:pPr>
            <w:r>
              <w:rPr>
                <w:rFonts w:ascii="仿宋_GB2312" w:hAnsi="仿宋_GB2312" w:cs="仿宋_GB2312" w:eastAsia="仿宋_GB2312"/>
                <w:sz w:val="21"/>
              </w:rPr>
              <w:t>6.演出结束后要按要求提供完整、规范的举证资料一式三份（演出场次、演出回执单、演出照片、演出节目单等信息资料）报与主办方审核后留存。</w:t>
            </w:r>
          </w:p>
          <w:p>
            <w:pPr>
              <w:pStyle w:val="null3"/>
              <w:ind w:firstLine="480"/>
              <w:jc w:val="both"/>
            </w:pPr>
            <w:r>
              <w:rPr>
                <w:rFonts w:ascii="仿宋_GB2312" w:hAnsi="仿宋_GB2312" w:cs="仿宋_GB2312" w:eastAsia="仿宋_GB2312"/>
                <w:sz w:val="21"/>
              </w:rPr>
              <w:t>（三）应急预案</w:t>
            </w:r>
          </w:p>
          <w:p>
            <w:pPr>
              <w:pStyle w:val="null3"/>
              <w:ind w:firstLine="480"/>
              <w:jc w:val="both"/>
            </w:pPr>
            <w:r>
              <w:rPr>
                <w:rFonts w:ascii="仿宋_GB2312" w:hAnsi="仿宋_GB2312" w:cs="仿宋_GB2312" w:eastAsia="仿宋_GB2312"/>
                <w:sz w:val="21"/>
              </w:rPr>
              <w:t>1.成立安全领导小组，严格落实职责。</w:t>
            </w:r>
          </w:p>
          <w:p>
            <w:pPr>
              <w:pStyle w:val="null3"/>
              <w:ind w:firstLine="480"/>
              <w:jc w:val="both"/>
            </w:pPr>
            <w:r>
              <w:rPr>
                <w:rFonts w:ascii="仿宋_GB2312" w:hAnsi="仿宋_GB2312" w:cs="仿宋_GB2312" w:eastAsia="仿宋_GB2312"/>
                <w:sz w:val="21"/>
              </w:rPr>
              <w:t>2.细化应急预案，严格执行各项安全措施。</w:t>
            </w:r>
          </w:p>
          <w:p>
            <w:pPr>
              <w:pStyle w:val="null3"/>
              <w:ind w:firstLine="480"/>
              <w:jc w:val="both"/>
            </w:pPr>
            <w:r>
              <w:rPr>
                <w:rFonts w:ascii="仿宋_GB2312" w:hAnsi="仿宋_GB2312" w:cs="仿宋_GB2312" w:eastAsia="仿宋_GB2312"/>
                <w:sz w:val="21"/>
              </w:rPr>
              <w:t>3.按质按量完成项目，确保演出顺利开展。</w:t>
            </w:r>
          </w:p>
          <w:p>
            <w:pPr>
              <w:pStyle w:val="null3"/>
              <w:ind w:firstLine="480"/>
              <w:jc w:val="both"/>
            </w:pPr>
            <w:r>
              <w:rPr>
                <w:rFonts w:ascii="仿宋_GB2312" w:hAnsi="仿宋_GB2312" w:cs="仿宋_GB2312" w:eastAsia="仿宋_GB2312"/>
                <w:sz w:val="21"/>
              </w:rPr>
              <w:t>4.具备履行采购合同所需的资金、人员、设备、技术等方面的能力，以及及时、可靠、高效、优质的服务实力。</w:t>
            </w:r>
          </w:p>
          <w:p>
            <w:pPr>
              <w:pStyle w:val="null3"/>
              <w:ind w:firstLine="480"/>
              <w:jc w:val="both"/>
            </w:pPr>
            <w:r>
              <w:rPr>
                <w:rFonts w:ascii="仿宋_GB2312" w:hAnsi="仿宋_GB2312" w:cs="仿宋_GB2312" w:eastAsia="仿宋_GB2312"/>
                <w:sz w:val="21"/>
              </w:rPr>
              <w:t>5.服务标准与质量满足采购需求要求。</w:t>
            </w:r>
          </w:p>
          <w:p>
            <w:pPr>
              <w:pStyle w:val="null3"/>
              <w:ind w:firstLine="480"/>
              <w:jc w:val="both"/>
            </w:pPr>
            <w:r>
              <w:rPr>
                <w:rFonts w:ascii="仿宋_GB2312" w:hAnsi="仿宋_GB2312" w:cs="仿宋_GB2312" w:eastAsia="仿宋_GB2312"/>
                <w:sz w:val="21"/>
              </w:rPr>
              <w:t>6.验收。</w:t>
            </w:r>
          </w:p>
          <w:p>
            <w:pPr>
              <w:pStyle w:val="null3"/>
              <w:ind w:firstLine="480"/>
              <w:jc w:val="both"/>
            </w:pPr>
            <w:r>
              <w:rPr>
                <w:rFonts w:ascii="仿宋_GB2312" w:hAnsi="仿宋_GB2312" w:cs="仿宋_GB2312" w:eastAsia="仿宋_GB2312"/>
                <w:sz w:val="21"/>
              </w:rPr>
              <w:t>7.每场演出的时间、地点、演职人员数量、节目时长、节目种类和数量、节目内容、演出当地群众满意度测评进行验收。</w:t>
            </w:r>
          </w:p>
          <w:p>
            <w:pPr>
              <w:pStyle w:val="null3"/>
              <w:ind w:firstLine="480"/>
              <w:jc w:val="both"/>
            </w:pPr>
            <w:r>
              <w:rPr>
                <w:rFonts w:ascii="仿宋_GB2312" w:hAnsi="仿宋_GB2312" w:cs="仿宋_GB2312" w:eastAsia="仿宋_GB2312"/>
                <w:sz w:val="21"/>
              </w:rPr>
              <w:t>8.演出结束后提供完整、规范的资料一式三份（演出场次、演出回执单、演出照片、演出节目单等信息资料）报与主办方备案后，同时留存至各社区（村）。采购人向供应商出具验收合格证明（报告）。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采购人与成交供应商签订采购合同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演出达到40场次时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演出结束后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供应商具有文化行政主管部门颁发的《营业性演出许可证》</w:t>
            </w:r>
          </w:p>
        </w:tc>
        <w:tc>
          <w:tcPr>
            <w:tcW w:type="dxa" w:w="3322"/>
          </w:tcPr>
          <w:p>
            <w:pPr>
              <w:pStyle w:val="null3"/>
            </w:pPr>
            <w:r>
              <w:rPr>
                <w:rFonts w:ascii="仿宋_GB2312" w:hAnsi="仿宋_GB2312" w:cs="仿宋_GB2312" w:eastAsia="仿宋_GB2312"/>
              </w:rPr>
              <w:t>供应商具有文化行政主管部门颁发的《营业性演出许可证》。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服务方案：包括但不限于对本项目的整体方案、规划、组织实施情况等</w:t>
            </w:r>
          </w:p>
        </w:tc>
        <w:tc>
          <w:tcPr>
            <w:tcW w:type="dxa" w:w="2492"/>
          </w:tcPr>
          <w:p>
            <w:pPr>
              <w:pStyle w:val="null3"/>
            </w:pPr>
            <w:r>
              <w:rPr>
                <w:rFonts w:ascii="仿宋_GB2312" w:hAnsi="仿宋_GB2312" w:cs="仿宋_GB2312" w:eastAsia="仿宋_GB2312"/>
              </w:rPr>
              <w:t>1、服务方案全面，针对性强，具有较强可操作性，10～15分；2、服务方案合理，针对性、可操作性一般，5～9分；3、服务方案不清晰，针对性、可操作性较差，1～4分；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人员配备：供应商具有丰富的演出经验，演出人员、后备演出人员配备合理</w:t>
            </w:r>
          </w:p>
        </w:tc>
        <w:tc>
          <w:tcPr>
            <w:tcW w:type="dxa" w:w="2492"/>
          </w:tcPr>
          <w:p>
            <w:pPr>
              <w:pStyle w:val="null3"/>
            </w:pPr>
            <w:r>
              <w:rPr>
                <w:rFonts w:ascii="仿宋_GB2312" w:hAnsi="仿宋_GB2312" w:cs="仿宋_GB2312" w:eastAsia="仿宋_GB2312"/>
              </w:rPr>
              <w:t>1、服务团队分工明确，配置齐全，人员配置的数量、职称、经验等方面强，10～15分；2、服务团队分工，人员配置的数量等方面一般，5～9分；3、服务团队分工，人员配置的数量等方面较差，1～4分；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进度保证措施：针对本项目有合理的进度保障体系及措施</w:t>
            </w:r>
          </w:p>
        </w:tc>
        <w:tc>
          <w:tcPr>
            <w:tcW w:type="dxa" w:w="2492"/>
          </w:tcPr>
          <w:p>
            <w:pPr>
              <w:pStyle w:val="null3"/>
            </w:pPr>
            <w:r>
              <w:rPr>
                <w:rFonts w:ascii="仿宋_GB2312" w:hAnsi="仿宋_GB2312" w:cs="仿宋_GB2312" w:eastAsia="仿宋_GB2312"/>
              </w:rPr>
              <w:t>1、进度保障体系及措施科学、合理，10～15分； 2、进度保障体系及措施基本合理、可行，5～9分；3、进度保障体系及措施合理性和可行性较差，1～4分；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应急预案：是否有完善的紧急、重大情况的应急处理方案</w:t>
            </w:r>
          </w:p>
        </w:tc>
        <w:tc>
          <w:tcPr>
            <w:tcW w:type="dxa" w:w="2492"/>
          </w:tcPr>
          <w:p>
            <w:pPr>
              <w:pStyle w:val="null3"/>
            </w:pPr>
            <w:r>
              <w:rPr>
                <w:rFonts w:ascii="仿宋_GB2312" w:hAnsi="仿宋_GB2312" w:cs="仿宋_GB2312" w:eastAsia="仿宋_GB2312"/>
              </w:rPr>
              <w:t>1、方案全面，针对性强，具有较强可操作性，10～15分；2、方案合理，针对性、可操作性一般，5～9分；3、方案不清晰，针对性、可操作性较差，1～4分；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重点问题解决方案：重点难点分析， 提出可操作性的对策建议等</w:t>
            </w:r>
          </w:p>
        </w:tc>
        <w:tc>
          <w:tcPr>
            <w:tcW w:type="dxa" w:w="2492"/>
          </w:tcPr>
          <w:p>
            <w:pPr>
              <w:pStyle w:val="null3"/>
            </w:pPr>
            <w:r>
              <w:rPr>
                <w:rFonts w:ascii="仿宋_GB2312" w:hAnsi="仿宋_GB2312" w:cs="仿宋_GB2312" w:eastAsia="仿宋_GB2312"/>
              </w:rPr>
              <w:t>1、方案总体思路清晰，内容全面，10～15分； 2、实施方案总体思路较清晰，涵盖内容较全面，5～9分； 3、实施方案总体思路不成熟，涵盖内容不够全面，1～4分；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针对本项目的相关承诺和后期服务，由磋商小组综合评审自主打分（1～13分）；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业绩：以合同或成交通知书的形式提供投标人近三年（2022年至今）同类业绩</w:t>
            </w:r>
          </w:p>
        </w:tc>
        <w:tc>
          <w:tcPr>
            <w:tcW w:type="dxa" w:w="2492"/>
          </w:tcPr>
          <w:p>
            <w:pPr>
              <w:pStyle w:val="null3"/>
            </w:pPr>
            <w:r>
              <w:rPr>
                <w:rFonts w:ascii="仿宋_GB2312" w:hAnsi="仿宋_GB2312" w:cs="仿宋_GB2312" w:eastAsia="仿宋_GB2312"/>
              </w:rPr>
              <w:t>每提供一份计 0.5 分，计满2分为止，提供不全或不提供不得分。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