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版本号：HGMHCG-2025-7620250904001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宜君县生态环境管理服务项目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HGMHCG-2025-76</w:t>
      </w:r>
      <w:r>
        <w:br/>
      </w:r>
      <w:r>
        <w:br/>
      </w:r>
      <w:r>
        <w:br/>
      </w:r>
    </w:p>
    <w:p>
      <w:pPr>
        <w:pStyle w:val="null3"/>
        <w:jc w:val="center"/>
        <w:outlineLvl w:val="2"/>
      </w:pPr>
      <w:r>
        <w:rPr>
          <w:rFonts w:ascii="仿宋_GB2312" w:hAnsi="仿宋_GB2312" w:cs="仿宋_GB2312" w:eastAsia="仿宋_GB2312"/>
          <w:sz w:val="28"/>
          <w:b/>
        </w:rPr>
        <w:t>铜川市生态环境局宜君分局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铜川市生态环境局宜君分局</w:t>
      </w:r>
      <w:r>
        <w:rPr>
          <w:rFonts w:ascii="仿宋_GB2312" w:hAnsi="仿宋_GB2312" w:cs="仿宋_GB2312" w:eastAsia="仿宋_GB2312"/>
        </w:rPr>
        <w:t>委托，拟对</w:t>
      </w:r>
      <w:r>
        <w:rPr>
          <w:rFonts w:ascii="仿宋_GB2312" w:hAnsi="仿宋_GB2312" w:cs="仿宋_GB2312" w:eastAsia="仿宋_GB2312"/>
        </w:rPr>
        <w:t>宜君县生态环境管理服务项目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宜君县生态环境管理服务项目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宜君县生态环境管理服务项目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采购包1（宜君县生态环境管理服务项目）：属于专门面向中小企业采购。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2、依法缴纳税收和社会保障资金相关材料（提供文件递交截止日前六个月内任意1个月）：依法缴纳税收和社会保障资金相关材料（提供文件递交截止日前六个月内任意1个月）。</w:t>
      </w:r>
    </w:p>
    <w:p>
      <w:pPr>
        <w:pStyle w:val="null3"/>
      </w:pPr>
      <w:r>
        <w:rPr>
          <w:rFonts w:ascii="仿宋_GB2312" w:hAnsi="仿宋_GB2312" w:cs="仿宋_GB2312" w:eastAsia="仿宋_GB2312"/>
        </w:rPr>
        <w:t>3、具有履行合同所必需的设备和专业技术能力（提供承诺函）：具有履行合同所必需的设备和专业技术能力（提供承诺函）。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政府采购严重违法失信行为记录名单中被财政部门禁止参加政府采购活动的供应商：供应商不得为“信用中国”中列入失信被执行人和重大税收违法案件当事人名单的供应商，不得为“中国政府采购网”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铜川市生态环境局宜君分局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陕西省铜川市宜君县宜阳中街政府大楼六层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0919-5286321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铜川市生态环境局宜君分局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铜川市生态环境局宜君分局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铜川市生态环境局宜君分局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宜君县生态环境管理服务项目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宜君县生态境管理服务项目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标的名称：宜君县生态境管理服务项目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(一)项目名称:宜君县生态环境管理服务项目</w:t>
            </w:r>
          </w:p>
          <w:p>
            <w:pPr>
              <w:pStyle w:val="null3"/>
              <w:ind w:firstLine="560"/>
              <w:jc w:val="both"/>
            </w:pPr>
            <w:r>
              <w:rPr>
                <w:rFonts w:ascii="仿宋_GB2312" w:hAnsi="仿宋_GB2312" w:cs="仿宋_GB2312" w:eastAsia="仿宋_GB2312"/>
                <w:sz w:val="21"/>
              </w:rPr>
              <w:t>(二)实施地点:宜君县</w:t>
            </w:r>
          </w:p>
          <w:p>
            <w:pPr>
              <w:pStyle w:val="null3"/>
              <w:ind w:firstLine="560"/>
              <w:jc w:val="both"/>
            </w:pPr>
            <w:r>
              <w:rPr>
                <w:rFonts w:ascii="仿宋_GB2312" w:hAnsi="仿宋_GB2312" w:cs="仿宋_GB2312" w:eastAsia="仿宋_GB2312"/>
                <w:sz w:val="21"/>
              </w:rPr>
              <w:t>(三)服务要求:委托第三方公司，一是配备无人机，使用无人机对自然保护区、饮用水水源地等生态敏感区域开展巡查，制止非法开垦、采矿、倾倒固废等破坏行为，定期比对区域生态变化。二是“一企一档”数据库建立，第三方驻场人员对接企业，实时更新排污许可证、自行监测报告、治理设施运行记录等电子档案，建立“一企一档”数据库，对全县“一企一档”进行实时动态更新、维护。三是配备专业人员对新建、改建、扩建项目的环保设施建设情况进行跟踪巡查，确保其与主体工程“同时设计、同时施工、同时投产使用”。四是配备具备数据分析能力的人员对第三方社会监测机构提交的企业自行监测数据进行审核，确保其符合《环境监测数据弄虚作假行为判定及处理办法》要求，对异常数据，如长期稳定达标、监测值突变移交生态环境部门进行重点核查。五是对全县企业提交的排污许可证年度执行报告进行技术审核，重点核查实际排放量与许可量一致性、自行监测数据完整性等。对异常数据(如超标10%以上)进行溯源分析，标记问题企业清单供生态环境部门重点监管。六是防范环境</w:t>
            </w:r>
            <w:r>
              <w:rPr>
                <w:rFonts w:ascii="仿宋_GB2312" w:hAnsi="仿宋_GB2312" w:cs="仿宋_GB2312" w:eastAsia="仿宋_GB2312"/>
                <w:sz w:val="21"/>
              </w:rPr>
              <w:t>舆论</w:t>
            </w:r>
            <w:r>
              <w:rPr>
                <w:rFonts w:ascii="仿宋_GB2312" w:hAnsi="仿宋_GB2312" w:cs="仿宋_GB2312" w:eastAsia="仿宋_GB2312"/>
                <w:sz w:val="21"/>
              </w:rPr>
              <w:t>风险，围绕环境相关舆论动态，通过监测、分析、应对等环节，实时抓取与环境保护相关的</w:t>
            </w:r>
            <w:r>
              <w:rPr>
                <w:rFonts w:ascii="仿宋_GB2312" w:hAnsi="仿宋_GB2312" w:cs="仿宋_GB2312" w:eastAsia="仿宋_GB2312"/>
                <w:sz w:val="21"/>
              </w:rPr>
              <w:t>舆论</w:t>
            </w:r>
            <w:r>
              <w:rPr>
                <w:rFonts w:ascii="仿宋_GB2312" w:hAnsi="仿宋_GB2312" w:cs="仿宋_GB2312" w:eastAsia="仿宋_GB2312"/>
                <w:sz w:val="21"/>
              </w:rPr>
              <w:t>信息、污染事件、政策解读、企业环保行为、公众投诉等，精准定位</w:t>
            </w:r>
            <w:r>
              <w:rPr>
                <w:rFonts w:ascii="仿宋_GB2312" w:hAnsi="仿宋_GB2312" w:cs="仿宋_GB2312" w:eastAsia="仿宋_GB2312"/>
                <w:sz w:val="21"/>
              </w:rPr>
              <w:t>舆论</w:t>
            </w:r>
            <w:r>
              <w:rPr>
                <w:rFonts w:ascii="仿宋_GB2312" w:hAnsi="仿宋_GB2312" w:cs="仿宋_GB2312" w:eastAsia="仿宋_GB2312"/>
                <w:sz w:val="21"/>
              </w:rPr>
              <w:t>信息，研判潜在影响，提供应对方法。</w:t>
            </w:r>
          </w:p>
          <w:p>
            <w:pPr>
              <w:pStyle w:val="null3"/>
              <w:ind w:firstLine="560"/>
              <w:jc w:val="both"/>
            </w:pPr>
            <w:r>
              <w:rPr>
                <w:rFonts w:ascii="仿宋_GB2312" w:hAnsi="仿宋_GB2312" w:cs="仿宋_GB2312" w:eastAsia="仿宋_GB2312"/>
                <w:sz w:val="21"/>
              </w:rPr>
              <w:t>(四)服务质量:按服务要求实施，乙方需安排专人负责项目的实施，及时解决实施过程中出现的问题。</w:t>
            </w:r>
          </w:p>
          <w:p>
            <w:pPr>
              <w:pStyle w:val="null3"/>
              <w:ind w:firstLine="560"/>
              <w:jc w:val="both"/>
            </w:pPr>
            <w:r>
              <w:rPr>
                <w:rFonts w:ascii="仿宋_GB2312" w:hAnsi="仿宋_GB2312" w:cs="仿宋_GB2312" w:eastAsia="仿宋_GB2312"/>
                <w:sz w:val="21"/>
              </w:rPr>
              <w:t>(五)服务期限:一年。</w:t>
            </w:r>
          </w:p>
          <w:p>
            <w:pPr>
              <w:pStyle w:val="null3"/>
              <w:ind w:firstLine="560"/>
              <w:jc w:val="both"/>
            </w:pPr>
            <w:r>
              <w:rPr>
                <w:rFonts w:ascii="仿宋_GB2312" w:hAnsi="仿宋_GB2312" w:cs="仿宋_GB2312" w:eastAsia="仿宋_GB2312"/>
                <w:sz w:val="21"/>
              </w:rPr>
              <w:t>(六)付款条件:合同签订后支付款项50%，剩余尾款项目结束后7个工作日内一次性付清。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项目结束后，乙方按照要求完成各项工作，并做好后续工作的保障维护。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332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服务方案：包括但不限于对本项目的整体实施方案、服务体系、工作流程，工作安排等</w:t>
            </w:r>
          </w:p>
        </w:tc>
        <w:tc>
          <w:tcPr>
            <w:tcW w:type="dxa" w:w="2492"/>
          </w:tcPr>
          <w:p>
            <w:pPr>
              <w:pStyle w:val="null3"/>
            </w:pPr>
            <w:r>
              <w:rPr>
                <w:rFonts w:ascii="仿宋_GB2312" w:hAnsi="仿宋_GB2312" w:cs="仿宋_GB2312" w:eastAsia="仿宋_GB2312"/>
              </w:rPr>
              <w:t>1、服务方案全面，针对性强，具有较强可操作性，10～15分； 2、服务方案合理，针对性、可操作性一般，5～9分；3、服务方案不清晰，针对性、可操作性较差，1～4分；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人员配备：投入本项目人员并提供相关设备清单，包括品牌、型号 、规格、数量等</w:t>
            </w:r>
          </w:p>
        </w:tc>
        <w:tc>
          <w:tcPr>
            <w:tcW w:type="dxa" w:w="2492"/>
          </w:tcPr>
          <w:p>
            <w:pPr>
              <w:pStyle w:val="null3"/>
            </w:pPr>
            <w:r>
              <w:rPr>
                <w:rFonts w:ascii="仿宋_GB2312" w:hAnsi="仿宋_GB2312" w:cs="仿宋_GB2312" w:eastAsia="仿宋_GB2312"/>
              </w:rPr>
              <w:t>1、服务团队分工明确，配置齐全，人员配置的数量、职称、经验等方面优秀并提供相关设备清单丰富（10～15分）； 2、服务团队分工较明确，配置较齐全，人员配置的数量、职称、经验等方面良好并提供相关设备清单较丰富（5～9分）；3、服务团队分工不明确，配置不齐全，人员配置的数量、职称、经验等方面较差并提供相关设备及制作软件清单较少（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进度保证措施：针对本项目有合理的进度保障体系及措施</w:t>
            </w:r>
          </w:p>
        </w:tc>
        <w:tc>
          <w:tcPr>
            <w:tcW w:type="dxa" w:w="2492"/>
          </w:tcPr>
          <w:p>
            <w:pPr>
              <w:pStyle w:val="null3"/>
            </w:pPr>
            <w:r>
              <w:rPr>
                <w:rFonts w:ascii="仿宋_GB2312" w:hAnsi="仿宋_GB2312" w:cs="仿宋_GB2312" w:eastAsia="仿宋_GB2312"/>
              </w:rPr>
              <w:t>1、进度保障体系及措施科学、合理，10～15分； 2、进度保障体系及措施基本合理、可行，5～9分；3、进度保障体系及措施合理性和可行性较差，1～4分；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质量保证措施：针对本项目制订质量保证措施</w:t>
            </w:r>
          </w:p>
        </w:tc>
        <w:tc>
          <w:tcPr>
            <w:tcW w:type="dxa" w:w="2492"/>
          </w:tcPr>
          <w:p>
            <w:pPr>
              <w:pStyle w:val="null3"/>
            </w:pPr>
            <w:r>
              <w:rPr>
                <w:rFonts w:ascii="仿宋_GB2312" w:hAnsi="仿宋_GB2312" w:cs="仿宋_GB2312" w:eastAsia="仿宋_GB2312"/>
              </w:rPr>
              <w:t>1、保证措施科学、合理、可行，10～15分； 2、基本合理可行，5～9分； 3、合理性和可行性较差，1～4分；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重点问题解决方案：根据现有重点难点问题，提出可操作性的对策建议</w:t>
            </w:r>
          </w:p>
        </w:tc>
        <w:tc>
          <w:tcPr>
            <w:tcW w:type="dxa" w:w="2492"/>
          </w:tcPr>
          <w:p>
            <w:pPr>
              <w:pStyle w:val="null3"/>
            </w:pPr>
            <w:r>
              <w:rPr>
                <w:rFonts w:ascii="仿宋_GB2312" w:hAnsi="仿宋_GB2312" w:cs="仿宋_GB2312" w:eastAsia="仿宋_GB2312"/>
              </w:rPr>
              <w:t>1、方案总体思路清晰，内容全面，10～15分； 2、实施方案总体思路较清晰，涵盖内容较全面，5～9分； 3、实施方案总体思路不成熟，涵盖内容不够全面，1～4分；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项目承诺及后期服务：针对本项目的相关承诺和后期服务</w:t>
            </w:r>
          </w:p>
        </w:tc>
        <w:tc>
          <w:tcPr>
            <w:tcW w:type="dxa" w:w="2492"/>
          </w:tcPr>
          <w:p>
            <w:pPr>
              <w:pStyle w:val="null3"/>
            </w:pPr>
            <w:r>
              <w:rPr>
                <w:rFonts w:ascii="仿宋_GB2312" w:hAnsi="仿宋_GB2312" w:cs="仿宋_GB2312" w:eastAsia="仿宋_GB2312"/>
              </w:rPr>
              <w:t>由磋商小组综合评审自主打分（1～13分）；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业绩：以合同或成交通知书的形式提供投标人近三年（2022年1月至今）类似业绩</w:t>
            </w:r>
          </w:p>
        </w:tc>
        <w:tc>
          <w:tcPr>
            <w:tcW w:type="dxa" w:w="2492"/>
          </w:tcPr>
          <w:p>
            <w:pPr>
              <w:pStyle w:val="null3"/>
            </w:pPr>
            <w:r>
              <w:rPr>
                <w:rFonts w:ascii="仿宋_GB2312" w:hAnsi="仿宋_GB2312" w:cs="仿宋_GB2312" w:eastAsia="仿宋_GB2312"/>
              </w:rPr>
              <w:t>需提供合同或成交（中标）通知书，提供不全不得分，每一份计0.5分，计满2分为止；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