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892A1B">
      <w:pPr>
        <w:keepNext w:val="0"/>
        <w:keepLines w:val="0"/>
        <w:pageBreakBefore w:val="0"/>
        <w:widowControl w:val="0"/>
        <w:kinsoku/>
        <w:wordWrap/>
        <w:overflowPunct/>
        <w:topLinePunct w:val="0"/>
        <w:autoSpaceDE w:val="0"/>
        <w:autoSpaceDN w:val="0"/>
        <w:bidi w:val="0"/>
        <w:adjustRightInd/>
        <w:snapToGrid/>
        <w:spacing w:before="0"/>
        <w:ind w:left="0" w:right="0" w:firstLine="0"/>
        <w:jc w:val="left"/>
        <w:textAlignment w:val="auto"/>
        <w:rPr>
          <w:rFonts w:hint="eastAsia" w:asciiTheme="minorEastAsia" w:hAnsiTheme="minorEastAsia" w:eastAsiaTheme="minorEastAsia" w:cstheme="minorEastAsia"/>
          <w:b/>
          <w:spacing w:val="0"/>
          <w:w w:val="100"/>
          <w:sz w:val="28"/>
        </w:rPr>
      </w:pPr>
      <w:r>
        <w:rPr>
          <w:rFonts w:hint="eastAsia" w:asciiTheme="minorEastAsia" w:hAnsiTheme="minorEastAsia" w:eastAsiaTheme="minorEastAsia" w:cstheme="minorEastAsia"/>
          <w:b/>
          <w:color w:val="231F20"/>
          <w:spacing w:val="0"/>
          <w:w w:val="100"/>
          <w:sz w:val="28"/>
        </w:rPr>
        <w:t>GF—2015—0209</w:t>
      </w:r>
    </w:p>
    <w:p w14:paraId="636A2814">
      <w:pPr>
        <w:pStyle w:val="5"/>
        <w:spacing w:before="0"/>
        <w:ind w:left="0"/>
        <w:rPr>
          <w:rFonts w:hint="eastAsia" w:asciiTheme="minorEastAsia" w:hAnsiTheme="minorEastAsia" w:eastAsiaTheme="minorEastAsia" w:cstheme="minorEastAsia"/>
          <w:b/>
          <w:sz w:val="24"/>
        </w:rPr>
      </w:pPr>
      <w:r>
        <w:rPr>
          <w:rFonts w:hint="eastAsia" w:asciiTheme="minorEastAsia" w:hAnsiTheme="minorEastAsia" w:eastAsiaTheme="minorEastAsia" w:cstheme="minorEastAsia"/>
        </w:rPr>
        <w:br w:type="column"/>
      </w:r>
    </w:p>
    <w:p w14:paraId="527F0C40">
      <w:pPr>
        <w:pStyle w:val="5"/>
        <w:tabs>
          <w:tab w:val="left" w:pos="1987"/>
        </w:tabs>
        <w:spacing w:before="188"/>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合同编号：</w:t>
      </w:r>
      <w:r>
        <w:rPr>
          <w:rFonts w:hint="eastAsia" w:asciiTheme="minorEastAsia" w:hAnsiTheme="minorEastAsia" w:eastAsiaTheme="minorEastAsia" w:cstheme="minorEastAsia"/>
          <w:color w:val="231F20"/>
        </w:rPr>
        <w:tab/>
      </w:r>
    </w:p>
    <w:p w14:paraId="352E5475">
      <w:pPr>
        <w:spacing w:after="0"/>
        <w:rPr>
          <w:rFonts w:hint="eastAsia" w:asciiTheme="minorEastAsia" w:hAnsiTheme="minorEastAsia" w:eastAsiaTheme="minorEastAsia" w:cstheme="minorEastAsia"/>
        </w:rPr>
        <w:sectPr>
          <w:footerReference r:id="rId5" w:type="default"/>
          <w:footerReference r:id="rId6" w:type="even"/>
          <w:type w:val="continuous"/>
          <w:pgSz w:w="11910" w:h="16840"/>
          <w:pgMar w:top="1580" w:right="1300" w:bottom="1020" w:left="1300" w:header="720" w:footer="832" w:gutter="0"/>
          <w:pgNumType w:fmt="decimal"/>
          <w:cols w:equalWidth="0" w:num="2">
            <w:col w:w="2075" w:space="5126"/>
            <w:col w:w="2109"/>
          </w:cols>
        </w:sectPr>
      </w:pPr>
    </w:p>
    <w:p w14:paraId="405AC804">
      <w:pPr>
        <w:pStyle w:val="5"/>
        <w:spacing w:before="0"/>
        <w:ind w:left="0"/>
        <w:rPr>
          <w:rFonts w:hint="eastAsia" w:asciiTheme="minorEastAsia" w:hAnsiTheme="minorEastAsia" w:eastAsiaTheme="minorEastAsia" w:cstheme="minorEastAsia"/>
          <w:sz w:val="20"/>
        </w:rPr>
      </w:pPr>
    </w:p>
    <w:p w14:paraId="3F930535">
      <w:pPr>
        <w:pStyle w:val="5"/>
        <w:spacing w:before="0"/>
        <w:ind w:left="0"/>
        <w:rPr>
          <w:rFonts w:hint="eastAsia" w:asciiTheme="minorEastAsia" w:hAnsiTheme="minorEastAsia" w:eastAsiaTheme="minorEastAsia" w:cstheme="minorEastAsia"/>
          <w:sz w:val="20"/>
        </w:rPr>
      </w:pPr>
    </w:p>
    <w:p w14:paraId="4591AB69">
      <w:pPr>
        <w:pStyle w:val="5"/>
        <w:spacing w:before="0"/>
        <w:ind w:left="0"/>
        <w:rPr>
          <w:rFonts w:hint="eastAsia" w:asciiTheme="minorEastAsia" w:hAnsiTheme="minorEastAsia" w:eastAsiaTheme="minorEastAsia" w:cstheme="minorEastAsia"/>
          <w:sz w:val="20"/>
        </w:rPr>
      </w:pPr>
    </w:p>
    <w:p w14:paraId="318EFB5C">
      <w:pPr>
        <w:pStyle w:val="5"/>
        <w:spacing w:before="0"/>
        <w:ind w:left="0"/>
        <w:rPr>
          <w:rFonts w:hint="eastAsia" w:asciiTheme="minorEastAsia" w:hAnsiTheme="minorEastAsia" w:eastAsiaTheme="minorEastAsia" w:cstheme="minorEastAsia"/>
          <w:sz w:val="20"/>
        </w:rPr>
      </w:pPr>
    </w:p>
    <w:p w14:paraId="58BD6AAB">
      <w:pPr>
        <w:pStyle w:val="5"/>
        <w:spacing w:before="0"/>
        <w:ind w:left="0"/>
        <w:rPr>
          <w:rFonts w:hint="eastAsia" w:asciiTheme="minorEastAsia" w:hAnsiTheme="minorEastAsia" w:eastAsiaTheme="minorEastAsia" w:cstheme="minorEastAsia"/>
          <w:sz w:val="20"/>
        </w:rPr>
      </w:pPr>
    </w:p>
    <w:p w14:paraId="3D565064">
      <w:pPr>
        <w:pStyle w:val="5"/>
        <w:spacing w:before="7"/>
        <w:ind w:left="0"/>
        <w:rPr>
          <w:rFonts w:hint="eastAsia" w:asciiTheme="minorEastAsia" w:hAnsiTheme="minorEastAsia" w:eastAsiaTheme="minorEastAsia" w:cstheme="minorEastAsia"/>
          <w:sz w:val="28"/>
        </w:rPr>
      </w:pPr>
    </w:p>
    <w:p w14:paraId="4CF5B31B">
      <w:pPr>
        <w:spacing w:before="0" w:line="577" w:lineRule="exact"/>
        <w:ind w:left="2235" w:right="2235" w:firstLine="0"/>
        <w:jc w:val="center"/>
        <w:rPr>
          <w:rFonts w:hint="eastAsia" w:asciiTheme="minorEastAsia" w:hAnsiTheme="minorEastAsia" w:eastAsiaTheme="minorEastAsia" w:cstheme="minorEastAsia"/>
          <w:sz w:val="40"/>
        </w:rPr>
      </w:pPr>
      <w:r>
        <w:rPr>
          <w:rFonts w:hint="eastAsia" w:asciiTheme="minorEastAsia" w:hAnsiTheme="minorEastAsia" w:eastAsiaTheme="minorEastAsia" w:cstheme="minorEastAsia"/>
          <w:color w:val="231F20"/>
          <w:sz w:val="40"/>
        </w:rPr>
        <w:t>建设工程设计合同示范文本</w:t>
      </w:r>
    </w:p>
    <w:p w14:paraId="06921861">
      <w:pPr>
        <w:pStyle w:val="2"/>
        <w:spacing w:before="152"/>
        <w:ind w:left="2235" w:right="2235"/>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（房屋建筑工程）</w:t>
      </w:r>
    </w:p>
    <w:p w14:paraId="1759CCD4">
      <w:pPr>
        <w:pStyle w:val="5"/>
        <w:spacing w:before="0"/>
        <w:ind w:left="0"/>
        <w:rPr>
          <w:rFonts w:hint="eastAsia" w:asciiTheme="minorEastAsia" w:hAnsiTheme="minorEastAsia" w:eastAsiaTheme="minorEastAsia" w:cstheme="minorEastAsia"/>
          <w:sz w:val="20"/>
        </w:rPr>
      </w:pPr>
    </w:p>
    <w:p w14:paraId="74FBD674">
      <w:pPr>
        <w:pStyle w:val="5"/>
        <w:spacing w:before="0"/>
        <w:ind w:left="0"/>
        <w:rPr>
          <w:rFonts w:hint="eastAsia" w:asciiTheme="minorEastAsia" w:hAnsiTheme="minorEastAsia" w:eastAsiaTheme="minorEastAsia" w:cstheme="minorEastAsia"/>
          <w:sz w:val="20"/>
        </w:rPr>
      </w:pPr>
    </w:p>
    <w:p w14:paraId="10E574CE">
      <w:pPr>
        <w:pStyle w:val="5"/>
        <w:spacing w:before="0"/>
        <w:ind w:left="0"/>
        <w:rPr>
          <w:rFonts w:hint="eastAsia" w:asciiTheme="minorEastAsia" w:hAnsiTheme="minorEastAsia" w:eastAsiaTheme="minorEastAsia" w:cstheme="minorEastAsia"/>
          <w:sz w:val="20"/>
        </w:rPr>
      </w:pPr>
    </w:p>
    <w:p w14:paraId="2230DB87">
      <w:pPr>
        <w:pStyle w:val="5"/>
        <w:spacing w:before="0"/>
        <w:ind w:left="0"/>
        <w:rPr>
          <w:rFonts w:hint="eastAsia" w:asciiTheme="minorEastAsia" w:hAnsiTheme="minorEastAsia" w:eastAsiaTheme="minorEastAsia" w:cstheme="minorEastAsia"/>
          <w:sz w:val="20"/>
        </w:rPr>
      </w:pPr>
    </w:p>
    <w:p w14:paraId="55FA1908">
      <w:pPr>
        <w:pStyle w:val="5"/>
        <w:spacing w:before="0"/>
        <w:ind w:left="0"/>
        <w:rPr>
          <w:rFonts w:hint="eastAsia" w:asciiTheme="minorEastAsia" w:hAnsiTheme="minorEastAsia" w:eastAsiaTheme="minorEastAsia" w:cstheme="minorEastAsia"/>
          <w:sz w:val="20"/>
        </w:rPr>
      </w:pPr>
    </w:p>
    <w:p w14:paraId="2D2773DB">
      <w:pPr>
        <w:pStyle w:val="5"/>
        <w:spacing w:before="0"/>
        <w:ind w:left="0"/>
        <w:rPr>
          <w:rFonts w:hint="eastAsia" w:asciiTheme="minorEastAsia" w:hAnsiTheme="minorEastAsia" w:eastAsiaTheme="minorEastAsia" w:cstheme="minorEastAsia"/>
          <w:sz w:val="20"/>
        </w:rPr>
      </w:pPr>
    </w:p>
    <w:p w14:paraId="5D0AA7AE">
      <w:pPr>
        <w:pStyle w:val="5"/>
        <w:spacing w:before="0"/>
        <w:ind w:left="0"/>
        <w:rPr>
          <w:rFonts w:hint="eastAsia" w:asciiTheme="minorEastAsia" w:hAnsiTheme="minorEastAsia" w:eastAsiaTheme="minorEastAsia" w:cstheme="minorEastAsia"/>
          <w:sz w:val="20"/>
        </w:rPr>
      </w:pPr>
    </w:p>
    <w:p w14:paraId="58E6C074">
      <w:pPr>
        <w:pStyle w:val="5"/>
        <w:spacing w:before="0"/>
        <w:ind w:left="0"/>
        <w:rPr>
          <w:rFonts w:hint="eastAsia" w:asciiTheme="minorEastAsia" w:hAnsiTheme="minorEastAsia" w:eastAsiaTheme="minorEastAsia" w:cstheme="minorEastAsia"/>
          <w:sz w:val="20"/>
        </w:rPr>
      </w:pPr>
      <w:bookmarkStart w:id="0" w:name="_GoBack"/>
      <w:bookmarkEnd w:id="0"/>
    </w:p>
    <w:p w14:paraId="06617A6C">
      <w:pPr>
        <w:pStyle w:val="5"/>
        <w:spacing w:before="0"/>
        <w:ind w:left="0"/>
        <w:rPr>
          <w:rFonts w:hint="eastAsia" w:asciiTheme="minorEastAsia" w:hAnsiTheme="minorEastAsia" w:eastAsiaTheme="minorEastAsia" w:cstheme="minorEastAsia"/>
          <w:sz w:val="20"/>
        </w:rPr>
      </w:pPr>
    </w:p>
    <w:p w14:paraId="2DCB67D5">
      <w:pPr>
        <w:pStyle w:val="5"/>
        <w:spacing w:before="0"/>
        <w:ind w:left="0"/>
        <w:rPr>
          <w:rFonts w:hint="eastAsia" w:asciiTheme="minorEastAsia" w:hAnsiTheme="minorEastAsia" w:eastAsiaTheme="minorEastAsia" w:cstheme="minorEastAsia"/>
          <w:sz w:val="20"/>
        </w:rPr>
      </w:pPr>
    </w:p>
    <w:p w14:paraId="5A292750">
      <w:pPr>
        <w:pStyle w:val="5"/>
        <w:spacing w:before="0"/>
        <w:ind w:left="0"/>
        <w:rPr>
          <w:rFonts w:hint="eastAsia" w:asciiTheme="minorEastAsia" w:hAnsiTheme="minorEastAsia" w:eastAsiaTheme="minorEastAsia" w:cstheme="minorEastAsia"/>
          <w:sz w:val="20"/>
        </w:rPr>
      </w:pPr>
    </w:p>
    <w:p w14:paraId="4DBA2B05">
      <w:pPr>
        <w:pStyle w:val="5"/>
        <w:spacing w:before="0"/>
        <w:ind w:left="0"/>
        <w:rPr>
          <w:rFonts w:hint="eastAsia" w:asciiTheme="minorEastAsia" w:hAnsiTheme="minorEastAsia" w:eastAsiaTheme="minorEastAsia" w:cstheme="minorEastAsia"/>
          <w:sz w:val="20"/>
        </w:rPr>
      </w:pPr>
    </w:p>
    <w:p w14:paraId="1A475F7E">
      <w:pPr>
        <w:pStyle w:val="5"/>
        <w:spacing w:before="0"/>
        <w:ind w:left="0"/>
        <w:rPr>
          <w:rFonts w:hint="eastAsia" w:asciiTheme="minorEastAsia" w:hAnsiTheme="minorEastAsia" w:eastAsiaTheme="minorEastAsia" w:cstheme="minorEastAsia"/>
          <w:sz w:val="20"/>
        </w:rPr>
      </w:pPr>
    </w:p>
    <w:p w14:paraId="1F66683D">
      <w:pPr>
        <w:pStyle w:val="5"/>
        <w:spacing w:before="0"/>
        <w:ind w:left="0"/>
        <w:rPr>
          <w:rFonts w:hint="eastAsia" w:asciiTheme="minorEastAsia" w:hAnsiTheme="minorEastAsia" w:eastAsiaTheme="minorEastAsia" w:cstheme="minorEastAsia"/>
          <w:sz w:val="20"/>
        </w:rPr>
      </w:pPr>
    </w:p>
    <w:p w14:paraId="54A11E7C">
      <w:pPr>
        <w:pStyle w:val="5"/>
        <w:spacing w:before="0"/>
        <w:ind w:left="0"/>
        <w:rPr>
          <w:rFonts w:hint="eastAsia" w:asciiTheme="minorEastAsia" w:hAnsiTheme="minorEastAsia" w:eastAsiaTheme="minorEastAsia" w:cstheme="minorEastAsia"/>
          <w:sz w:val="20"/>
        </w:rPr>
      </w:pPr>
    </w:p>
    <w:p w14:paraId="6B89C71D">
      <w:pPr>
        <w:pStyle w:val="5"/>
        <w:spacing w:before="0"/>
        <w:ind w:left="0"/>
        <w:rPr>
          <w:rFonts w:hint="eastAsia" w:asciiTheme="minorEastAsia" w:hAnsiTheme="minorEastAsia" w:eastAsiaTheme="minorEastAsia" w:cstheme="minorEastAsia"/>
          <w:sz w:val="20"/>
        </w:rPr>
      </w:pPr>
    </w:p>
    <w:p w14:paraId="2FC82FDC">
      <w:pPr>
        <w:pStyle w:val="5"/>
        <w:spacing w:before="0"/>
        <w:ind w:left="0"/>
        <w:rPr>
          <w:rFonts w:hint="eastAsia" w:asciiTheme="minorEastAsia" w:hAnsiTheme="minorEastAsia" w:eastAsiaTheme="minorEastAsia" w:cstheme="minorEastAsia"/>
          <w:sz w:val="20"/>
        </w:rPr>
      </w:pPr>
    </w:p>
    <w:p w14:paraId="35998675">
      <w:pPr>
        <w:pStyle w:val="5"/>
        <w:spacing w:before="0"/>
        <w:ind w:left="0"/>
        <w:rPr>
          <w:rFonts w:hint="eastAsia" w:asciiTheme="minorEastAsia" w:hAnsiTheme="minorEastAsia" w:eastAsiaTheme="minorEastAsia" w:cstheme="minorEastAsia"/>
          <w:sz w:val="20"/>
        </w:rPr>
      </w:pPr>
    </w:p>
    <w:p w14:paraId="07294E63">
      <w:pPr>
        <w:pStyle w:val="5"/>
        <w:spacing w:before="0"/>
        <w:ind w:left="0"/>
        <w:rPr>
          <w:rFonts w:hint="eastAsia" w:asciiTheme="minorEastAsia" w:hAnsiTheme="minorEastAsia" w:eastAsiaTheme="minorEastAsia" w:cstheme="minorEastAsia"/>
          <w:sz w:val="20"/>
        </w:rPr>
      </w:pPr>
    </w:p>
    <w:p w14:paraId="75BB8CA1">
      <w:pPr>
        <w:pStyle w:val="5"/>
        <w:spacing w:before="0"/>
        <w:ind w:left="0"/>
        <w:rPr>
          <w:rFonts w:hint="eastAsia" w:asciiTheme="minorEastAsia" w:hAnsiTheme="minorEastAsia" w:eastAsiaTheme="minorEastAsia" w:cstheme="minorEastAsia"/>
          <w:sz w:val="20"/>
        </w:rPr>
      </w:pPr>
    </w:p>
    <w:p w14:paraId="24ED25CD">
      <w:pPr>
        <w:pStyle w:val="5"/>
        <w:spacing w:before="0"/>
        <w:ind w:left="0"/>
        <w:rPr>
          <w:rFonts w:hint="eastAsia" w:asciiTheme="minorEastAsia" w:hAnsiTheme="minorEastAsia" w:eastAsiaTheme="minorEastAsia" w:cstheme="minorEastAsia"/>
          <w:sz w:val="20"/>
        </w:rPr>
      </w:pPr>
    </w:p>
    <w:p w14:paraId="2C04C0A6">
      <w:pPr>
        <w:pStyle w:val="5"/>
        <w:spacing w:before="0"/>
        <w:ind w:left="0"/>
        <w:rPr>
          <w:rFonts w:hint="eastAsia" w:asciiTheme="minorEastAsia" w:hAnsiTheme="minorEastAsia" w:eastAsiaTheme="minorEastAsia" w:cstheme="minorEastAsia"/>
          <w:sz w:val="20"/>
        </w:rPr>
      </w:pPr>
    </w:p>
    <w:p w14:paraId="75259E5B">
      <w:pPr>
        <w:pStyle w:val="5"/>
        <w:spacing w:before="0"/>
        <w:ind w:left="0"/>
        <w:rPr>
          <w:rFonts w:hint="eastAsia" w:asciiTheme="minorEastAsia" w:hAnsiTheme="minorEastAsia" w:eastAsiaTheme="minorEastAsia" w:cstheme="minorEastAsia"/>
          <w:sz w:val="20"/>
        </w:rPr>
      </w:pPr>
    </w:p>
    <w:p w14:paraId="57DCC508">
      <w:pPr>
        <w:pStyle w:val="5"/>
        <w:spacing w:before="0"/>
        <w:ind w:left="0"/>
        <w:rPr>
          <w:rFonts w:hint="eastAsia" w:asciiTheme="minorEastAsia" w:hAnsiTheme="minorEastAsia" w:eastAsiaTheme="minorEastAsia" w:cstheme="minorEastAsia"/>
          <w:sz w:val="20"/>
        </w:rPr>
      </w:pPr>
    </w:p>
    <w:p w14:paraId="512F5D98">
      <w:pPr>
        <w:pStyle w:val="5"/>
        <w:spacing w:before="0"/>
        <w:ind w:left="0"/>
        <w:rPr>
          <w:rFonts w:hint="eastAsia" w:asciiTheme="minorEastAsia" w:hAnsiTheme="minorEastAsia" w:eastAsiaTheme="minorEastAsia" w:cstheme="minorEastAsia"/>
          <w:sz w:val="20"/>
        </w:rPr>
      </w:pPr>
    </w:p>
    <w:p w14:paraId="6AABF91C">
      <w:pPr>
        <w:pStyle w:val="5"/>
        <w:spacing w:before="0"/>
        <w:ind w:left="0"/>
        <w:rPr>
          <w:rFonts w:hint="eastAsia" w:asciiTheme="minorEastAsia" w:hAnsiTheme="minorEastAsia" w:eastAsiaTheme="minorEastAsia" w:cstheme="minorEastAsia"/>
          <w:sz w:val="20"/>
        </w:rPr>
      </w:pPr>
    </w:p>
    <w:p w14:paraId="41566EB3">
      <w:pPr>
        <w:pStyle w:val="5"/>
        <w:spacing w:before="0"/>
        <w:ind w:left="0"/>
        <w:rPr>
          <w:rFonts w:hint="eastAsia" w:asciiTheme="minorEastAsia" w:hAnsiTheme="minorEastAsia" w:eastAsiaTheme="minorEastAsia" w:cstheme="minorEastAsia"/>
          <w:sz w:val="20"/>
        </w:rPr>
      </w:pPr>
    </w:p>
    <w:p w14:paraId="4A201B2D">
      <w:pPr>
        <w:pStyle w:val="5"/>
        <w:spacing w:before="0"/>
        <w:ind w:left="0"/>
        <w:rPr>
          <w:rFonts w:hint="eastAsia" w:asciiTheme="minorEastAsia" w:hAnsiTheme="minorEastAsia" w:eastAsiaTheme="minorEastAsia" w:cstheme="minorEastAsia"/>
          <w:sz w:val="20"/>
        </w:rPr>
      </w:pPr>
    </w:p>
    <w:p w14:paraId="5A9B389C">
      <w:pPr>
        <w:pStyle w:val="5"/>
        <w:spacing w:before="13"/>
        <w:ind w:left="0"/>
        <w:rPr>
          <w:rFonts w:hint="eastAsia" w:asciiTheme="minorEastAsia" w:hAnsiTheme="minorEastAsia" w:eastAsiaTheme="minorEastAsia" w:cstheme="minorEastAsia"/>
          <w:sz w:val="27"/>
        </w:rPr>
      </w:pPr>
    </w:p>
    <w:p w14:paraId="41365E31">
      <w:pPr>
        <w:pStyle w:val="3"/>
        <w:spacing w:before="14" w:line="305" w:lineRule="exact"/>
        <w:ind w:left="1811" w:right="2235"/>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 xml:space="preserve">住 房 和 城 乡 建 设 部 </w:t>
      </w:r>
    </w:p>
    <w:p w14:paraId="6B22822C">
      <w:pPr>
        <w:spacing w:before="0" w:line="220" w:lineRule="exact"/>
        <w:ind w:left="5968" w:right="0" w:firstLine="0"/>
        <w:jc w:val="left"/>
        <w:rPr>
          <w:rFonts w:hint="eastAsia" w:asciiTheme="minorEastAsia" w:hAnsiTheme="minorEastAsia" w:eastAsiaTheme="minorEastAsia" w:cstheme="minorEastAsia"/>
          <w:sz w:val="26"/>
        </w:rPr>
      </w:pPr>
      <w:r>
        <w:rPr>
          <w:rFonts w:hint="eastAsia" w:asciiTheme="minorEastAsia" w:hAnsiTheme="minorEastAsia" w:eastAsiaTheme="minorEastAsia" w:cstheme="minorEastAsia"/>
          <w:color w:val="231F20"/>
          <w:sz w:val="26"/>
        </w:rPr>
        <w:t>制定</w:t>
      </w:r>
    </w:p>
    <w:p w14:paraId="50229A29">
      <w:pPr>
        <w:spacing w:before="0" w:line="285" w:lineRule="exact"/>
        <w:ind w:left="1749" w:right="2235" w:firstLine="0"/>
        <w:jc w:val="center"/>
        <w:rPr>
          <w:rFonts w:hint="eastAsia" w:asciiTheme="minorEastAsia" w:hAnsiTheme="minorEastAsia" w:eastAsiaTheme="minorEastAsia" w:cstheme="minorEastAsia"/>
          <w:color w:val="231F20"/>
          <w:sz w:val="26"/>
        </w:rPr>
      </w:pPr>
      <w:r>
        <w:rPr>
          <w:rFonts w:hint="eastAsia" w:asciiTheme="minorEastAsia" w:hAnsiTheme="minorEastAsia" w:eastAsiaTheme="minorEastAsia" w:cstheme="minorEastAsia"/>
          <w:color w:val="231F20"/>
          <w:sz w:val="26"/>
        </w:rPr>
        <w:t>国家工商行政管理总局</w:t>
      </w:r>
    </w:p>
    <w:p w14:paraId="552508A7">
      <w:pPr>
        <w:spacing w:before="0" w:line="285" w:lineRule="exact"/>
        <w:ind w:left="1749" w:right="2235" w:firstLine="0"/>
        <w:jc w:val="center"/>
        <w:rPr>
          <w:rFonts w:hint="eastAsia" w:asciiTheme="minorEastAsia" w:hAnsiTheme="minorEastAsia" w:eastAsiaTheme="minorEastAsia" w:cstheme="minorEastAsia"/>
          <w:color w:val="231F20"/>
          <w:sz w:val="26"/>
        </w:rPr>
      </w:pPr>
    </w:p>
    <w:p w14:paraId="42599BBD">
      <w:pPr>
        <w:spacing w:before="0" w:line="285" w:lineRule="exact"/>
        <w:ind w:left="1749" w:right="2235" w:firstLine="0"/>
        <w:jc w:val="center"/>
        <w:rPr>
          <w:rFonts w:hint="eastAsia" w:asciiTheme="minorEastAsia" w:hAnsiTheme="minorEastAsia" w:eastAsiaTheme="minorEastAsia" w:cstheme="minorEastAsia"/>
          <w:color w:val="231F20"/>
          <w:sz w:val="26"/>
        </w:rPr>
      </w:pPr>
    </w:p>
    <w:p w14:paraId="719FED65">
      <w:pPr>
        <w:keepNext w:val="0"/>
        <w:keepLines w:val="0"/>
        <w:pageBreakBefore w:val="0"/>
        <w:widowControl w:val="0"/>
        <w:kinsoku/>
        <w:wordWrap/>
        <w:overflowPunct/>
        <w:topLinePunct w:val="0"/>
        <w:autoSpaceDE w:val="0"/>
        <w:autoSpaceDN w:val="0"/>
        <w:bidi w:val="0"/>
        <w:adjustRightInd/>
        <w:snapToGrid/>
        <w:spacing w:before="0" w:line="285" w:lineRule="exact"/>
        <w:ind w:left="1749" w:right="0" w:firstLine="0"/>
        <w:jc w:val="center"/>
        <w:textAlignment w:val="auto"/>
        <w:rPr>
          <w:rFonts w:hint="eastAsia" w:asciiTheme="minorEastAsia" w:hAnsiTheme="minorEastAsia" w:eastAsiaTheme="minorEastAsia" w:cstheme="minorEastAsia"/>
          <w:b/>
          <w:bCs/>
          <w:color w:val="231F20"/>
          <w:sz w:val="26"/>
        </w:rPr>
      </w:pPr>
    </w:p>
    <w:p w14:paraId="323F2527">
      <w:pPr>
        <w:keepNext w:val="0"/>
        <w:keepLines w:val="0"/>
        <w:pageBreakBefore w:val="0"/>
        <w:widowControl w:val="0"/>
        <w:kinsoku/>
        <w:wordWrap/>
        <w:overflowPunct/>
        <w:topLinePunct w:val="0"/>
        <w:autoSpaceDE w:val="0"/>
        <w:autoSpaceDN w:val="0"/>
        <w:bidi w:val="0"/>
        <w:adjustRightInd/>
        <w:snapToGrid/>
        <w:spacing w:before="0" w:line="285" w:lineRule="exact"/>
        <w:ind w:right="0"/>
        <w:jc w:val="center"/>
        <w:textAlignment w:val="auto"/>
        <w:rPr>
          <w:rFonts w:hint="eastAsia" w:asciiTheme="minorEastAsia" w:hAnsiTheme="minorEastAsia" w:eastAsiaTheme="minorEastAsia" w:cstheme="minorEastAsia"/>
          <w:b/>
          <w:bCs/>
          <w:color w:val="231F20"/>
          <w:sz w:val="26"/>
          <w:lang w:eastAsia="zh-CN"/>
        </w:rPr>
        <w:sectPr>
          <w:type w:val="continuous"/>
          <w:pgSz w:w="11910" w:h="16840"/>
          <w:pgMar w:top="1580" w:right="1300" w:bottom="1020" w:left="1300" w:header="720" w:footer="720" w:gutter="0"/>
          <w:pgNumType w:fmt="decimal"/>
          <w:cols w:space="720" w:num="1"/>
        </w:sectPr>
      </w:pPr>
      <w:r>
        <w:rPr>
          <w:rFonts w:hint="eastAsia" w:asciiTheme="minorEastAsia" w:hAnsiTheme="minorEastAsia" w:eastAsiaTheme="minorEastAsia" w:cstheme="minorEastAsia"/>
          <w:b/>
          <w:bCs/>
          <w:color w:val="231F20"/>
          <w:sz w:val="26"/>
          <w:lang w:val="en-US" w:eastAsia="zh-CN"/>
        </w:rPr>
        <w:t xml:space="preserve">  </w:t>
      </w:r>
      <w:r>
        <w:rPr>
          <w:rFonts w:hint="eastAsia" w:asciiTheme="minorEastAsia" w:hAnsiTheme="minorEastAsia" w:eastAsiaTheme="minorEastAsia" w:cstheme="minorEastAsia"/>
          <w:b/>
          <w:bCs/>
          <w:color w:val="231F20"/>
          <w:sz w:val="26"/>
          <w:lang w:eastAsia="zh-CN"/>
        </w:rPr>
        <w:t>（</w:t>
      </w:r>
      <w:r>
        <w:rPr>
          <w:rFonts w:hint="eastAsia" w:asciiTheme="minorEastAsia" w:hAnsiTheme="minorEastAsia" w:eastAsiaTheme="minorEastAsia" w:cstheme="minorEastAsia"/>
          <w:b/>
          <w:bCs/>
          <w:color w:val="231F20"/>
          <w:sz w:val="26"/>
          <w:lang w:val="en-US" w:eastAsia="zh-CN"/>
        </w:rPr>
        <w:t>合同格式仅为参考格式，具体以实际双方签订内容为准</w:t>
      </w:r>
      <w:r>
        <w:rPr>
          <w:rFonts w:hint="eastAsia" w:asciiTheme="minorEastAsia" w:hAnsiTheme="minorEastAsia" w:eastAsiaTheme="minorEastAsia" w:cstheme="minorEastAsia"/>
          <w:b/>
          <w:bCs/>
          <w:color w:val="231F20"/>
          <w:sz w:val="26"/>
          <w:lang w:eastAsia="zh-CN"/>
        </w:rPr>
        <w:t>）</w:t>
      </w:r>
    </w:p>
    <w:p w14:paraId="32292E89">
      <w:pPr>
        <w:pStyle w:val="2"/>
        <w:tabs>
          <w:tab w:val="left" w:pos="4652"/>
        </w:tabs>
        <w:ind w:left="3252"/>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第一部分</w:t>
      </w:r>
      <w:r>
        <w:rPr>
          <w:rFonts w:hint="eastAsia" w:asciiTheme="minorEastAsia" w:hAnsiTheme="minorEastAsia" w:eastAsiaTheme="minorEastAsia" w:cstheme="minorEastAsia"/>
          <w:color w:val="231F20"/>
        </w:rPr>
        <w:tab/>
      </w:r>
      <w:r>
        <w:rPr>
          <w:rFonts w:hint="eastAsia" w:asciiTheme="minorEastAsia" w:hAnsiTheme="minorEastAsia" w:eastAsiaTheme="minorEastAsia" w:cstheme="minorEastAsia"/>
          <w:color w:val="231F20"/>
        </w:rPr>
        <w:t>合同协议书</w:t>
      </w:r>
    </w:p>
    <w:p w14:paraId="0DCE2AC9">
      <w:pPr>
        <w:pStyle w:val="5"/>
        <w:spacing w:before="14"/>
        <w:ind w:left="0"/>
        <w:rPr>
          <w:rFonts w:hint="eastAsia" w:asciiTheme="minorEastAsia" w:hAnsiTheme="minorEastAsia" w:eastAsiaTheme="minorEastAsia" w:cstheme="minorEastAsia"/>
          <w:sz w:val="26"/>
        </w:rPr>
      </w:pPr>
    </w:p>
    <w:p w14:paraId="37C50324">
      <w:pPr>
        <w:pStyle w:val="5"/>
        <w:keepNext w:val="0"/>
        <w:keepLines w:val="0"/>
        <w:pageBreakBefore w:val="0"/>
        <w:widowControl w:val="0"/>
        <w:tabs>
          <w:tab w:val="left" w:pos="9188"/>
        </w:tabs>
        <w:kinsoku/>
        <w:wordWrap/>
        <w:overflowPunct/>
        <w:topLinePunct w:val="0"/>
        <w:autoSpaceDE w:val="0"/>
        <w:autoSpaceDN w:val="0"/>
        <w:bidi w:val="0"/>
        <w:adjustRightInd w:val="0"/>
        <w:snapToGrid w:val="0"/>
        <w:spacing w:before="0" w:line="320" w:lineRule="auto"/>
        <w:ind w:left="480" w:leftChars="218" w:right="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发包人（全称</w:t>
      </w:r>
      <w:r>
        <w:rPr>
          <w:rFonts w:hint="eastAsia" w:asciiTheme="minorEastAsia" w:hAnsiTheme="minorEastAsia" w:eastAsiaTheme="minorEastAsia" w:cstheme="minorEastAsia"/>
          <w:color w:val="231F20"/>
          <w:spacing w:val="-28"/>
          <w:sz w:val="24"/>
          <w:szCs w:val="24"/>
        </w:rPr>
        <w:t>）：</w:t>
      </w:r>
      <w:r>
        <w:rPr>
          <w:rFonts w:hint="eastAsia" w:asciiTheme="minorEastAsia" w:hAnsiTheme="minorEastAsia" w:eastAsiaTheme="minorEastAsia" w:cstheme="minorEastAsia"/>
          <w:color w:val="231F20"/>
          <w:spacing w:val="-28"/>
          <w:sz w:val="24"/>
          <w:szCs w:val="24"/>
          <w:u w:val="single"/>
          <w:lang w:val="en-US" w:eastAsia="zh-CN"/>
        </w:rPr>
        <w:t xml:space="preserve">                              </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sz w:val="24"/>
          <w:szCs w:val="24"/>
        </w:rPr>
        <w:t xml:space="preserve"> 设计人（全称</w:t>
      </w:r>
      <w:r>
        <w:rPr>
          <w:rFonts w:hint="eastAsia" w:asciiTheme="minorEastAsia" w:hAnsiTheme="minorEastAsia" w:eastAsiaTheme="minorEastAsia" w:cstheme="minorEastAsia"/>
          <w:color w:val="231F20"/>
          <w:spacing w:val="-28"/>
          <w:sz w:val="24"/>
          <w:szCs w:val="24"/>
        </w:rPr>
        <w:t>）：</w:t>
      </w:r>
      <w:r>
        <w:rPr>
          <w:rFonts w:hint="eastAsia" w:asciiTheme="minorEastAsia" w:hAnsiTheme="minorEastAsia" w:eastAsiaTheme="minorEastAsia" w:cstheme="minorEastAsia"/>
          <w:color w:val="231F20"/>
          <w:spacing w:val="-28"/>
          <w:sz w:val="24"/>
          <w:szCs w:val="24"/>
          <w:u w:val="single"/>
          <w:lang w:val="en-US" w:eastAsia="zh-CN"/>
        </w:rPr>
        <w:t xml:space="preserve">                              </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sz w:val="24"/>
          <w:szCs w:val="24"/>
        </w:rPr>
        <w:t xml:space="preserve"> </w:t>
      </w:r>
      <w:r>
        <w:rPr>
          <w:rFonts w:hint="eastAsia" w:asciiTheme="minorEastAsia" w:hAnsiTheme="minorEastAsia" w:eastAsiaTheme="minorEastAsia" w:cstheme="minorEastAsia"/>
          <w:color w:val="231F20"/>
          <w:sz w:val="24"/>
          <w:szCs w:val="24"/>
          <w:lang w:val="en-US" w:eastAsia="zh-CN"/>
        </w:rPr>
        <w:t xml:space="preserve">             </w:t>
      </w:r>
      <w:r>
        <w:rPr>
          <w:rFonts w:hint="eastAsia" w:asciiTheme="minorEastAsia" w:hAnsiTheme="minorEastAsia" w:eastAsiaTheme="minorEastAsia" w:cstheme="minorEastAsia"/>
          <w:color w:val="231F20"/>
          <w:spacing w:val="0"/>
          <w:sz w:val="24"/>
          <w:szCs w:val="24"/>
        </w:rPr>
        <w:t>根据《中华人民共和国</w:t>
      </w:r>
      <w:r>
        <w:rPr>
          <w:rFonts w:hint="eastAsia" w:asciiTheme="minorEastAsia" w:hAnsiTheme="minorEastAsia" w:eastAsiaTheme="minorEastAsia" w:cstheme="minorEastAsia"/>
          <w:color w:val="231F20"/>
          <w:spacing w:val="0"/>
          <w:sz w:val="24"/>
          <w:szCs w:val="24"/>
          <w:lang w:val="en-US" w:eastAsia="zh-CN"/>
        </w:rPr>
        <w:t>民法典</w:t>
      </w:r>
      <w:r>
        <w:rPr>
          <w:rFonts w:hint="eastAsia" w:asciiTheme="minorEastAsia" w:hAnsiTheme="minorEastAsia" w:eastAsiaTheme="minorEastAsia" w:cstheme="minorEastAsia"/>
          <w:color w:val="231F20"/>
          <w:spacing w:val="0"/>
          <w:sz w:val="24"/>
          <w:szCs w:val="24"/>
        </w:rPr>
        <w:t>》、《中华人民共和国建筑法》及有关法律规定，遵循平等、自愿、公平和诚实信用的原则，双方就</w:t>
      </w:r>
      <w:r>
        <w:rPr>
          <w:rFonts w:hint="eastAsia" w:asciiTheme="minorEastAsia" w:hAnsiTheme="minorEastAsia" w:eastAsiaTheme="minorEastAsia" w:cstheme="minorEastAsia"/>
          <w:color w:val="231F20"/>
          <w:spacing w:val="0"/>
          <w:sz w:val="24"/>
          <w:szCs w:val="24"/>
          <w:u w:val="single" w:color="231F20"/>
        </w:rPr>
        <w:t xml:space="preserve"> </w:t>
      </w:r>
      <w:r>
        <w:rPr>
          <w:rFonts w:hint="eastAsia" w:asciiTheme="minorEastAsia" w:hAnsiTheme="minorEastAsia" w:eastAsiaTheme="minorEastAsia" w:cstheme="minorEastAsia"/>
          <w:color w:val="231F20"/>
          <w:spacing w:val="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工程设计及有关事项协商一致，共同达成如下协议：</w:t>
      </w:r>
    </w:p>
    <w:p w14:paraId="2753BD02">
      <w:pPr>
        <w:pStyle w:val="5"/>
        <w:spacing w:before="19"/>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一、工程概况</w:t>
      </w:r>
    </w:p>
    <w:p w14:paraId="0FD7A109">
      <w:pPr>
        <w:pStyle w:val="11"/>
        <w:keepNext w:val="0"/>
        <w:keepLines w:val="0"/>
        <w:pageBreakBefore w:val="0"/>
        <w:widowControl w:val="0"/>
        <w:numPr>
          <w:numId w:val="0"/>
        </w:numPr>
        <w:tabs>
          <w:tab w:val="left" w:pos="776"/>
          <w:tab w:val="left" w:pos="9078"/>
        </w:tabs>
        <w:kinsoku/>
        <w:wordWrap/>
        <w:overflowPunct/>
        <w:topLinePunct w:val="0"/>
        <w:autoSpaceDE w:val="0"/>
        <w:autoSpaceDN w:val="0"/>
        <w:bidi w:val="0"/>
        <w:adjustRightInd/>
        <w:snapToGrid/>
        <w:spacing w:before="0" w:after="0" w:line="240" w:lineRule="auto"/>
        <w:ind w:right="0" w:rightChars="0" w:firstLine="480" w:firstLineChars="200"/>
        <w:jc w:val="left"/>
        <w:textAlignment w:val="auto"/>
        <w:rPr>
          <w:rFonts w:hint="default" w:asciiTheme="minorEastAsia" w:hAnsiTheme="minorEastAsia" w:eastAsiaTheme="minorEastAsia" w:cstheme="minorEastAsia"/>
          <w:sz w:val="24"/>
          <w:szCs w:val="24"/>
          <w:lang w:val="en-US" w:eastAsia="zh-CN"/>
        </w:rPr>
      </w:pPr>
      <w:r>
        <w:rPr>
          <w:rFonts w:hint="eastAsia" w:asciiTheme="minorEastAsia" w:hAnsiTheme="minorEastAsia" w:eastAsiaTheme="minorEastAsia" w:cstheme="minorEastAsia"/>
          <w:color w:val="231F20"/>
          <w:sz w:val="24"/>
          <w:szCs w:val="24"/>
          <w:lang w:val="en-US" w:eastAsia="zh-CN"/>
        </w:rPr>
        <w:t>1.</w:t>
      </w:r>
      <w:r>
        <w:rPr>
          <w:rFonts w:hint="eastAsia" w:asciiTheme="minorEastAsia" w:hAnsiTheme="minorEastAsia" w:eastAsiaTheme="minorEastAsia" w:cstheme="minorEastAsia"/>
          <w:color w:val="231F20"/>
          <w:sz w:val="24"/>
          <w:szCs w:val="24"/>
        </w:rPr>
        <w:t>工程名称</w:t>
      </w:r>
      <w:r>
        <w:rPr>
          <w:rFonts w:hint="eastAsia" w:asciiTheme="minorEastAsia" w:hAnsiTheme="minorEastAsia" w:eastAsiaTheme="minorEastAsia" w:cstheme="minorEastAsia"/>
          <w:color w:val="231F20"/>
          <w:sz w:val="24"/>
          <w:szCs w:val="24"/>
          <w:u w:val="none" w:color="auto"/>
        </w:rPr>
        <w:t>：</w:t>
      </w:r>
      <w:r>
        <w:rPr>
          <w:rFonts w:hint="eastAsia" w:asciiTheme="minorEastAsia" w:hAnsiTheme="minorEastAsia" w:eastAsiaTheme="minorEastAsia" w:cstheme="minorEastAsia"/>
          <w:color w:val="231F20"/>
          <w:sz w:val="24"/>
          <w:szCs w:val="24"/>
          <w:u w:val="single" w:color="231F20"/>
          <w:lang w:val="en-US" w:eastAsia="zh-CN"/>
        </w:rPr>
        <w:t xml:space="preserve">                                      </w:t>
      </w:r>
    </w:p>
    <w:p w14:paraId="3F631CEF">
      <w:pPr>
        <w:pStyle w:val="11"/>
        <w:numPr>
          <w:numId w:val="0"/>
        </w:numPr>
        <w:tabs>
          <w:tab w:val="left" w:pos="776"/>
          <w:tab w:val="left" w:pos="9078"/>
        </w:tabs>
        <w:spacing w:before="108" w:after="0" w:line="240" w:lineRule="auto"/>
        <w:ind w:left="557"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2.</w:t>
      </w:r>
      <w:r>
        <w:rPr>
          <w:rFonts w:hint="eastAsia" w:asciiTheme="minorEastAsia" w:hAnsiTheme="minorEastAsia" w:eastAsiaTheme="minorEastAsia" w:cstheme="minorEastAsia"/>
          <w:color w:val="231F20"/>
          <w:sz w:val="24"/>
          <w:szCs w:val="24"/>
        </w:rPr>
        <w:t>工程地点</w:t>
      </w:r>
      <w:r>
        <w:rPr>
          <w:rFonts w:hint="eastAsia" w:asciiTheme="minorEastAsia" w:hAnsiTheme="minorEastAsia" w:eastAsiaTheme="minorEastAsia" w:cstheme="minorEastAsia"/>
          <w:color w:val="231F20"/>
          <w:sz w:val="24"/>
          <w:szCs w:val="24"/>
          <w:u w:val="none" w:color="auto"/>
        </w:rPr>
        <w:t>：</w:t>
      </w:r>
      <w:r>
        <w:rPr>
          <w:rFonts w:hint="eastAsia" w:asciiTheme="minorEastAsia" w:hAnsiTheme="minorEastAsia" w:eastAsiaTheme="minorEastAsia" w:cstheme="minorEastAsia"/>
          <w:color w:val="231F20"/>
          <w:sz w:val="24"/>
          <w:szCs w:val="24"/>
          <w:u w:val="single" w:color="231F20"/>
          <w:lang w:val="en-US" w:eastAsia="zh-CN"/>
        </w:rPr>
        <w:t xml:space="preserve">                                      </w:t>
      </w:r>
    </w:p>
    <w:p w14:paraId="13F1069B">
      <w:pPr>
        <w:pStyle w:val="11"/>
        <w:numPr>
          <w:numId w:val="0"/>
        </w:numPr>
        <w:tabs>
          <w:tab w:val="left" w:pos="777"/>
          <w:tab w:val="left" w:pos="2303"/>
          <w:tab w:val="left" w:pos="3167"/>
          <w:tab w:val="left" w:pos="4173"/>
          <w:tab w:val="left" w:pos="5493"/>
          <w:tab w:val="left" w:pos="6226"/>
          <w:tab w:val="left" w:pos="7418"/>
          <w:tab w:val="left" w:pos="8963"/>
        </w:tabs>
        <w:spacing w:before="108" w:after="0" w:line="319" w:lineRule="auto"/>
        <w:ind w:left="557" w:leftChars="0" w:right="215"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lang w:val="en-US" w:eastAsia="zh-CN"/>
        </w:rPr>
        <w:t>3.建设规模：</w:t>
      </w:r>
      <w:r>
        <w:rPr>
          <w:rFonts w:hint="eastAsia" w:asciiTheme="minorEastAsia" w:hAnsiTheme="minorEastAsia" w:eastAsiaTheme="minorEastAsia" w:cstheme="minorEastAsia"/>
          <w:sz w:val="24"/>
          <w:szCs w:val="24"/>
          <w:u w:val="single"/>
          <w:lang w:val="en-US" w:eastAsia="zh-CN"/>
        </w:rPr>
        <w:t xml:space="preserve">                                      </w:t>
      </w:r>
    </w:p>
    <w:p w14:paraId="1B17F1BC">
      <w:pPr>
        <w:pStyle w:val="11"/>
        <w:numPr>
          <w:numId w:val="0"/>
        </w:numPr>
        <w:tabs>
          <w:tab w:val="left" w:pos="776"/>
          <w:tab w:val="left" w:pos="3140"/>
          <w:tab w:val="left" w:pos="4350"/>
          <w:tab w:val="left" w:pos="5560"/>
        </w:tabs>
        <w:spacing w:before="25" w:after="0" w:line="240" w:lineRule="auto"/>
        <w:ind w:left="557"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4.</w:t>
      </w:r>
      <w:r>
        <w:rPr>
          <w:rFonts w:hint="eastAsia" w:asciiTheme="minorEastAsia" w:hAnsiTheme="minorEastAsia" w:eastAsiaTheme="minorEastAsia" w:cstheme="minorEastAsia"/>
          <w:color w:val="231F20"/>
          <w:sz w:val="24"/>
          <w:szCs w:val="24"/>
        </w:rPr>
        <w:t>建筑功能</w:t>
      </w:r>
      <w:r>
        <w:rPr>
          <w:rFonts w:hint="eastAsia" w:asciiTheme="minorEastAsia" w:hAnsiTheme="minorEastAsia" w:eastAsiaTheme="minorEastAsia" w:cstheme="minorEastAsia"/>
          <w:color w:val="231F20"/>
          <w:sz w:val="24"/>
          <w:szCs w:val="24"/>
          <w:u w:val="none" w:color="auto"/>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等。</w:t>
      </w:r>
    </w:p>
    <w:p w14:paraId="378447F6">
      <w:pPr>
        <w:pStyle w:val="11"/>
        <w:numPr>
          <w:numId w:val="0"/>
        </w:numPr>
        <w:tabs>
          <w:tab w:val="left" w:pos="776"/>
          <w:tab w:val="left" w:pos="3360"/>
        </w:tabs>
        <w:spacing w:before="109" w:after="0" w:line="240" w:lineRule="auto"/>
        <w:ind w:left="557" w:leftChars="0" w:right="0" w:rightChars="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5.</w:t>
      </w:r>
      <w:r>
        <w:rPr>
          <w:rFonts w:hint="eastAsia" w:asciiTheme="minorEastAsia" w:hAnsiTheme="minorEastAsia" w:eastAsiaTheme="minorEastAsia" w:cstheme="minorEastAsia"/>
          <w:color w:val="231F20"/>
          <w:sz w:val="24"/>
          <w:szCs w:val="24"/>
        </w:rPr>
        <w:t>投资估算</w:t>
      </w:r>
      <w:r>
        <w:rPr>
          <w:rFonts w:hint="eastAsia" w:asciiTheme="minorEastAsia" w:hAnsiTheme="minorEastAsia" w:eastAsiaTheme="minorEastAsia" w:cstheme="minorEastAsia"/>
          <w:color w:val="231F20"/>
          <w:spacing w:val="-55"/>
          <w:sz w:val="24"/>
          <w:szCs w:val="24"/>
        </w:rPr>
        <w:t>：</w:t>
      </w:r>
      <w:r>
        <w:rPr>
          <w:rFonts w:hint="eastAsia" w:asciiTheme="minorEastAsia" w:hAnsiTheme="minorEastAsia" w:eastAsiaTheme="minorEastAsia" w:cstheme="minorEastAsia"/>
          <w:color w:val="231F20"/>
          <w:sz w:val="24"/>
          <w:szCs w:val="24"/>
          <w:lang w:val="en-US" w:eastAsia="zh-CN"/>
        </w:rPr>
        <w:t xml:space="preserve"> </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lang w:val="en-US" w:eastAsia="zh-CN"/>
        </w:rPr>
        <w:t xml:space="preserve">  </w:t>
      </w:r>
    </w:p>
    <w:p w14:paraId="3008EA5F">
      <w:pPr>
        <w:pStyle w:val="5"/>
        <w:spacing w:before="103"/>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二、工程设计范围、阶段与服务内容</w:t>
      </w:r>
    </w:p>
    <w:p w14:paraId="23178238">
      <w:pPr>
        <w:pStyle w:val="11"/>
        <w:numPr>
          <w:ilvl w:val="0"/>
          <w:numId w:val="1"/>
        </w:numPr>
        <w:tabs>
          <w:tab w:val="left" w:pos="776"/>
          <w:tab w:val="left" w:pos="9078"/>
        </w:tabs>
        <w:spacing w:before="122" w:after="0" w:line="240" w:lineRule="auto"/>
        <w:ind w:left="557" w:right="0" w:firstLine="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工程设计范围</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lang w:val="en-US" w:eastAsia="zh-CN"/>
        </w:rPr>
        <w:t xml:space="preserve">                                  </w:t>
      </w:r>
    </w:p>
    <w:p w14:paraId="0BF1A2D6">
      <w:pPr>
        <w:pStyle w:val="11"/>
        <w:numPr>
          <w:ilvl w:val="0"/>
          <w:numId w:val="1"/>
        </w:numPr>
        <w:tabs>
          <w:tab w:val="left" w:pos="776"/>
          <w:tab w:val="left" w:pos="9078"/>
        </w:tabs>
        <w:spacing w:before="109" w:after="0" w:line="240" w:lineRule="auto"/>
        <w:ind w:left="557" w:right="0" w:firstLine="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工程设计阶段</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lang w:val="en-US" w:eastAsia="zh-CN"/>
        </w:rPr>
        <w:t xml:space="preserve">                                  </w:t>
      </w:r>
    </w:p>
    <w:p w14:paraId="48C8200A">
      <w:pPr>
        <w:pStyle w:val="11"/>
        <w:numPr>
          <w:ilvl w:val="0"/>
          <w:numId w:val="1"/>
        </w:numPr>
        <w:tabs>
          <w:tab w:val="left" w:pos="776"/>
          <w:tab w:val="left" w:pos="9078"/>
        </w:tabs>
        <w:spacing w:before="109" w:after="0" w:line="319" w:lineRule="auto"/>
        <w:ind w:left="557" w:right="105" w:firstLine="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工程设计服务内容</w:t>
      </w:r>
      <w:r>
        <w:rPr>
          <w:rFonts w:hint="eastAsia" w:asciiTheme="minorEastAsia" w:hAnsiTheme="minorEastAsia" w:eastAsiaTheme="minorEastAsia" w:cstheme="minorEastAsia"/>
          <w:color w:val="231F20"/>
          <w:sz w:val="24"/>
          <w:szCs w:val="24"/>
          <w:u w:val="none" w:color="auto"/>
        </w:rPr>
        <w:t>：</w:t>
      </w:r>
      <w:r>
        <w:rPr>
          <w:rFonts w:hint="eastAsia" w:asciiTheme="minorEastAsia" w:hAnsiTheme="minorEastAsia" w:eastAsiaTheme="minorEastAsia" w:cstheme="minorEastAsia"/>
          <w:color w:val="231F20"/>
          <w:sz w:val="24"/>
          <w:szCs w:val="24"/>
          <w:u w:val="single" w:color="auto"/>
          <w:lang w:val="en-US" w:eastAsia="zh-CN"/>
        </w:rPr>
        <w:t>本项目初步设计、施工图设计等服务</w:t>
      </w:r>
      <w:r>
        <w:rPr>
          <w:rFonts w:hint="eastAsia" w:asciiTheme="minorEastAsia" w:hAnsiTheme="minorEastAsia" w:eastAsiaTheme="minorEastAsia" w:cstheme="minorEastAsia"/>
          <w:color w:val="231F20"/>
          <w:sz w:val="24"/>
          <w:szCs w:val="24"/>
        </w:rPr>
        <w:t>工程设计范围、阶段与服务内容详见专用合同条款附件</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1。</w:t>
      </w:r>
    </w:p>
    <w:p w14:paraId="60448362">
      <w:pPr>
        <w:pStyle w:val="5"/>
        <w:spacing w:before="19"/>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三、工程设计周期</w:t>
      </w:r>
    </w:p>
    <w:p w14:paraId="3161D14A">
      <w:pPr>
        <w:pStyle w:val="5"/>
        <w:keepNext w:val="0"/>
        <w:keepLines w:val="0"/>
        <w:pageBreakBefore w:val="0"/>
        <w:widowControl w:val="0"/>
        <w:tabs>
          <w:tab w:val="left" w:pos="3362"/>
          <w:tab w:val="left" w:pos="4022"/>
          <w:tab w:val="left" w:pos="4682"/>
        </w:tabs>
        <w:kinsoku/>
        <w:wordWrap/>
        <w:overflowPunct/>
        <w:topLinePunct w:val="0"/>
        <w:autoSpaceDE w:val="0"/>
        <w:autoSpaceDN w:val="0"/>
        <w:bidi w:val="0"/>
        <w:adjustRightInd w:val="0"/>
        <w:snapToGrid w:val="0"/>
        <w:spacing w:before="0" w:line="320" w:lineRule="auto"/>
        <w:ind w:left="0" w:right="0" w:firstLine="720" w:firstLineChars="300"/>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计划开始设计日期</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年</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月</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日。</w:t>
      </w:r>
    </w:p>
    <w:p w14:paraId="36B7C7B9">
      <w:pPr>
        <w:pStyle w:val="5"/>
        <w:keepNext w:val="0"/>
        <w:keepLines w:val="0"/>
        <w:pageBreakBefore w:val="0"/>
        <w:widowControl w:val="0"/>
        <w:tabs>
          <w:tab w:val="left" w:pos="3362"/>
          <w:tab w:val="left" w:pos="4022"/>
          <w:tab w:val="left" w:pos="4682"/>
        </w:tabs>
        <w:kinsoku/>
        <w:wordWrap/>
        <w:overflowPunct/>
        <w:topLinePunct w:val="0"/>
        <w:autoSpaceDE w:val="0"/>
        <w:autoSpaceDN w:val="0"/>
        <w:bidi w:val="0"/>
        <w:adjustRightInd w:val="0"/>
        <w:snapToGrid w:val="0"/>
        <w:spacing w:before="0" w:line="320" w:lineRule="auto"/>
        <w:ind w:left="0" w:right="0" w:firstLine="720" w:firstLineChars="3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计划完成设计日期</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年</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月</w:t>
      </w:r>
      <w:r>
        <w:rPr>
          <w:rFonts w:hint="eastAsia" w:asciiTheme="minorEastAsia" w:hAnsiTheme="minorEastAsia" w:eastAsiaTheme="minorEastAsia" w:cstheme="minorEastAsia"/>
          <w:color w:val="231F20"/>
          <w:sz w:val="24"/>
          <w:szCs w:val="24"/>
          <w:u w:val="single"/>
          <w:lang w:val="en-US" w:eastAsia="zh-CN"/>
        </w:rPr>
        <w:t xml:space="preserve">      </w:t>
      </w:r>
      <w:r>
        <w:rPr>
          <w:rFonts w:hint="eastAsia" w:asciiTheme="minorEastAsia" w:hAnsiTheme="minorEastAsia" w:eastAsiaTheme="minorEastAsia" w:cstheme="minorEastAsia"/>
          <w:color w:val="231F20"/>
          <w:sz w:val="24"/>
          <w:szCs w:val="24"/>
        </w:rPr>
        <w:t>日。</w:t>
      </w:r>
    </w:p>
    <w:p w14:paraId="64558540">
      <w:pPr>
        <w:pStyle w:val="5"/>
        <w:spacing w:before="2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具体工程设计周期以专用合同条款及其附件的约定为准。</w:t>
      </w:r>
    </w:p>
    <w:p w14:paraId="6C5D669B">
      <w:pPr>
        <w:pStyle w:val="5"/>
        <w:spacing w:before="103"/>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四、合同价格形式与签约合同价</w:t>
      </w:r>
    </w:p>
    <w:p w14:paraId="4087442E">
      <w:pPr>
        <w:pStyle w:val="11"/>
        <w:numPr>
          <w:ilvl w:val="0"/>
          <w:numId w:val="2"/>
        </w:numPr>
        <w:tabs>
          <w:tab w:val="left" w:pos="776"/>
          <w:tab w:val="left" w:pos="9078"/>
        </w:tabs>
        <w:spacing w:before="122" w:after="0" w:line="240" w:lineRule="auto"/>
        <w:ind w:left="775" w:right="0" w:hanging="218"/>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合同价格形式</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w:t>
      </w:r>
    </w:p>
    <w:p w14:paraId="2A75AA4C">
      <w:pPr>
        <w:pStyle w:val="11"/>
        <w:numPr>
          <w:ilvl w:val="0"/>
          <w:numId w:val="2"/>
        </w:numPr>
        <w:tabs>
          <w:tab w:val="left" w:pos="776"/>
        </w:tabs>
        <w:spacing w:before="109" w:after="0" w:line="240" w:lineRule="auto"/>
        <w:ind w:left="775" w:right="0" w:hanging="218"/>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签约合同价为：</w:t>
      </w:r>
    </w:p>
    <w:p w14:paraId="7E674B9A">
      <w:pPr>
        <w:pStyle w:val="5"/>
        <w:tabs>
          <w:tab w:val="left" w:pos="5397"/>
          <w:tab w:val="left" w:pos="7157"/>
        </w:tabs>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人民币（大写</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元</w:t>
      </w:r>
      <w:r>
        <w:rPr>
          <w:rFonts w:hint="eastAsia" w:asciiTheme="minorEastAsia" w:hAnsiTheme="minorEastAsia" w:eastAsiaTheme="minorEastAsia" w:cstheme="minorEastAsia"/>
          <w:color w:val="231F20"/>
          <w:spacing w:val="-83"/>
          <w:sz w:val="24"/>
          <w:szCs w:val="24"/>
        </w:rPr>
        <w:t>）。</w:t>
      </w:r>
    </w:p>
    <w:p w14:paraId="5576273C">
      <w:pPr>
        <w:pStyle w:val="5"/>
        <w:spacing w:before="102"/>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五、发包人代表与设计人项目负责人</w:t>
      </w:r>
    </w:p>
    <w:p w14:paraId="34D46ED3">
      <w:pPr>
        <w:pStyle w:val="5"/>
        <w:tabs>
          <w:tab w:val="left" w:pos="9078"/>
        </w:tabs>
        <w:spacing w:before="121" w:line="319" w:lineRule="auto"/>
        <w:ind w:left="557" w:right="105"/>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发包人代表</w:t>
      </w:r>
      <w:r>
        <w:rPr>
          <w:rFonts w:hint="eastAsia" w:asciiTheme="minorEastAsia" w:hAnsiTheme="minorEastAsia" w:eastAsiaTheme="minorEastAsia" w:cstheme="minorEastAsia"/>
          <w:color w:val="231F20"/>
          <w:sz w:val="24"/>
          <w:szCs w:val="24"/>
          <w:u w:val="none" w:color="auto"/>
        </w:rPr>
        <w:t>：</w:t>
      </w:r>
      <w:r>
        <w:rPr>
          <w:rFonts w:hint="eastAsia" w:asciiTheme="minorEastAsia" w:hAnsiTheme="minorEastAsia" w:eastAsiaTheme="minorEastAsia" w:cstheme="minorEastAsia"/>
          <w:color w:val="231F20"/>
          <w:sz w:val="24"/>
          <w:szCs w:val="24"/>
          <w:u w:val="single" w:color="231F20"/>
          <w:lang w:val="en-US" w:eastAsia="zh-CN"/>
        </w:rPr>
        <w:t xml:space="preserve">                          </w:t>
      </w:r>
    </w:p>
    <w:p w14:paraId="2BAF284F">
      <w:pPr>
        <w:pStyle w:val="5"/>
        <w:tabs>
          <w:tab w:val="left" w:pos="9078"/>
        </w:tabs>
        <w:spacing w:before="121" w:line="319" w:lineRule="auto"/>
        <w:ind w:left="557" w:right="105"/>
        <w:rPr>
          <w:rFonts w:hint="default" w:asciiTheme="minorEastAsia" w:hAnsiTheme="minorEastAsia" w:eastAsiaTheme="minorEastAsia" w:cstheme="minorEastAsia"/>
          <w:sz w:val="24"/>
          <w:szCs w:val="24"/>
          <w:lang w:val="en-US"/>
        </w:rPr>
      </w:pPr>
      <w:r>
        <w:rPr>
          <w:rFonts w:hint="eastAsia" w:asciiTheme="minorEastAsia" w:hAnsiTheme="minorEastAsia" w:eastAsiaTheme="minorEastAsia" w:cstheme="minorEastAsia"/>
          <w:color w:val="231F20"/>
          <w:sz w:val="24"/>
          <w:szCs w:val="24"/>
        </w:rPr>
        <w:t>设计人项目负责人</w:t>
      </w:r>
      <w:r>
        <w:rPr>
          <w:rFonts w:hint="eastAsia" w:asciiTheme="minorEastAsia" w:hAnsiTheme="minorEastAsia" w:eastAsiaTheme="minorEastAsia" w:cstheme="minorEastAsia"/>
          <w:color w:val="231F20"/>
          <w:sz w:val="24"/>
          <w:szCs w:val="24"/>
          <w:u w:val="none" w:color="auto"/>
        </w:rPr>
        <w:t>：</w:t>
      </w:r>
      <w:r>
        <w:rPr>
          <w:rFonts w:hint="eastAsia" w:asciiTheme="minorEastAsia" w:hAnsiTheme="minorEastAsia" w:eastAsiaTheme="minorEastAsia" w:cstheme="minorEastAsia"/>
          <w:color w:val="231F20"/>
          <w:sz w:val="24"/>
          <w:szCs w:val="24"/>
          <w:u w:val="single" w:color="231F20"/>
          <w:lang w:val="en-US" w:eastAsia="zh-CN"/>
        </w:rPr>
        <w:t xml:space="preserve">                     </w:t>
      </w:r>
    </w:p>
    <w:p w14:paraId="3609F81D">
      <w:pPr>
        <w:pStyle w:val="5"/>
        <w:spacing w:before="1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六、合同文件构成</w:t>
      </w:r>
    </w:p>
    <w:p w14:paraId="360D878A">
      <w:pPr>
        <w:pStyle w:val="5"/>
        <w:spacing w:before="122"/>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本协议书与下列文件一起构成合同文件：</w:t>
      </w:r>
    </w:p>
    <w:p w14:paraId="5C32F2E5">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1）专用合同条款及其附件；</w:t>
      </w:r>
    </w:p>
    <w:p w14:paraId="522F8BA5">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2）通用合同条款；</w:t>
      </w:r>
    </w:p>
    <w:p w14:paraId="5D042E94">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3）中标通知书（如果有）；</w:t>
      </w:r>
    </w:p>
    <w:p w14:paraId="73720556">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4）投标函及其附录（如果有）；</w:t>
      </w:r>
    </w:p>
    <w:p w14:paraId="6CC2704B">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5）发包人要求；</w:t>
      </w:r>
    </w:p>
    <w:p w14:paraId="09D5411C">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6）技术标准；</w:t>
      </w:r>
    </w:p>
    <w:p w14:paraId="54660294">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7）发包人提供的上一阶段图纸（如果有）；</w:t>
      </w:r>
    </w:p>
    <w:p w14:paraId="08C4810A">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8）其他合同文件。</w:t>
      </w:r>
    </w:p>
    <w:p w14:paraId="59C289E8">
      <w:pPr>
        <w:pStyle w:val="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在合同履行过程中形成的与合同有关的文件均构成合同文件组成部分。</w:t>
      </w:r>
    </w:p>
    <w:p w14:paraId="33CBAD5A">
      <w:pPr>
        <w:pStyle w:val="5"/>
        <w:spacing w:line="319" w:lineRule="auto"/>
        <w:ind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上述各项合同文件包括合同当事人就该项合同文件所作出的补充和修改，属于同一类内容的文件，应以最新签署的为准。</w:t>
      </w:r>
    </w:p>
    <w:p w14:paraId="14522970">
      <w:pPr>
        <w:pStyle w:val="5"/>
        <w:spacing w:before="19"/>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七、承诺</w:t>
      </w:r>
    </w:p>
    <w:p w14:paraId="221C252F">
      <w:pPr>
        <w:pStyle w:val="11"/>
        <w:numPr>
          <w:ilvl w:val="0"/>
          <w:numId w:val="3"/>
        </w:numPr>
        <w:tabs>
          <w:tab w:val="left" w:pos="776"/>
        </w:tabs>
        <w:spacing w:before="121" w:after="0" w:line="319" w:lineRule="auto"/>
        <w:ind w:left="117" w:right="112"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发包人承诺按照法律规定履行项目审批手续，按照合同约定提供设计依据，并按合同约定的期限和方式支付合同价款。</w:t>
      </w:r>
    </w:p>
    <w:p w14:paraId="0FEDBE28">
      <w:pPr>
        <w:pStyle w:val="11"/>
        <w:numPr>
          <w:ilvl w:val="0"/>
          <w:numId w:val="3"/>
        </w:numPr>
        <w:tabs>
          <w:tab w:val="left" w:pos="776"/>
        </w:tabs>
        <w:spacing w:before="25" w:after="0" w:line="240" w:lineRule="auto"/>
        <w:ind w:left="775" w:right="0" w:hanging="218"/>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设计人承诺按照法律和技术标准规定及合同约定提供工程设计服务。</w:t>
      </w:r>
    </w:p>
    <w:p w14:paraId="053B70B6">
      <w:pPr>
        <w:pStyle w:val="5"/>
        <w:spacing w:before="103"/>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八、词语含义</w:t>
      </w:r>
    </w:p>
    <w:p w14:paraId="74BFEB0A">
      <w:pPr>
        <w:pStyle w:val="5"/>
        <w:spacing w:before="122"/>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本协议书中词语含义与第二部分通用合同条款中赋予的含义相同。</w:t>
      </w:r>
    </w:p>
    <w:p w14:paraId="107AC2B0">
      <w:pPr>
        <w:pStyle w:val="5"/>
        <w:spacing w:before="103"/>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九、签订地点</w:t>
      </w:r>
    </w:p>
    <w:p w14:paraId="7737CE64">
      <w:pPr>
        <w:pStyle w:val="5"/>
        <w:tabs>
          <w:tab w:val="left" w:pos="5397"/>
        </w:tabs>
        <w:spacing w:before="122"/>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本合同在</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签订。</w:t>
      </w:r>
    </w:p>
    <w:p w14:paraId="3B10BBCB">
      <w:pPr>
        <w:pStyle w:val="5"/>
        <w:spacing w:before="103"/>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十、补充协议</w:t>
      </w:r>
    </w:p>
    <w:p w14:paraId="0F70A560">
      <w:pPr>
        <w:pStyle w:val="5"/>
        <w:spacing w:before="122"/>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合同未尽事宜，合同当事人另行签订补充协议，补充协议是合同的组成部分。</w:t>
      </w:r>
    </w:p>
    <w:p w14:paraId="095B0C0E">
      <w:pPr>
        <w:pStyle w:val="5"/>
        <w:spacing w:before="102"/>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十一、合同生效</w:t>
      </w:r>
    </w:p>
    <w:p w14:paraId="153184CB">
      <w:pPr>
        <w:pStyle w:val="5"/>
        <w:tabs>
          <w:tab w:val="left" w:pos="4432"/>
        </w:tabs>
        <w:spacing w:before="121"/>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本合同自</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bCs/>
          <w:color w:val="auto"/>
          <w:sz w:val="24"/>
          <w:szCs w:val="24"/>
          <w:highlight w:val="none"/>
          <w:u w:val="single"/>
        </w:rPr>
        <w:t>双方签字、盖章并经建设行政主管部门审核备案后</w:t>
      </w:r>
      <w:r>
        <w:rPr>
          <w:rFonts w:hint="eastAsia" w:asciiTheme="minorEastAsia" w:hAnsiTheme="minorEastAsia" w:eastAsiaTheme="minorEastAsia" w:cstheme="minorEastAsia"/>
          <w:bCs/>
          <w:color w:val="auto"/>
          <w:sz w:val="24"/>
          <w:szCs w:val="24"/>
          <w:highlight w:val="none"/>
          <w:u w:val="single"/>
          <w:lang w:val="en-US" w:eastAsia="zh-CN"/>
        </w:rPr>
        <w:t xml:space="preserve"> </w:t>
      </w:r>
      <w:r>
        <w:rPr>
          <w:rFonts w:hint="eastAsia" w:ascii="宋体" w:hAnsi="宋体" w:cs="宋体"/>
          <w:bCs/>
          <w:color w:val="auto"/>
          <w:sz w:val="21"/>
          <w:szCs w:val="21"/>
          <w:highlight w:val="none"/>
          <w:u w:val="single"/>
          <w:lang w:val="en-US" w:eastAsia="zh-CN"/>
        </w:rPr>
        <w:t xml:space="preserve"> </w:t>
      </w:r>
      <w:r>
        <w:rPr>
          <w:rFonts w:hint="eastAsia" w:asciiTheme="minorEastAsia" w:hAnsiTheme="minorEastAsia" w:eastAsiaTheme="minorEastAsia" w:cstheme="minorEastAsia"/>
          <w:color w:val="231F20"/>
          <w:sz w:val="24"/>
          <w:szCs w:val="24"/>
        </w:rPr>
        <w:t>生效。</w:t>
      </w:r>
    </w:p>
    <w:p w14:paraId="1B345D1A">
      <w:pPr>
        <w:pStyle w:val="5"/>
        <w:spacing w:before="102"/>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十二、合同份数</w:t>
      </w:r>
    </w:p>
    <w:p w14:paraId="67121983">
      <w:pPr>
        <w:pStyle w:val="5"/>
        <w:tabs>
          <w:tab w:val="left" w:pos="777"/>
          <w:tab w:val="left" w:pos="2537"/>
          <w:tab w:val="left" w:pos="2977"/>
          <w:tab w:val="left" w:pos="4297"/>
          <w:tab w:val="left" w:pos="8528"/>
        </w:tabs>
        <w:spacing w:before="121" w:line="319" w:lineRule="auto"/>
        <w:ind w:right="1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本合同正本一式</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份、副本一式</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份，均具有同等法律效力，发包人执正本</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份、副本</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份，设计人执正本</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份、副本</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份。</w:t>
      </w:r>
    </w:p>
    <w:p w14:paraId="6468FB1D">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宋体" w:hAnsi="宋体" w:cs="宋体"/>
          <w:color w:val="auto"/>
          <w:sz w:val="24"/>
          <w:szCs w:val="24"/>
          <w:highlight w:val="none"/>
        </w:rPr>
      </w:pPr>
      <w:r>
        <w:rPr>
          <w:rFonts w:hint="eastAsia" w:ascii="宋体" w:hAnsi="宋体" w:cs="宋体"/>
          <w:color w:val="auto"/>
          <w:sz w:val="24"/>
          <w:szCs w:val="24"/>
          <w:highlight w:val="none"/>
        </w:rPr>
        <w:t xml:space="preserve">   </w:t>
      </w:r>
    </w:p>
    <w:p w14:paraId="5266DB71">
      <w:pPr>
        <w:keepNext w:val="0"/>
        <w:keepLines w:val="0"/>
        <w:pageBreakBefore w:val="0"/>
        <w:widowControl w:val="0"/>
        <w:kinsoku/>
        <w:wordWrap/>
        <w:overflowPunct/>
        <w:topLinePunct w:val="0"/>
        <w:autoSpaceDE/>
        <w:autoSpaceDN/>
        <w:bidi w:val="0"/>
        <w:snapToGrid/>
        <w:spacing w:beforeLines="0" w:afterLines="0" w:line="440" w:lineRule="exact"/>
        <w:ind w:firstLine="480" w:firstLineChars="200"/>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auto"/>
          <w:sz w:val="24"/>
          <w:szCs w:val="24"/>
          <w:highlight w:val="none"/>
        </w:rPr>
        <w:t>发包人：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（盖章）             设计人：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（盖章）</w:t>
      </w:r>
    </w:p>
    <w:p w14:paraId="7690D577">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法定代表人或其委托代理人：               法定代表人或其委托代理人：  </w:t>
      </w:r>
    </w:p>
    <w:p w14:paraId="0D16A4F7">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Theme="minorEastAsia" w:hAnsiTheme="minorEastAsia" w:eastAsiaTheme="minorEastAsia" w:cstheme="minorEastAsia"/>
          <w:color w:val="auto"/>
          <w:sz w:val="24"/>
          <w:szCs w:val="24"/>
          <w:highlight w:val="none"/>
          <w:u w:val="single"/>
        </w:rPr>
      </w:pPr>
      <w:r>
        <w:rPr>
          <w:rFonts w:hint="eastAsia" w:asciiTheme="minorEastAsia" w:hAnsiTheme="minorEastAsia" w:eastAsiaTheme="minorEastAsia" w:cstheme="minorEastAsia"/>
          <w:color w:val="auto"/>
          <w:sz w:val="24"/>
          <w:szCs w:val="24"/>
          <w:highlight w:val="none"/>
        </w:rPr>
        <w:t xml:space="preserve">   （签字）</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（签字）</w:t>
      </w:r>
      <w:r>
        <w:rPr>
          <w:rFonts w:hint="eastAsia" w:asciiTheme="minorEastAsia" w:hAnsiTheme="minorEastAsia" w:eastAsiaTheme="minorEastAsia" w:cstheme="minorEastAsia"/>
          <w:color w:val="auto"/>
          <w:sz w:val="24"/>
          <w:szCs w:val="24"/>
          <w:highlight w:val="none"/>
          <w:u w:val="single"/>
        </w:rPr>
        <w:t xml:space="preserve">                 </w:t>
      </w:r>
    </w:p>
    <w:p w14:paraId="0CBEDB04">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地  址：</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地  址：</w:t>
      </w:r>
      <w:r>
        <w:rPr>
          <w:rFonts w:hint="eastAsia" w:asciiTheme="minorEastAsia" w:hAnsiTheme="minorEastAsia" w:eastAsiaTheme="minorEastAsia" w:cstheme="minorEastAsia"/>
          <w:color w:val="auto"/>
          <w:sz w:val="24"/>
          <w:szCs w:val="24"/>
          <w:highlight w:val="none"/>
          <w:u w:val="single"/>
        </w:rPr>
        <w:t xml:space="preserve">        </w:t>
      </w:r>
    </w:p>
    <w:p w14:paraId="1029DB68">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法定代表人：</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法定代表人：</w:t>
      </w:r>
      <w:r>
        <w:rPr>
          <w:rFonts w:hint="eastAsia" w:asciiTheme="minorEastAsia" w:hAnsiTheme="minorEastAsia" w:eastAsiaTheme="minorEastAsia" w:cstheme="minorEastAsia"/>
          <w:color w:val="auto"/>
          <w:sz w:val="24"/>
          <w:szCs w:val="24"/>
          <w:highlight w:val="none"/>
          <w:u w:val="single"/>
        </w:rPr>
        <w:t xml:space="preserve">             </w:t>
      </w:r>
    </w:p>
    <w:p w14:paraId="1B76EA54">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委托代理人：</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委托代理人：</w:t>
      </w:r>
      <w:r>
        <w:rPr>
          <w:rFonts w:hint="eastAsia" w:asciiTheme="minorEastAsia" w:hAnsiTheme="minorEastAsia" w:eastAsiaTheme="minorEastAsia" w:cstheme="minorEastAsia"/>
          <w:color w:val="auto"/>
          <w:sz w:val="24"/>
          <w:szCs w:val="24"/>
          <w:highlight w:val="none"/>
          <w:u w:val="single"/>
        </w:rPr>
        <w:t xml:space="preserve">             </w:t>
      </w:r>
    </w:p>
    <w:p w14:paraId="14089434">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电  话：</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电  话：</w:t>
      </w:r>
      <w:r>
        <w:rPr>
          <w:rFonts w:hint="eastAsia" w:asciiTheme="minorEastAsia" w:hAnsiTheme="minorEastAsia" w:eastAsiaTheme="minorEastAsia" w:cstheme="minorEastAsia"/>
          <w:color w:val="auto"/>
          <w:sz w:val="24"/>
          <w:szCs w:val="24"/>
          <w:highlight w:val="none"/>
          <w:u w:val="single"/>
        </w:rPr>
        <w:t xml:space="preserve">     </w:t>
      </w:r>
    </w:p>
    <w:p w14:paraId="76D97DBD">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开户银行：</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 xml:space="preserve">              开户银行：</w:t>
      </w:r>
      <w:r>
        <w:rPr>
          <w:rFonts w:hint="eastAsia" w:asciiTheme="minorEastAsia" w:hAnsiTheme="minorEastAsia" w:eastAsiaTheme="minorEastAsia" w:cstheme="minorEastAsia"/>
          <w:color w:val="auto"/>
          <w:sz w:val="24"/>
          <w:szCs w:val="24"/>
          <w:highlight w:val="none"/>
          <w:u w:val="single"/>
        </w:rPr>
        <w:t xml:space="preserve">   </w:t>
      </w:r>
    </w:p>
    <w:p w14:paraId="2E7CA8C8">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账  号：</w:t>
      </w:r>
      <w:r>
        <w:rPr>
          <w:rFonts w:hint="eastAsia" w:asciiTheme="minorEastAsia" w:hAnsiTheme="minorEastAsia" w:eastAsiaTheme="minorEastAsia" w:cstheme="minorEastAsia"/>
          <w:color w:val="auto"/>
          <w:sz w:val="24"/>
          <w:szCs w:val="24"/>
          <w:highlight w:val="none"/>
          <w:u w:val="single"/>
        </w:rPr>
        <w:t xml:space="preserve">       </w:t>
      </w:r>
      <w:r>
        <w:rPr>
          <w:rFonts w:hint="eastAsia" w:asciiTheme="minorEastAsia" w:hAnsiTheme="minorEastAsia" w:eastAsiaTheme="minorEastAsia" w:cstheme="minorEastAsia"/>
          <w:color w:val="auto"/>
          <w:sz w:val="24"/>
          <w:szCs w:val="24"/>
          <w:highlight w:val="none"/>
        </w:rPr>
        <w:t xml:space="preserve">              账  号：</w:t>
      </w:r>
      <w:r>
        <w:rPr>
          <w:rFonts w:hint="eastAsia" w:asciiTheme="minorEastAsia" w:hAnsiTheme="minorEastAsia" w:eastAsiaTheme="minorEastAsia" w:cstheme="minorEastAsia"/>
          <w:color w:val="auto"/>
          <w:sz w:val="24"/>
          <w:szCs w:val="24"/>
          <w:highlight w:val="none"/>
          <w:u w:val="single"/>
        </w:rPr>
        <w:t xml:space="preserve">     </w:t>
      </w:r>
    </w:p>
    <w:p w14:paraId="67D2920F">
      <w:pPr>
        <w:keepNext w:val="0"/>
        <w:keepLines w:val="0"/>
        <w:pageBreakBefore w:val="0"/>
        <w:widowControl w:val="0"/>
        <w:kinsoku/>
        <w:wordWrap/>
        <w:overflowPunct/>
        <w:topLinePunct w:val="0"/>
        <w:autoSpaceDE/>
        <w:autoSpaceDN/>
        <w:bidi w:val="0"/>
        <w:snapToGrid/>
        <w:spacing w:beforeLines="0" w:afterLines="0" w:line="440" w:lineRule="exact"/>
        <w:ind w:left="0" w:leftChars="0"/>
        <w:textAlignment w:val="auto"/>
        <w:rPr>
          <w:rFonts w:hint="eastAsia" w:asciiTheme="minorEastAsia" w:hAnsiTheme="minorEastAsia" w:eastAsiaTheme="minorEastAsia" w:cstheme="minorEastAsia"/>
          <w:color w:val="auto"/>
          <w:sz w:val="24"/>
          <w:szCs w:val="24"/>
          <w:highlight w:val="none"/>
        </w:rPr>
      </w:pPr>
      <w:r>
        <w:rPr>
          <w:rFonts w:hint="eastAsia" w:asciiTheme="minorEastAsia" w:hAnsiTheme="minorEastAsia" w:eastAsiaTheme="minorEastAsia" w:cstheme="minorEastAsia"/>
          <w:color w:val="auto"/>
          <w:sz w:val="24"/>
          <w:szCs w:val="24"/>
          <w:highlight w:val="none"/>
        </w:rPr>
        <w:t xml:space="preserve">   时  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             时  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年</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月</w:t>
      </w:r>
      <w:r>
        <w:rPr>
          <w:rFonts w:hint="eastAsia" w:asciiTheme="minorEastAsia" w:hAnsiTheme="minorEastAsia" w:eastAsiaTheme="minorEastAsia" w:cstheme="minorEastAsia"/>
          <w:color w:val="auto"/>
          <w:sz w:val="24"/>
          <w:szCs w:val="24"/>
          <w:highlight w:val="none"/>
          <w:u w:val="single"/>
        </w:rPr>
        <w:t xml:space="preserve">    </w:t>
      </w:r>
      <w:r>
        <w:rPr>
          <w:rFonts w:hint="eastAsia" w:asciiTheme="minorEastAsia" w:hAnsiTheme="minorEastAsia" w:eastAsiaTheme="minorEastAsia" w:cstheme="minorEastAsia"/>
          <w:color w:val="auto"/>
          <w:sz w:val="24"/>
          <w:szCs w:val="24"/>
          <w:highlight w:val="none"/>
        </w:rPr>
        <w:t>日</w:t>
      </w:r>
    </w:p>
    <w:p w14:paraId="43399400">
      <w:pPr>
        <w:spacing w:after="0"/>
        <w:rPr>
          <w:rFonts w:hint="eastAsia" w:asciiTheme="minorEastAsia" w:hAnsiTheme="minorEastAsia" w:eastAsiaTheme="minorEastAsia" w:cstheme="minorEastAsia"/>
          <w:sz w:val="24"/>
          <w:szCs w:val="24"/>
        </w:rPr>
      </w:pPr>
    </w:p>
    <w:p w14:paraId="403F715A">
      <w:pPr>
        <w:spacing w:after="0"/>
        <w:rPr>
          <w:rFonts w:hint="eastAsia" w:asciiTheme="minorEastAsia" w:hAnsiTheme="minorEastAsia" w:eastAsiaTheme="minorEastAsia" w:cstheme="minorEastAsia"/>
        </w:rPr>
      </w:pPr>
    </w:p>
    <w:p w14:paraId="45CDF0C1">
      <w:pPr>
        <w:spacing w:after="0"/>
        <w:rPr>
          <w:rFonts w:hint="eastAsia" w:asciiTheme="minorEastAsia" w:hAnsiTheme="minorEastAsia" w:eastAsiaTheme="minorEastAsia" w:cstheme="minorEastAsia"/>
        </w:rPr>
      </w:pPr>
    </w:p>
    <w:p w14:paraId="74B4A77C">
      <w:pPr>
        <w:spacing w:after="0"/>
        <w:rPr>
          <w:rFonts w:hint="eastAsia" w:asciiTheme="minorEastAsia" w:hAnsiTheme="minorEastAsia" w:eastAsiaTheme="minorEastAsia" w:cstheme="minorEastAsia"/>
        </w:rPr>
      </w:pPr>
    </w:p>
    <w:p w14:paraId="1977F7D3">
      <w:pPr>
        <w:spacing w:after="0"/>
        <w:rPr>
          <w:rFonts w:hint="eastAsia" w:asciiTheme="minorEastAsia" w:hAnsiTheme="minorEastAsia" w:eastAsiaTheme="minorEastAsia" w:cstheme="minorEastAsia"/>
        </w:rPr>
      </w:pPr>
    </w:p>
    <w:p w14:paraId="4B7D2184">
      <w:pPr>
        <w:spacing w:after="0"/>
        <w:rPr>
          <w:rFonts w:hint="eastAsia" w:asciiTheme="minorEastAsia" w:hAnsiTheme="minorEastAsia" w:eastAsiaTheme="minorEastAsia" w:cstheme="minorEastAsia"/>
        </w:rPr>
      </w:pPr>
    </w:p>
    <w:p w14:paraId="6C994C6C">
      <w:pPr>
        <w:spacing w:after="0"/>
        <w:rPr>
          <w:rFonts w:hint="eastAsia" w:asciiTheme="minorEastAsia" w:hAnsiTheme="minorEastAsia" w:eastAsiaTheme="minorEastAsia" w:cstheme="minorEastAsia"/>
        </w:rPr>
      </w:pPr>
    </w:p>
    <w:p w14:paraId="554C4784">
      <w:pPr>
        <w:spacing w:after="0"/>
        <w:rPr>
          <w:rFonts w:hint="eastAsia" w:asciiTheme="minorEastAsia" w:hAnsiTheme="minorEastAsia" w:eastAsiaTheme="minorEastAsia" w:cstheme="minorEastAsia"/>
        </w:rPr>
      </w:pPr>
    </w:p>
    <w:p w14:paraId="64FE88E8">
      <w:pPr>
        <w:spacing w:after="0"/>
        <w:rPr>
          <w:rFonts w:hint="eastAsia" w:asciiTheme="minorEastAsia" w:hAnsiTheme="minorEastAsia" w:eastAsiaTheme="minorEastAsia" w:cstheme="minorEastAsia"/>
        </w:rPr>
      </w:pPr>
    </w:p>
    <w:p w14:paraId="4E4EAA71">
      <w:pPr>
        <w:spacing w:after="0"/>
        <w:rPr>
          <w:rFonts w:hint="eastAsia" w:asciiTheme="minorEastAsia" w:hAnsiTheme="minorEastAsia" w:eastAsiaTheme="minorEastAsia" w:cstheme="minorEastAsia"/>
        </w:rPr>
      </w:pPr>
    </w:p>
    <w:p w14:paraId="5B185543">
      <w:pPr>
        <w:spacing w:after="0"/>
        <w:rPr>
          <w:rFonts w:hint="eastAsia" w:asciiTheme="minorEastAsia" w:hAnsiTheme="minorEastAsia" w:eastAsiaTheme="minorEastAsia" w:cstheme="minorEastAsia"/>
        </w:rPr>
      </w:pPr>
    </w:p>
    <w:p w14:paraId="4B06827F">
      <w:pPr>
        <w:spacing w:after="0"/>
        <w:rPr>
          <w:rFonts w:hint="eastAsia" w:asciiTheme="minorEastAsia" w:hAnsiTheme="minorEastAsia" w:eastAsiaTheme="minorEastAsia" w:cstheme="minorEastAsia"/>
        </w:rPr>
      </w:pPr>
    </w:p>
    <w:p w14:paraId="68C4434A">
      <w:pPr>
        <w:spacing w:after="0"/>
        <w:rPr>
          <w:rFonts w:hint="eastAsia" w:asciiTheme="minorEastAsia" w:hAnsiTheme="minorEastAsia" w:eastAsiaTheme="minorEastAsia" w:cstheme="minorEastAsia"/>
        </w:rPr>
      </w:pPr>
    </w:p>
    <w:p w14:paraId="2AD1A41C">
      <w:pPr>
        <w:spacing w:after="0"/>
        <w:rPr>
          <w:rFonts w:hint="eastAsia" w:asciiTheme="minorEastAsia" w:hAnsiTheme="minorEastAsia" w:eastAsiaTheme="minorEastAsia" w:cstheme="minorEastAsia"/>
        </w:rPr>
      </w:pPr>
    </w:p>
    <w:p w14:paraId="612E1360">
      <w:pPr>
        <w:spacing w:after="0"/>
        <w:rPr>
          <w:rFonts w:hint="eastAsia" w:asciiTheme="minorEastAsia" w:hAnsiTheme="minorEastAsia" w:eastAsiaTheme="minorEastAsia" w:cstheme="minorEastAsia"/>
        </w:rPr>
      </w:pPr>
    </w:p>
    <w:p w14:paraId="51363FC6">
      <w:pPr>
        <w:spacing w:after="0"/>
        <w:rPr>
          <w:rFonts w:hint="eastAsia" w:asciiTheme="minorEastAsia" w:hAnsiTheme="minorEastAsia" w:eastAsiaTheme="minorEastAsia" w:cstheme="minorEastAsia"/>
        </w:rPr>
      </w:pPr>
    </w:p>
    <w:p w14:paraId="207E1FBE">
      <w:pPr>
        <w:spacing w:after="0"/>
        <w:rPr>
          <w:rFonts w:hint="eastAsia" w:asciiTheme="minorEastAsia" w:hAnsiTheme="minorEastAsia" w:eastAsiaTheme="minorEastAsia" w:cstheme="minorEastAsia"/>
        </w:rPr>
      </w:pPr>
    </w:p>
    <w:p w14:paraId="43ACD017">
      <w:pPr>
        <w:spacing w:after="0"/>
        <w:rPr>
          <w:rFonts w:hint="eastAsia" w:asciiTheme="minorEastAsia" w:hAnsiTheme="minorEastAsia" w:eastAsiaTheme="minorEastAsia" w:cstheme="minorEastAsia"/>
        </w:rPr>
      </w:pPr>
    </w:p>
    <w:p w14:paraId="2B0871EA">
      <w:pPr>
        <w:spacing w:after="0"/>
        <w:rPr>
          <w:rFonts w:hint="eastAsia" w:asciiTheme="minorEastAsia" w:hAnsiTheme="minorEastAsia" w:eastAsiaTheme="minorEastAsia" w:cstheme="minorEastAsia"/>
        </w:rPr>
      </w:pPr>
    </w:p>
    <w:p w14:paraId="5467D7EF">
      <w:pPr>
        <w:spacing w:after="0"/>
        <w:rPr>
          <w:rFonts w:hint="eastAsia" w:asciiTheme="minorEastAsia" w:hAnsiTheme="minorEastAsia" w:eastAsiaTheme="minorEastAsia" w:cstheme="minorEastAsia"/>
        </w:rPr>
      </w:pPr>
    </w:p>
    <w:p w14:paraId="6F475B8F">
      <w:pPr>
        <w:spacing w:after="0"/>
        <w:rPr>
          <w:rFonts w:hint="eastAsia" w:asciiTheme="minorEastAsia" w:hAnsiTheme="minorEastAsia" w:eastAsiaTheme="minorEastAsia" w:cstheme="minorEastAsia"/>
        </w:rPr>
      </w:pPr>
    </w:p>
    <w:p w14:paraId="00217480">
      <w:pPr>
        <w:spacing w:after="0"/>
        <w:rPr>
          <w:rFonts w:hint="eastAsia" w:asciiTheme="minorEastAsia" w:hAnsiTheme="minorEastAsia" w:eastAsiaTheme="minorEastAsia" w:cstheme="minorEastAsia"/>
        </w:rPr>
      </w:pPr>
    </w:p>
    <w:p w14:paraId="365036B4">
      <w:pPr>
        <w:spacing w:after="0"/>
        <w:rPr>
          <w:rFonts w:hint="eastAsia" w:asciiTheme="minorEastAsia" w:hAnsiTheme="minorEastAsia" w:eastAsiaTheme="minorEastAsia" w:cstheme="minorEastAsia"/>
        </w:rPr>
      </w:pPr>
    </w:p>
    <w:p w14:paraId="4CEDC619">
      <w:pPr>
        <w:spacing w:after="0"/>
        <w:rPr>
          <w:rFonts w:hint="eastAsia" w:asciiTheme="minorEastAsia" w:hAnsiTheme="minorEastAsia" w:eastAsiaTheme="minorEastAsia" w:cstheme="minorEastAsia"/>
        </w:rPr>
      </w:pPr>
    </w:p>
    <w:p w14:paraId="4540B5FD">
      <w:pPr>
        <w:spacing w:after="0"/>
        <w:rPr>
          <w:rFonts w:hint="eastAsia" w:asciiTheme="minorEastAsia" w:hAnsiTheme="minorEastAsia" w:eastAsiaTheme="minorEastAsia" w:cstheme="minorEastAsia"/>
        </w:rPr>
      </w:pPr>
    </w:p>
    <w:p w14:paraId="419F0A0B">
      <w:pPr>
        <w:spacing w:after="0"/>
        <w:rPr>
          <w:rFonts w:hint="eastAsia" w:asciiTheme="minorEastAsia" w:hAnsiTheme="minorEastAsia" w:eastAsiaTheme="minorEastAsia" w:cstheme="minorEastAsia"/>
        </w:rPr>
      </w:pPr>
    </w:p>
    <w:p w14:paraId="7D60A9C0">
      <w:pPr>
        <w:spacing w:after="0"/>
        <w:rPr>
          <w:rFonts w:hint="eastAsia" w:asciiTheme="minorEastAsia" w:hAnsiTheme="minorEastAsia" w:eastAsiaTheme="minorEastAsia" w:cstheme="minorEastAsia"/>
        </w:rPr>
      </w:pPr>
    </w:p>
    <w:p w14:paraId="28FAD8F6">
      <w:pPr>
        <w:spacing w:after="0"/>
        <w:rPr>
          <w:rFonts w:hint="eastAsia" w:asciiTheme="minorEastAsia" w:hAnsiTheme="minorEastAsia" w:eastAsiaTheme="minorEastAsia" w:cstheme="minorEastAsia"/>
        </w:rPr>
      </w:pPr>
    </w:p>
    <w:p w14:paraId="0AF4DB47">
      <w:pPr>
        <w:spacing w:after="0"/>
        <w:rPr>
          <w:rFonts w:hint="eastAsia" w:asciiTheme="minorEastAsia" w:hAnsiTheme="minorEastAsia" w:eastAsiaTheme="minorEastAsia" w:cstheme="minorEastAsia"/>
        </w:rPr>
      </w:pPr>
    </w:p>
    <w:p w14:paraId="4856A057">
      <w:pPr>
        <w:spacing w:after="0"/>
        <w:rPr>
          <w:rFonts w:hint="eastAsia" w:asciiTheme="minorEastAsia" w:hAnsiTheme="minorEastAsia" w:eastAsiaTheme="minorEastAsia" w:cstheme="minorEastAsia"/>
        </w:rPr>
        <w:sectPr>
          <w:pgSz w:w="11910" w:h="16840"/>
          <w:pgMar w:top="1580" w:right="1300" w:bottom="1191" w:left="1300" w:header="0" w:footer="832" w:gutter="0"/>
          <w:pgNumType w:fmt="decimal"/>
          <w:cols w:space="720" w:num="1"/>
        </w:sectPr>
      </w:pPr>
    </w:p>
    <w:p w14:paraId="2F5D8059">
      <w:pPr>
        <w:pStyle w:val="2"/>
        <w:tabs>
          <w:tab w:val="left" w:pos="4512"/>
        </w:tabs>
        <w:spacing w:before="1"/>
        <w:ind w:left="3112"/>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第二部分</w:t>
      </w:r>
      <w:r>
        <w:rPr>
          <w:rFonts w:hint="eastAsia" w:asciiTheme="minorEastAsia" w:hAnsiTheme="minorEastAsia" w:eastAsiaTheme="minorEastAsia" w:cstheme="minorEastAsia"/>
          <w:color w:val="231F20"/>
        </w:rPr>
        <w:tab/>
      </w:r>
      <w:r>
        <w:rPr>
          <w:rFonts w:hint="eastAsia" w:asciiTheme="minorEastAsia" w:hAnsiTheme="minorEastAsia" w:eastAsiaTheme="minorEastAsia" w:cstheme="minorEastAsia"/>
          <w:color w:val="231F20"/>
        </w:rPr>
        <w:t>通用合同条款</w:t>
      </w:r>
    </w:p>
    <w:p w14:paraId="35862BB6">
      <w:pPr>
        <w:pStyle w:val="5"/>
        <w:spacing w:before="8"/>
        <w:ind w:left="0"/>
        <w:rPr>
          <w:rFonts w:hint="eastAsia" w:asciiTheme="minorEastAsia" w:hAnsiTheme="minorEastAsia" w:eastAsiaTheme="minorEastAsia" w:cstheme="minorEastAsia"/>
          <w:sz w:val="26"/>
        </w:rPr>
      </w:pPr>
    </w:p>
    <w:p w14:paraId="71ED5943">
      <w:pPr>
        <w:pStyle w:val="11"/>
        <w:numPr>
          <w:ilvl w:val="0"/>
          <w:numId w:val="4"/>
        </w:numPr>
        <w:tabs>
          <w:tab w:val="left" w:pos="362"/>
        </w:tabs>
        <w:spacing w:before="0"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一般约定</w:t>
      </w:r>
    </w:p>
    <w:p w14:paraId="6506C757">
      <w:pPr>
        <w:pStyle w:val="11"/>
        <w:numPr>
          <w:ilvl w:val="1"/>
          <w:numId w:val="4"/>
        </w:numPr>
        <w:tabs>
          <w:tab w:val="left" w:pos="884"/>
        </w:tabs>
        <w:spacing w:before="122" w:after="0" w:line="240" w:lineRule="auto"/>
        <w:ind w:left="883" w:right="0" w:hanging="326"/>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词语定义与解释</w:t>
      </w:r>
    </w:p>
    <w:p w14:paraId="4C151DC3">
      <w:pPr>
        <w:pStyle w:val="5"/>
        <w:ind w:left="557"/>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合同协议书、通用合同条款、专用合同条款中的下列词语具有本款所赋予的含义：</w:t>
      </w:r>
    </w:p>
    <w:p w14:paraId="30D6EC73">
      <w:pPr>
        <w:pStyle w:val="11"/>
        <w:numPr>
          <w:ilvl w:val="2"/>
          <w:numId w:val="4"/>
        </w:numPr>
        <w:tabs>
          <w:tab w:val="left" w:pos="1048"/>
        </w:tabs>
        <w:spacing w:before="109" w:after="0" w:line="240" w:lineRule="auto"/>
        <w:ind w:left="1047" w:right="0" w:hanging="49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w:t>
      </w:r>
    </w:p>
    <w:p w14:paraId="1ACDB3F7">
      <w:pPr>
        <w:pStyle w:val="11"/>
        <w:numPr>
          <w:ilvl w:val="3"/>
          <w:numId w:val="4"/>
        </w:numPr>
        <w:tabs>
          <w:tab w:val="left" w:pos="1232"/>
        </w:tabs>
        <w:spacing w:before="109" w:after="0" w:line="319" w:lineRule="auto"/>
        <w:ind w:left="117" w:right="209"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合同：是指根据法律规定和合同当事人约定具有约束力的文件，构成合同的文件包</w:t>
      </w:r>
      <w:r>
        <w:rPr>
          <w:rFonts w:hint="eastAsia" w:asciiTheme="minorEastAsia" w:hAnsiTheme="minorEastAsia" w:eastAsiaTheme="minorEastAsia" w:cstheme="minorEastAsia"/>
          <w:color w:val="231F20"/>
          <w:sz w:val="24"/>
          <w:szCs w:val="24"/>
        </w:rPr>
        <w:t>括合同协议书、专用合同条款及其附件、通用合同条款、中标通知书</w:t>
      </w:r>
      <w:r>
        <w:rPr>
          <w:rFonts w:hint="eastAsia" w:asciiTheme="minorEastAsia" w:hAnsiTheme="minorEastAsia" w:eastAsiaTheme="minorEastAsia" w:cstheme="minorEastAsia"/>
          <w:color w:val="231F20"/>
          <w:spacing w:val="2"/>
          <w:sz w:val="24"/>
          <w:szCs w:val="24"/>
        </w:rPr>
        <w:t>（如果有</w:t>
      </w:r>
      <w:r>
        <w:rPr>
          <w:rFonts w:hint="eastAsia" w:asciiTheme="minorEastAsia" w:hAnsiTheme="minorEastAsia" w:eastAsiaTheme="minorEastAsia" w:cstheme="minorEastAsia"/>
          <w:color w:val="231F20"/>
          <w:spacing w:val="-110"/>
          <w:sz w:val="24"/>
          <w:szCs w:val="24"/>
        </w:rPr>
        <w:t>）</w:t>
      </w:r>
      <w:r>
        <w:rPr>
          <w:rFonts w:hint="eastAsia" w:asciiTheme="minorEastAsia" w:hAnsiTheme="minorEastAsia" w:eastAsiaTheme="minorEastAsia" w:cstheme="minorEastAsia"/>
          <w:color w:val="231F20"/>
          <w:spacing w:val="2"/>
          <w:sz w:val="24"/>
          <w:szCs w:val="24"/>
        </w:rPr>
        <w:t>、投标函及其</w:t>
      </w:r>
      <w:r>
        <w:rPr>
          <w:rFonts w:hint="eastAsia" w:asciiTheme="minorEastAsia" w:hAnsiTheme="minorEastAsia" w:eastAsiaTheme="minorEastAsia" w:cstheme="minorEastAsia"/>
          <w:color w:val="231F20"/>
          <w:spacing w:val="0"/>
          <w:sz w:val="24"/>
          <w:szCs w:val="24"/>
        </w:rPr>
        <w:t>附录</w:t>
      </w:r>
      <w:r>
        <w:rPr>
          <w:rFonts w:hint="eastAsia" w:asciiTheme="minorEastAsia" w:hAnsiTheme="minorEastAsia" w:eastAsiaTheme="minorEastAsia" w:cstheme="minorEastAsia"/>
          <w:color w:val="231F20"/>
          <w:spacing w:val="2"/>
          <w:sz w:val="24"/>
          <w:szCs w:val="24"/>
        </w:rPr>
        <w:t>（如果有</w:t>
      </w:r>
      <w:r>
        <w:rPr>
          <w:rFonts w:hint="eastAsia" w:asciiTheme="minorEastAsia" w:hAnsiTheme="minorEastAsia" w:eastAsiaTheme="minorEastAsia" w:cstheme="minorEastAsia"/>
          <w:color w:val="231F20"/>
          <w:spacing w:val="-110"/>
          <w:sz w:val="24"/>
          <w:szCs w:val="24"/>
        </w:rPr>
        <w:t>）</w:t>
      </w:r>
      <w:r>
        <w:rPr>
          <w:rFonts w:hint="eastAsia" w:asciiTheme="minorEastAsia" w:hAnsiTheme="minorEastAsia" w:eastAsiaTheme="minorEastAsia" w:cstheme="minorEastAsia"/>
          <w:color w:val="231F20"/>
          <w:sz w:val="24"/>
          <w:szCs w:val="24"/>
        </w:rPr>
        <w:t>、发包人要求、技术标准、发包人提供的上一阶段图纸</w:t>
      </w:r>
      <w:r>
        <w:rPr>
          <w:rFonts w:hint="eastAsia" w:asciiTheme="minorEastAsia" w:hAnsiTheme="minorEastAsia" w:eastAsiaTheme="minorEastAsia" w:cstheme="minorEastAsia"/>
          <w:color w:val="231F20"/>
          <w:spacing w:val="2"/>
          <w:sz w:val="24"/>
          <w:szCs w:val="24"/>
        </w:rPr>
        <w:t>（如果有）以及其他合</w:t>
      </w:r>
      <w:r>
        <w:rPr>
          <w:rFonts w:hint="eastAsia" w:asciiTheme="minorEastAsia" w:hAnsiTheme="minorEastAsia" w:eastAsiaTheme="minorEastAsia" w:cstheme="minorEastAsia"/>
          <w:color w:val="231F20"/>
          <w:sz w:val="24"/>
          <w:szCs w:val="24"/>
        </w:rPr>
        <w:t>同文件。</w:t>
      </w:r>
    </w:p>
    <w:p w14:paraId="346B039B">
      <w:pPr>
        <w:pStyle w:val="11"/>
        <w:numPr>
          <w:ilvl w:val="3"/>
          <w:numId w:val="4"/>
        </w:numPr>
        <w:tabs>
          <w:tab w:val="left" w:pos="1232"/>
        </w:tabs>
        <w:spacing w:before="25" w:after="0" w:line="319" w:lineRule="auto"/>
        <w:ind w:left="117" w:right="21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7"/>
          <w:sz w:val="24"/>
          <w:szCs w:val="24"/>
        </w:rPr>
        <w:t>合同协议书：是指构成合同的由发包人和设计人共同签署的称为“合同协议书”的书面文件。</w:t>
      </w:r>
    </w:p>
    <w:p w14:paraId="71DAC1BE">
      <w:pPr>
        <w:pStyle w:val="11"/>
        <w:numPr>
          <w:ilvl w:val="3"/>
          <w:numId w:val="4"/>
        </w:numPr>
        <w:tabs>
          <w:tab w:val="left" w:pos="1211"/>
        </w:tabs>
        <w:spacing w:before="25" w:after="0" w:line="240" w:lineRule="auto"/>
        <w:ind w:left="1210" w:right="0" w:hanging="653"/>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中标通知书：是指构成合同的由发包人通知设计人中标的书面文件。</w:t>
      </w:r>
    </w:p>
    <w:p w14:paraId="2653DBFD">
      <w:pPr>
        <w:pStyle w:val="11"/>
        <w:numPr>
          <w:ilvl w:val="3"/>
          <w:numId w:val="4"/>
        </w:numPr>
        <w:tabs>
          <w:tab w:val="left" w:pos="1211"/>
        </w:tabs>
        <w:spacing w:before="109" w:after="0" w:line="240" w:lineRule="auto"/>
        <w:ind w:left="1210" w:right="0" w:hanging="653"/>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投标函：是指构成合同的由设计人填写并签署的用于投标的称为“投标函”的文件。</w:t>
      </w:r>
    </w:p>
    <w:p w14:paraId="7272918B">
      <w:pPr>
        <w:pStyle w:val="11"/>
        <w:numPr>
          <w:ilvl w:val="3"/>
          <w:numId w:val="4"/>
        </w:numPr>
        <w:tabs>
          <w:tab w:val="left" w:pos="1211"/>
        </w:tabs>
        <w:spacing w:before="109" w:after="0" w:line="240" w:lineRule="auto"/>
        <w:ind w:left="1210" w:right="0" w:hanging="653"/>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投标函附录：是指构成合同的附在投标函后的称为“投标函附录”的文件。</w:t>
      </w:r>
    </w:p>
    <w:p w14:paraId="2C35C04C">
      <w:pPr>
        <w:pStyle w:val="11"/>
        <w:numPr>
          <w:ilvl w:val="3"/>
          <w:numId w:val="4"/>
        </w:numPr>
        <w:tabs>
          <w:tab w:val="left" w:pos="1235"/>
        </w:tabs>
        <w:spacing w:before="24" w:after="0" w:line="319" w:lineRule="auto"/>
        <w:ind w:left="117" w:right="106"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3"/>
          <w:sz w:val="24"/>
          <w:szCs w:val="24"/>
        </w:rPr>
        <w:t>发包人要求：是指构成合同文件组成部分的，由发包人就工程项目的目的、范围、功能要求及工程设计文件审查的范围和内容等提出相应要求的书面文件，又称设计任务书。</w:t>
      </w:r>
    </w:p>
    <w:p w14:paraId="0129B969">
      <w:pPr>
        <w:pStyle w:val="11"/>
        <w:numPr>
          <w:ilvl w:val="3"/>
          <w:numId w:val="4"/>
        </w:numPr>
        <w:tabs>
          <w:tab w:val="left" w:pos="1232"/>
        </w:tabs>
        <w:spacing w:before="26" w:after="0" w:line="319" w:lineRule="auto"/>
        <w:ind w:left="117" w:right="21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技术标准：是指构成合同的设计应当遵守的或指导设计的国家、行业或地方的技术标准和要求，以及合同约定的技术标准和要求。</w:t>
      </w:r>
    </w:p>
    <w:p w14:paraId="23834A52">
      <w:pPr>
        <w:pStyle w:val="11"/>
        <w:numPr>
          <w:ilvl w:val="3"/>
          <w:numId w:val="4"/>
        </w:numPr>
        <w:tabs>
          <w:tab w:val="left" w:pos="1232"/>
        </w:tabs>
        <w:spacing w:before="26" w:after="0" w:line="319" w:lineRule="auto"/>
        <w:ind w:left="117" w:right="214"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7"/>
          <w:sz w:val="24"/>
          <w:szCs w:val="24"/>
        </w:rPr>
        <w:t>其他合同文件：是指经合同当事人约定的与工程设计有关的具有合同约束力的文件或书面协议。合同当事人可以在专用合同条款中进行约定。</w:t>
      </w:r>
    </w:p>
    <w:p w14:paraId="31DD2914">
      <w:pPr>
        <w:pStyle w:val="11"/>
        <w:numPr>
          <w:ilvl w:val="2"/>
          <w:numId w:val="5"/>
        </w:numPr>
        <w:tabs>
          <w:tab w:val="left" w:pos="1048"/>
        </w:tabs>
        <w:spacing w:before="26"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合同当事人及其他相关方</w:t>
      </w:r>
    </w:p>
    <w:p w14:paraId="2120BBAF">
      <w:pPr>
        <w:pStyle w:val="11"/>
        <w:numPr>
          <w:ilvl w:val="3"/>
          <w:numId w:val="5"/>
        </w:numPr>
        <w:tabs>
          <w:tab w:val="left" w:pos="1211"/>
        </w:tabs>
        <w:spacing w:before="109" w:after="0" w:line="240" w:lineRule="auto"/>
        <w:ind w:left="117" w:right="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合同当事人：是指发包人和</w:t>
      </w:r>
      <w:r>
        <w:rPr>
          <w:rFonts w:hint="eastAsia" w:asciiTheme="minorEastAsia" w:hAnsiTheme="minorEastAsia" w:eastAsiaTheme="minorEastAsia" w:cstheme="minorEastAsia"/>
          <w:color w:val="231F20"/>
          <w:sz w:val="24"/>
          <w:szCs w:val="24"/>
        </w:rPr>
        <w:t>（或）设计人。</w:t>
      </w:r>
    </w:p>
    <w:p w14:paraId="30CA4D42">
      <w:pPr>
        <w:pStyle w:val="11"/>
        <w:numPr>
          <w:ilvl w:val="3"/>
          <w:numId w:val="5"/>
        </w:numPr>
        <w:tabs>
          <w:tab w:val="left" w:pos="1211"/>
        </w:tabs>
        <w:spacing w:before="109" w:after="0" w:line="240" w:lineRule="auto"/>
        <w:ind w:left="1210" w:right="0" w:hanging="653"/>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13"/>
          <w:sz w:val="24"/>
          <w:szCs w:val="24"/>
        </w:rPr>
        <w:t>发包人：是指与设计人签订合同协议书的当事人及取得该当事人资格的合法继承人。</w:t>
      </w:r>
    </w:p>
    <w:p w14:paraId="67BC7047">
      <w:pPr>
        <w:pStyle w:val="11"/>
        <w:numPr>
          <w:ilvl w:val="3"/>
          <w:numId w:val="5"/>
        </w:numPr>
        <w:tabs>
          <w:tab w:val="left" w:pos="1232"/>
        </w:tabs>
        <w:spacing w:before="109" w:after="0" w:line="319" w:lineRule="auto"/>
        <w:ind w:left="117" w:right="21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设计人：是指与发包人签订合同协议书的，具有相应工程设计资质的当事人及取得该当事人资格的合法继承人。</w:t>
      </w:r>
    </w:p>
    <w:p w14:paraId="7046046B">
      <w:pPr>
        <w:pStyle w:val="11"/>
        <w:numPr>
          <w:ilvl w:val="3"/>
          <w:numId w:val="5"/>
        </w:numPr>
        <w:tabs>
          <w:tab w:val="left" w:pos="1232"/>
        </w:tabs>
        <w:spacing w:before="25" w:after="0" w:line="319" w:lineRule="auto"/>
        <w:ind w:left="117" w:right="212"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分包人：是指按照法律规定和合同约定，分包部分工程设计工作，并与设计人签订分包合同的具有相应资质的法人。</w:t>
      </w:r>
    </w:p>
    <w:p w14:paraId="4E6D7166">
      <w:pPr>
        <w:pStyle w:val="11"/>
        <w:numPr>
          <w:ilvl w:val="3"/>
          <w:numId w:val="5"/>
        </w:numPr>
        <w:tabs>
          <w:tab w:val="left" w:pos="1232"/>
        </w:tabs>
        <w:spacing w:before="25" w:after="0" w:line="319" w:lineRule="auto"/>
        <w:ind w:left="117" w:right="214"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7"/>
          <w:sz w:val="24"/>
          <w:szCs w:val="24"/>
        </w:rPr>
        <w:t>发包人代表：是指由发包人指定负责工程设计方面在发包人授权范围内行使发包人权利的人。</w:t>
      </w:r>
    </w:p>
    <w:p w14:paraId="29AF05F0">
      <w:pPr>
        <w:pStyle w:val="11"/>
        <w:numPr>
          <w:ilvl w:val="3"/>
          <w:numId w:val="5"/>
        </w:numPr>
        <w:tabs>
          <w:tab w:val="left" w:pos="1214"/>
        </w:tabs>
        <w:spacing w:before="25" w:after="0" w:line="319" w:lineRule="auto"/>
        <w:ind w:left="117" w:right="10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项目负责人：是指由设计人任命负责工程设计，在设计人授权范围内负责合同履行， 且按照法律规定具有相应资格的项目主持人。</w:t>
      </w:r>
    </w:p>
    <w:p w14:paraId="4B9DD847">
      <w:pPr>
        <w:pStyle w:val="11"/>
        <w:numPr>
          <w:ilvl w:val="3"/>
          <w:numId w:val="5"/>
        </w:numPr>
        <w:tabs>
          <w:tab w:val="left" w:pos="1232"/>
        </w:tabs>
        <w:spacing w:before="25" w:after="0" w:line="319" w:lineRule="auto"/>
        <w:ind w:left="117" w:right="21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联合体：是指两个以上设计人联合，以一个设计人身份为发包人提供工程设计服务的临时性组织。</w:t>
      </w:r>
    </w:p>
    <w:p w14:paraId="64D32B9A">
      <w:pPr>
        <w:pStyle w:val="11"/>
        <w:numPr>
          <w:ilvl w:val="2"/>
          <w:numId w:val="6"/>
        </w:numPr>
        <w:tabs>
          <w:tab w:val="left" w:pos="1048"/>
        </w:tabs>
        <w:spacing w:before="25"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工程设计服务、资料与文件</w:t>
      </w:r>
    </w:p>
    <w:p w14:paraId="73288BCA">
      <w:pPr>
        <w:pStyle w:val="11"/>
        <w:numPr>
          <w:ilvl w:val="3"/>
          <w:numId w:val="6"/>
        </w:numPr>
        <w:tabs>
          <w:tab w:val="left" w:pos="1232"/>
        </w:tabs>
        <w:spacing w:before="109" w:after="0" w:line="319" w:lineRule="auto"/>
        <w:ind w:left="117" w:right="212"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7"/>
          <w:sz w:val="24"/>
          <w:szCs w:val="24"/>
        </w:rPr>
        <w:t>工程设计服务：是指设计人按照合同约定履行的服务，包括工程设计基本服务、工程设计其他服务。</w:t>
      </w:r>
    </w:p>
    <w:p w14:paraId="6642461F">
      <w:pPr>
        <w:pStyle w:val="11"/>
        <w:numPr>
          <w:ilvl w:val="3"/>
          <w:numId w:val="6"/>
        </w:numPr>
        <w:tabs>
          <w:tab w:val="left" w:pos="1232"/>
        </w:tabs>
        <w:spacing w:before="26" w:after="0" w:line="319" w:lineRule="auto"/>
        <w:ind w:left="117" w:right="108"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6"/>
          <w:sz w:val="24"/>
          <w:szCs w:val="24"/>
        </w:rPr>
        <w:t>工程设计基本服务：是指设计人根据发包人的委托，提供编制房屋建筑工程方案设计文件、初步设计文件（含初步设计概算</w:t>
      </w:r>
      <w:r>
        <w:rPr>
          <w:rFonts w:hint="eastAsia" w:asciiTheme="minorEastAsia" w:hAnsiTheme="minorEastAsia" w:eastAsiaTheme="minorEastAsia" w:cstheme="minorEastAsia"/>
          <w:color w:val="231F20"/>
          <w:spacing w:val="-110"/>
          <w:sz w:val="24"/>
          <w:szCs w:val="24"/>
        </w:rPr>
        <w:t>）</w:t>
      </w:r>
      <w:r>
        <w:rPr>
          <w:rFonts w:hint="eastAsia" w:asciiTheme="minorEastAsia" w:hAnsiTheme="minorEastAsia" w:eastAsiaTheme="minorEastAsia" w:cstheme="minorEastAsia"/>
          <w:color w:val="231F20"/>
          <w:sz w:val="24"/>
          <w:szCs w:val="24"/>
        </w:rPr>
        <w:t>、施工图设计文件服务，并相应提供设计技术交底、解决施工中的设计技术问题、参加竣工验收等服务。基本服务费用包含在设计费中。</w:t>
      </w:r>
    </w:p>
    <w:p w14:paraId="75307B36">
      <w:pPr>
        <w:pStyle w:val="11"/>
        <w:numPr>
          <w:ilvl w:val="3"/>
          <w:numId w:val="6"/>
        </w:numPr>
        <w:tabs>
          <w:tab w:val="left" w:pos="1232"/>
        </w:tabs>
        <w:spacing w:before="26" w:after="0" w:line="319" w:lineRule="auto"/>
        <w:ind w:left="117" w:right="210"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6"/>
          <w:sz w:val="24"/>
          <w:szCs w:val="24"/>
        </w:rPr>
        <w:t>工程设计其他服务：是指发包人根据工程设计实际需要，要求设计人另行提供且发包人应当单独支付费用的服务，包括总体设计服务、主体设计协调服务、采用标准设计和复用设计服务、非标准设备设计文件编制服务、施工图预算编制服务、竣工图编制服务等。</w:t>
      </w:r>
    </w:p>
    <w:p w14:paraId="4778F83D">
      <w:pPr>
        <w:pStyle w:val="11"/>
        <w:numPr>
          <w:ilvl w:val="3"/>
          <w:numId w:val="6"/>
        </w:numPr>
        <w:tabs>
          <w:tab w:val="left" w:pos="1232"/>
        </w:tabs>
        <w:spacing w:before="26" w:after="0" w:line="319" w:lineRule="auto"/>
        <w:ind w:left="117" w:right="214"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暂停设计：是指发生设计人不能按照合同约定履行全部或部分义务情形而暂时中断工程设计服务的行为。</w:t>
      </w:r>
    </w:p>
    <w:p w14:paraId="22437BFA">
      <w:pPr>
        <w:pStyle w:val="11"/>
        <w:numPr>
          <w:ilvl w:val="3"/>
          <w:numId w:val="6"/>
        </w:numPr>
        <w:tabs>
          <w:tab w:val="left" w:pos="1232"/>
        </w:tabs>
        <w:spacing w:before="26" w:after="0" w:line="240" w:lineRule="auto"/>
        <w:ind w:left="117" w:right="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7"/>
          <w:sz w:val="24"/>
          <w:szCs w:val="24"/>
        </w:rPr>
        <w:t>工程设计资料：是指根据合同约定，发包人向设计人提供的用于完成工程设计范围</w:t>
      </w:r>
    </w:p>
    <w:p w14:paraId="190534FC">
      <w:pPr>
        <w:pStyle w:val="5"/>
        <w:spacing w:before="2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与内容所需要的资料。</w:t>
      </w:r>
    </w:p>
    <w:p w14:paraId="77ACFF18">
      <w:pPr>
        <w:pStyle w:val="11"/>
        <w:numPr>
          <w:ilvl w:val="3"/>
          <w:numId w:val="6"/>
        </w:numPr>
        <w:tabs>
          <w:tab w:val="left" w:pos="1214"/>
        </w:tabs>
        <w:spacing w:before="109" w:after="0" w:line="319" w:lineRule="auto"/>
        <w:ind w:left="117" w:right="10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7"/>
          <w:sz w:val="24"/>
          <w:szCs w:val="24"/>
        </w:rPr>
        <w:t>工程设计文件：指按照合同约定和技术要求，由设计人向发包人提供的阶段性成果、最终工作成果等，且应当采用合同中双方约定的载体。</w:t>
      </w:r>
    </w:p>
    <w:p w14:paraId="7EB2F71D">
      <w:pPr>
        <w:pStyle w:val="11"/>
        <w:numPr>
          <w:ilvl w:val="2"/>
          <w:numId w:val="7"/>
        </w:numPr>
        <w:tabs>
          <w:tab w:val="left" w:pos="1048"/>
        </w:tabs>
        <w:spacing w:before="25"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日期和期限</w:t>
      </w:r>
    </w:p>
    <w:p w14:paraId="52C6D5F9">
      <w:pPr>
        <w:pStyle w:val="11"/>
        <w:numPr>
          <w:ilvl w:val="3"/>
          <w:numId w:val="7"/>
        </w:numPr>
        <w:tabs>
          <w:tab w:val="left" w:pos="1232"/>
        </w:tabs>
        <w:spacing w:before="108" w:after="0" w:line="319" w:lineRule="auto"/>
        <w:ind w:left="117" w:right="210"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7"/>
          <w:sz w:val="24"/>
          <w:szCs w:val="24"/>
        </w:rPr>
        <w:t>开始设计日期：包括计划开始设计日期和实际开始设计日期。计划开始设计日期是</w:t>
      </w:r>
      <w:r>
        <w:rPr>
          <w:rFonts w:hint="eastAsia" w:asciiTheme="minorEastAsia" w:hAnsiTheme="minorEastAsia" w:eastAsiaTheme="minorEastAsia" w:cstheme="minorEastAsia"/>
          <w:color w:val="231F20"/>
          <w:spacing w:val="-10"/>
          <w:sz w:val="24"/>
          <w:szCs w:val="24"/>
        </w:rPr>
        <w:t>指合同协议书约定的开始设计日期；实际开始设计日期是指发包人发出的开始设计通知中载明的开始设计日期。</w:t>
      </w:r>
    </w:p>
    <w:p w14:paraId="7B1D7B14">
      <w:pPr>
        <w:pStyle w:val="11"/>
        <w:numPr>
          <w:ilvl w:val="3"/>
          <w:numId w:val="7"/>
        </w:numPr>
        <w:tabs>
          <w:tab w:val="left" w:pos="1232"/>
        </w:tabs>
        <w:spacing w:before="25" w:after="0" w:line="319" w:lineRule="auto"/>
        <w:ind w:left="117" w:right="210"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7"/>
          <w:sz w:val="24"/>
          <w:szCs w:val="24"/>
        </w:rPr>
        <w:t>完成设计日期：包括计划完成设计日期和实际完成设计日期。计划完成设计日期是</w:t>
      </w:r>
      <w:r>
        <w:rPr>
          <w:rFonts w:hint="eastAsia" w:asciiTheme="minorEastAsia" w:hAnsiTheme="minorEastAsia" w:eastAsiaTheme="minorEastAsia" w:cstheme="minorEastAsia"/>
          <w:color w:val="231F20"/>
          <w:spacing w:val="-10"/>
          <w:sz w:val="24"/>
          <w:szCs w:val="24"/>
        </w:rPr>
        <w:t>指合同协议书约定的完成设计及相关服务的日期；实际完成设计日期是指设计人交付全部或阶段性设计成果及提供相关服务日期。</w:t>
      </w:r>
    </w:p>
    <w:p w14:paraId="308B9B64">
      <w:pPr>
        <w:pStyle w:val="11"/>
        <w:numPr>
          <w:ilvl w:val="3"/>
          <w:numId w:val="7"/>
        </w:numPr>
        <w:tabs>
          <w:tab w:val="left" w:pos="1232"/>
        </w:tabs>
        <w:spacing w:before="25" w:after="0" w:line="319" w:lineRule="auto"/>
        <w:ind w:left="117" w:right="214"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5"/>
          <w:sz w:val="24"/>
          <w:szCs w:val="24"/>
        </w:rPr>
        <w:t>设计周期又称设计工期：是指在合同协议书约定的设计人完成工程设计及相关服务所需的期限，包括按照合同约定所作的期限变更。</w:t>
      </w:r>
    </w:p>
    <w:p w14:paraId="4F90031D">
      <w:pPr>
        <w:pStyle w:val="11"/>
        <w:numPr>
          <w:ilvl w:val="3"/>
          <w:numId w:val="7"/>
        </w:numPr>
        <w:tabs>
          <w:tab w:val="left" w:pos="1215"/>
        </w:tabs>
        <w:spacing w:before="25" w:after="0" w:line="319" w:lineRule="auto"/>
        <w:ind w:left="117" w:right="21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 xml:space="preserve">基准日期：招标发包的工程设计以投标截止日前 </w:t>
      </w:r>
      <w:r>
        <w:rPr>
          <w:rFonts w:hint="eastAsia" w:asciiTheme="minorEastAsia" w:hAnsiTheme="minorEastAsia" w:eastAsiaTheme="minorEastAsia" w:cstheme="minorEastAsia"/>
          <w:color w:val="231F20"/>
          <w:sz w:val="24"/>
          <w:szCs w:val="24"/>
        </w:rPr>
        <w:t>28</w:t>
      </w:r>
      <w:r>
        <w:rPr>
          <w:rFonts w:hint="eastAsia" w:asciiTheme="minorEastAsia" w:hAnsiTheme="minorEastAsia" w:eastAsiaTheme="minorEastAsia" w:cstheme="minorEastAsia"/>
          <w:color w:val="231F20"/>
          <w:spacing w:val="-1"/>
          <w:sz w:val="24"/>
          <w:szCs w:val="24"/>
        </w:rPr>
        <w:t xml:space="preserve"> 天的日期为基准日期，直接发包的工程设计以合同签订日前 </w:t>
      </w:r>
      <w:r>
        <w:rPr>
          <w:rFonts w:hint="eastAsia" w:asciiTheme="minorEastAsia" w:hAnsiTheme="minorEastAsia" w:eastAsiaTheme="minorEastAsia" w:cstheme="minorEastAsia"/>
          <w:color w:val="231F20"/>
          <w:sz w:val="24"/>
          <w:szCs w:val="24"/>
        </w:rPr>
        <w:t>28</w:t>
      </w:r>
      <w:r>
        <w:rPr>
          <w:rFonts w:hint="eastAsia" w:asciiTheme="minorEastAsia" w:hAnsiTheme="minorEastAsia" w:eastAsiaTheme="minorEastAsia" w:cstheme="minorEastAsia"/>
          <w:color w:val="231F20"/>
          <w:spacing w:val="-1"/>
          <w:sz w:val="24"/>
          <w:szCs w:val="24"/>
        </w:rPr>
        <w:t xml:space="preserve"> 天的日期为基准日期。</w:t>
      </w:r>
    </w:p>
    <w:p w14:paraId="236A12F6">
      <w:pPr>
        <w:pStyle w:val="11"/>
        <w:numPr>
          <w:ilvl w:val="3"/>
          <w:numId w:val="7"/>
        </w:numPr>
        <w:tabs>
          <w:tab w:val="left" w:pos="1232"/>
        </w:tabs>
        <w:spacing w:before="25" w:after="0" w:line="319" w:lineRule="auto"/>
        <w:ind w:left="117" w:right="211"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 xml:space="preserve">天：除特别指明外，均指日历天。合同中按天计算时间的，开始当天不计入，从次日开始计算，期限最后一天的截止时间为当天 </w:t>
      </w:r>
      <w:r>
        <w:rPr>
          <w:rFonts w:hint="eastAsia" w:asciiTheme="minorEastAsia" w:hAnsiTheme="minorEastAsia" w:eastAsiaTheme="minorEastAsia" w:cstheme="minorEastAsia"/>
          <w:color w:val="231F20"/>
          <w:sz w:val="24"/>
          <w:szCs w:val="24"/>
        </w:rPr>
        <w:t>24:00</w:t>
      </w:r>
      <w:r>
        <w:rPr>
          <w:rFonts w:hint="eastAsia" w:asciiTheme="minorEastAsia" w:hAnsiTheme="minorEastAsia" w:eastAsiaTheme="minorEastAsia" w:cstheme="minorEastAsia"/>
          <w:color w:val="231F20"/>
          <w:spacing w:val="-1"/>
          <w:sz w:val="24"/>
          <w:szCs w:val="24"/>
        </w:rPr>
        <w:t xml:space="preserve"> 时。</w:t>
      </w:r>
    </w:p>
    <w:p w14:paraId="0263A6CD">
      <w:pPr>
        <w:pStyle w:val="11"/>
        <w:numPr>
          <w:ilvl w:val="2"/>
          <w:numId w:val="8"/>
        </w:numPr>
        <w:tabs>
          <w:tab w:val="left" w:pos="1048"/>
        </w:tabs>
        <w:spacing w:before="25"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合同价格</w:t>
      </w:r>
    </w:p>
    <w:p w14:paraId="0431B342">
      <w:pPr>
        <w:pStyle w:val="11"/>
        <w:numPr>
          <w:ilvl w:val="3"/>
          <w:numId w:val="8"/>
        </w:numPr>
        <w:tabs>
          <w:tab w:val="left" w:pos="1211"/>
        </w:tabs>
        <w:spacing w:before="109" w:after="0" w:line="240" w:lineRule="auto"/>
        <w:ind w:left="117" w:right="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签约合同价：是指发包人和设计人在合同协议书中确定的总金额。</w:t>
      </w:r>
    </w:p>
    <w:p w14:paraId="4E7499E0">
      <w:pPr>
        <w:pStyle w:val="11"/>
        <w:numPr>
          <w:ilvl w:val="3"/>
          <w:numId w:val="8"/>
        </w:numPr>
        <w:tabs>
          <w:tab w:val="left" w:pos="1232"/>
        </w:tabs>
        <w:spacing w:before="109" w:after="0" w:line="319" w:lineRule="auto"/>
        <w:ind w:left="117" w:right="214"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6"/>
          <w:sz w:val="24"/>
          <w:szCs w:val="24"/>
        </w:rPr>
        <w:t>合同价格又称设计费：是指发包人用于支付设计人按照合同约定完成工程设计范围内全部工作的金额，包括合同履行过程中按合同约定发生的价格变化。</w:t>
      </w:r>
    </w:p>
    <w:p w14:paraId="12240A7B">
      <w:pPr>
        <w:pStyle w:val="5"/>
        <w:spacing w:before="2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1.1.6 其他</w:t>
      </w:r>
    </w:p>
    <w:p w14:paraId="5A621726">
      <w:pPr>
        <w:pStyle w:val="5"/>
        <w:spacing w:before="108"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1.1.6.1 书面形式：是指合同书、信件和数据电文（包括电报、电传、传真、电子数据交换和电子邮件）等可以有形地表现所载内容的形式。</w:t>
      </w:r>
    </w:p>
    <w:p w14:paraId="3021EB22">
      <w:pPr>
        <w:pStyle w:val="11"/>
        <w:numPr>
          <w:ilvl w:val="1"/>
          <w:numId w:val="9"/>
        </w:numPr>
        <w:tabs>
          <w:tab w:val="left" w:pos="884"/>
        </w:tabs>
        <w:spacing w:before="25"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语言文字</w:t>
      </w:r>
    </w:p>
    <w:p w14:paraId="76C45528">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合同以中国的汉语简体文字编写、解释和说明。合同当事人在专用合同条款中约定使用两种以上语言时，汉语为优先解释和说明合同的语言。</w:t>
      </w:r>
    </w:p>
    <w:p w14:paraId="6A8B50AA">
      <w:pPr>
        <w:pStyle w:val="11"/>
        <w:numPr>
          <w:ilvl w:val="1"/>
          <w:numId w:val="9"/>
        </w:numPr>
        <w:tabs>
          <w:tab w:val="left" w:pos="884"/>
        </w:tabs>
        <w:spacing w:before="26"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法律</w:t>
      </w:r>
    </w:p>
    <w:p w14:paraId="701429D6">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合同所称法律是指中华人民共和国法律、行政法规、部门规章，以及工程所在地的地方性法规、自治条例、单行条例和地方政府规章等。</w:t>
      </w:r>
    </w:p>
    <w:p w14:paraId="387A743F">
      <w:pPr>
        <w:pStyle w:val="5"/>
        <w:spacing w:before="2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合同当事人可以在专用合同条款中约定合同适用的其他规范性文件。</w:t>
      </w:r>
    </w:p>
    <w:p w14:paraId="50651F92">
      <w:pPr>
        <w:pStyle w:val="11"/>
        <w:numPr>
          <w:ilvl w:val="1"/>
          <w:numId w:val="9"/>
        </w:numPr>
        <w:tabs>
          <w:tab w:val="left" w:pos="884"/>
        </w:tabs>
        <w:spacing w:before="109"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技术标准</w:t>
      </w:r>
    </w:p>
    <w:p w14:paraId="151E9CDE">
      <w:pPr>
        <w:spacing w:after="0" w:line="240" w:lineRule="auto"/>
        <w:jc w:val="left"/>
        <w:rPr>
          <w:rFonts w:hint="eastAsia" w:asciiTheme="minorEastAsia" w:hAnsiTheme="minorEastAsia" w:eastAsiaTheme="minorEastAsia" w:cstheme="minorEastAsia"/>
          <w:sz w:val="24"/>
          <w:szCs w:val="24"/>
        </w:rPr>
      </w:pPr>
    </w:p>
    <w:p w14:paraId="1C1A89C1">
      <w:pPr>
        <w:pStyle w:val="11"/>
        <w:numPr>
          <w:ilvl w:val="2"/>
          <w:numId w:val="9"/>
        </w:numPr>
        <w:tabs>
          <w:tab w:val="left" w:pos="1049"/>
        </w:tabs>
        <w:spacing w:before="24" w:after="0" w:line="319" w:lineRule="auto"/>
        <w:ind w:left="117" w:right="21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适用于工程的现行有效的国家标准、行业标准、工程所在地的地方性标准，以及相应的规范、规程等，合同当事人有特别要求的，应在专用合同条款中约定。</w:t>
      </w:r>
    </w:p>
    <w:p w14:paraId="4EF06A4A">
      <w:pPr>
        <w:pStyle w:val="11"/>
        <w:numPr>
          <w:ilvl w:val="2"/>
          <w:numId w:val="9"/>
        </w:numPr>
        <w:tabs>
          <w:tab w:val="left" w:pos="1049"/>
        </w:tabs>
        <w:spacing w:before="26" w:after="0" w:line="319" w:lineRule="auto"/>
        <w:ind w:left="117" w:right="21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发包人要求使用国外技术标准的，发包人与设计人在专用合同条款中约定原文版本和中文译本提供方及提供标准的名称、份数、时间及费用承担等事项。</w:t>
      </w:r>
    </w:p>
    <w:p w14:paraId="201404CF">
      <w:pPr>
        <w:pStyle w:val="11"/>
        <w:numPr>
          <w:ilvl w:val="2"/>
          <w:numId w:val="9"/>
        </w:numPr>
        <w:tabs>
          <w:tab w:val="left" w:pos="1049"/>
        </w:tabs>
        <w:spacing w:before="26" w:after="0" w:line="319" w:lineRule="auto"/>
        <w:ind w:left="117" w:right="2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对工程的技术标准、功能要求高于或严于现行国家、行业或地方标准的，应当在专用合同条款中予以明确。除专用合同条款另有约定外，应视为设计人在签订合同前已充分预见前述技术标准和功能要求的复杂程度，签约合同价中已包含由此产生的设计费用。</w:t>
      </w:r>
    </w:p>
    <w:p w14:paraId="7A293F6B">
      <w:pPr>
        <w:pStyle w:val="11"/>
        <w:numPr>
          <w:ilvl w:val="1"/>
          <w:numId w:val="10"/>
        </w:numPr>
        <w:tabs>
          <w:tab w:val="left" w:pos="884"/>
        </w:tabs>
        <w:spacing w:before="26"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合同文件的优先顺序</w:t>
      </w:r>
    </w:p>
    <w:p w14:paraId="3628AD28">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组成合同的各项文件应互相解释，互为说明。除专用合同条款另有约定外，解释合同文件的优先顺序如下：</w:t>
      </w:r>
    </w:p>
    <w:p w14:paraId="753E2728">
      <w:pPr>
        <w:pStyle w:val="5"/>
        <w:spacing w:before="2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1）合同协议书；</w:t>
      </w:r>
    </w:p>
    <w:p w14:paraId="7704A215">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2）专用合同条款及其附件；</w:t>
      </w:r>
    </w:p>
    <w:p w14:paraId="158541DE">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3）通用合同条款；</w:t>
      </w:r>
    </w:p>
    <w:p w14:paraId="40876C18">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4）中标通知书（如果有）；</w:t>
      </w:r>
    </w:p>
    <w:p w14:paraId="2F29C7F9">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5）投标函及其附录（如果有）；</w:t>
      </w:r>
    </w:p>
    <w:p w14:paraId="472E6CE9">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6）发包人要求；</w:t>
      </w:r>
    </w:p>
    <w:p w14:paraId="13628A10">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7）技术标准；</w:t>
      </w:r>
    </w:p>
    <w:p w14:paraId="7EAC47FC">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8）发包人提供的上一阶段图纸（如果有）；</w:t>
      </w:r>
    </w:p>
    <w:p w14:paraId="1A26D3A4">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9）其他合同文件。</w:t>
      </w:r>
    </w:p>
    <w:p w14:paraId="1AC3FC8D">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上述各项合同文件包括合同当事人就该项合同文件所作出的补充和修改，属于同一类内容的文件，应以最新签署的为准。</w:t>
      </w:r>
    </w:p>
    <w:p w14:paraId="2D593297">
      <w:pPr>
        <w:pStyle w:val="5"/>
        <w:spacing w:before="26"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在合同履行过程中形成的与合同有关的文件均构成合同文件组成部分，并根据其性质确定优先解释顺序。</w:t>
      </w:r>
    </w:p>
    <w:p w14:paraId="128925E5">
      <w:pPr>
        <w:pStyle w:val="11"/>
        <w:numPr>
          <w:ilvl w:val="1"/>
          <w:numId w:val="10"/>
        </w:numPr>
        <w:tabs>
          <w:tab w:val="left" w:pos="884"/>
        </w:tabs>
        <w:spacing w:before="26"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联络</w:t>
      </w:r>
    </w:p>
    <w:p w14:paraId="052CECC7">
      <w:pPr>
        <w:pStyle w:val="11"/>
        <w:numPr>
          <w:ilvl w:val="2"/>
          <w:numId w:val="10"/>
        </w:numPr>
        <w:tabs>
          <w:tab w:val="left" w:pos="1049"/>
        </w:tabs>
        <w:spacing w:before="109" w:after="0" w:line="319" w:lineRule="auto"/>
        <w:ind w:left="117" w:right="21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与合同有关的通知、批准、证明、证书、指示、指令、要求、请求、同意、确定和决定等，均应采用书面形式，并应在合同约定的期限内送达接收人和送达地点。</w:t>
      </w:r>
    </w:p>
    <w:p w14:paraId="21CA8557">
      <w:pPr>
        <w:pStyle w:val="11"/>
        <w:numPr>
          <w:ilvl w:val="2"/>
          <w:numId w:val="10"/>
        </w:numPr>
        <w:tabs>
          <w:tab w:val="left" w:pos="1068"/>
        </w:tabs>
        <w:spacing w:before="25" w:after="0" w:line="319" w:lineRule="auto"/>
        <w:ind w:left="117" w:right="108"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发包人和设计人应在专用合同条款中约定各自的送达接收人、送达地点、电子邮箱。任何一方合同当事人指定的接收人或送达地点或电子邮箱发生变动的，应提前 3 天以书面形式通知对方，否则视为未发生变动。</w:t>
      </w:r>
    </w:p>
    <w:p w14:paraId="2EC3E618">
      <w:pPr>
        <w:pStyle w:val="11"/>
        <w:numPr>
          <w:ilvl w:val="2"/>
          <w:numId w:val="10"/>
        </w:numPr>
        <w:tabs>
          <w:tab w:val="left" w:pos="1049"/>
        </w:tabs>
        <w:spacing w:before="25" w:after="0" w:line="319" w:lineRule="auto"/>
        <w:ind w:left="117" w:right="21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发包人和设计人应当及时签收另一方送达至送达地点和指定接收人的来往信函，如确有充分证据证明一方无正当理由拒不签收的，视为拒绝签收一方认可往来信函的内容。</w:t>
      </w:r>
    </w:p>
    <w:p w14:paraId="75B4FC1A">
      <w:pPr>
        <w:spacing w:after="0" w:line="319" w:lineRule="auto"/>
        <w:jc w:val="left"/>
        <w:rPr>
          <w:rFonts w:hint="eastAsia" w:asciiTheme="minorEastAsia" w:hAnsiTheme="minorEastAsia" w:eastAsiaTheme="minorEastAsia" w:cstheme="minorEastAsia"/>
          <w:sz w:val="24"/>
          <w:szCs w:val="24"/>
        </w:rPr>
      </w:pPr>
    </w:p>
    <w:p w14:paraId="3B785F7D">
      <w:pPr>
        <w:pStyle w:val="11"/>
        <w:numPr>
          <w:ilvl w:val="1"/>
          <w:numId w:val="11"/>
        </w:numPr>
        <w:tabs>
          <w:tab w:val="left" w:pos="884"/>
        </w:tabs>
        <w:spacing w:before="24"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严禁贿赂</w:t>
      </w:r>
    </w:p>
    <w:p w14:paraId="3E1EF61B">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合同当事人不得以贿赂或变相贿赂的方式，谋取非法利益或损害对方权益。因一方合同当事人的贿赂造成对方损失的，应赔偿损失，并承担相应的法律责任。</w:t>
      </w:r>
    </w:p>
    <w:p w14:paraId="13A8CF46">
      <w:pPr>
        <w:pStyle w:val="11"/>
        <w:numPr>
          <w:ilvl w:val="1"/>
          <w:numId w:val="11"/>
        </w:numPr>
        <w:tabs>
          <w:tab w:val="left" w:pos="884"/>
        </w:tabs>
        <w:spacing w:before="25"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保密</w:t>
      </w:r>
    </w:p>
    <w:p w14:paraId="60C65A22">
      <w:pPr>
        <w:pStyle w:val="5"/>
        <w:spacing w:before="108"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除法律规定或合同另有约定外，未经发包人同意，设计人不得将发包人提供的图纸、文件以及声明需要保密的资料信息等商业秘密泄露给第三方。</w:t>
      </w:r>
    </w:p>
    <w:p w14:paraId="626FC3E4">
      <w:pPr>
        <w:pStyle w:val="5"/>
        <w:spacing w:before="25"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除法律规定或合同另有约定外，未经设计人同意，发包人不得将设计人提供的技术文件、技术成果、技术秘密及声明需要保密的资料信息等商业秘密泄露给第三方。</w:t>
      </w:r>
    </w:p>
    <w:p w14:paraId="4CE7A989">
      <w:pPr>
        <w:pStyle w:val="5"/>
        <w:spacing w:before="2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保密期限由发包人与设计人在专用合同条款中约定。</w:t>
      </w:r>
    </w:p>
    <w:p w14:paraId="7FADF034">
      <w:pPr>
        <w:pStyle w:val="11"/>
        <w:numPr>
          <w:ilvl w:val="0"/>
          <w:numId w:val="4"/>
        </w:numPr>
        <w:tabs>
          <w:tab w:val="left" w:pos="362"/>
        </w:tabs>
        <w:spacing w:before="102"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w:t>
      </w:r>
    </w:p>
    <w:p w14:paraId="16F590FA">
      <w:pPr>
        <w:pStyle w:val="11"/>
        <w:numPr>
          <w:ilvl w:val="1"/>
          <w:numId w:val="4"/>
        </w:numPr>
        <w:tabs>
          <w:tab w:val="left" w:pos="884"/>
        </w:tabs>
        <w:spacing w:before="121"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发包人一般义务</w:t>
      </w:r>
    </w:p>
    <w:p w14:paraId="48386E4C">
      <w:pPr>
        <w:pStyle w:val="11"/>
        <w:numPr>
          <w:ilvl w:val="2"/>
          <w:numId w:val="4"/>
        </w:numPr>
        <w:tabs>
          <w:tab w:val="left" w:pos="1049"/>
        </w:tabs>
        <w:spacing w:before="108" w:after="0" w:line="319" w:lineRule="auto"/>
        <w:ind w:left="117" w:right="107"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发包人应遵守法律，并办理法律规定由其办理的许可、核准或备案，包括但不限于建设用地规划许可证、建设工程规划许可证、建设工程方案设计批准、施工图设计审查等许可、核准或备案。</w:t>
      </w:r>
    </w:p>
    <w:p w14:paraId="1527EB32">
      <w:pPr>
        <w:pStyle w:val="5"/>
        <w:spacing w:before="25" w:line="319" w:lineRule="auto"/>
        <w:ind w:right="215"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1"/>
          <w:sz w:val="24"/>
          <w:szCs w:val="24"/>
        </w:rPr>
        <w:t>发包人负责本项目各阶段设计文件向规划设计管理部门的送审报批工作，并负责将报批结</w:t>
      </w:r>
      <w:r>
        <w:rPr>
          <w:rFonts w:hint="eastAsia" w:asciiTheme="minorEastAsia" w:hAnsiTheme="minorEastAsia" w:eastAsiaTheme="minorEastAsia" w:cstheme="minorEastAsia"/>
          <w:color w:val="231F20"/>
          <w:spacing w:val="-5"/>
          <w:sz w:val="24"/>
          <w:szCs w:val="24"/>
        </w:rPr>
        <w:t>果书面通知设计人。因发包人原因未能及时办理完毕前述许可、核准或备案手续，导致设计工作量增加和（或）设计周期延长时，由发包人承担由此增加的设计费用和（或）延长的设计周期。</w:t>
      </w:r>
    </w:p>
    <w:p w14:paraId="22E26F33">
      <w:pPr>
        <w:pStyle w:val="11"/>
        <w:numPr>
          <w:ilvl w:val="2"/>
          <w:numId w:val="4"/>
        </w:numPr>
        <w:tabs>
          <w:tab w:val="left" w:pos="1049"/>
        </w:tabs>
        <w:spacing w:before="25" w:after="0" w:line="319" w:lineRule="auto"/>
        <w:ind w:left="117" w:right="21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发包人应当负责工程设计的所有外部关系（包括但不限于当地政府主管部门等）的协调，为设计人履行合同提供必要的外部条件。</w:t>
      </w:r>
    </w:p>
    <w:p w14:paraId="0BDB5778">
      <w:pPr>
        <w:pStyle w:val="11"/>
        <w:numPr>
          <w:ilvl w:val="2"/>
          <w:numId w:val="4"/>
        </w:numPr>
        <w:tabs>
          <w:tab w:val="left" w:pos="1048"/>
        </w:tabs>
        <w:spacing w:before="25"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专用合同条款约定的其他义务。</w:t>
      </w:r>
    </w:p>
    <w:p w14:paraId="180BAB7F">
      <w:pPr>
        <w:pStyle w:val="11"/>
        <w:numPr>
          <w:ilvl w:val="1"/>
          <w:numId w:val="12"/>
        </w:numPr>
        <w:tabs>
          <w:tab w:val="left" w:pos="884"/>
        </w:tabs>
        <w:spacing w:before="109"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发包人代表</w:t>
      </w:r>
    </w:p>
    <w:p w14:paraId="024662FA">
      <w:pPr>
        <w:pStyle w:val="5"/>
        <w:spacing w:line="319" w:lineRule="auto"/>
        <w:ind w:right="2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在专用合同条款中明确其负责工程设计的发包人代表的姓名、职务、联系方式及授权范围等事项。发包人代表在发包人的授权范围内，负责处理合同履行过程中与发包人有关的具体事宜。发包人代表在授权范围内的行为由发包人承担法律责任。发包人更换发包人代表的，应在专用合同条款约定的期限内提前书面通知设计人。</w:t>
      </w:r>
    </w:p>
    <w:p w14:paraId="6D95A106">
      <w:pPr>
        <w:pStyle w:val="5"/>
        <w:spacing w:before="25"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发包人代表不能按照合同约定履行其职责及义务，并导致合同无法继续正常履行的，设计人可以要求发包人撤换发包人代表。</w:t>
      </w:r>
    </w:p>
    <w:p w14:paraId="5AA2772E">
      <w:pPr>
        <w:pStyle w:val="11"/>
        <w:numPr>
          <w:ilvl w:val="1"/>
          <w:numId w:val="12"/>
        </w:numPr>
        <w:tabs>
          <w:tab w:val="left" w:pos="884"/>
        </w:tabs>
        <w:spacing w:before="25"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发包人决定</w:t>
      </w:r>
    </w:p>
    <w:p w14:paraId="7ECDA30F">
      <w:pPr>
        <w:pStyle w:val="11"/>
        <w:numPr>
          <w:ilvl w:val="2"/>
          <w:numId w:val="12"/>
        </w:numPr>
        <w:tabs>
          <w:tab w:val="left" w:pos="1066"/>
        </w:tabs>
        <w:spacing w:before="109" w:after="0" w:line="319" w:lineRule="auto"/>
        <w:ind w:left="117" w:right="216"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发包人在法律允许的范围内有权对设计人的设计工作、设计项目和 / 或设计文件作出处理决定，设计人应按照发包人的决定执行，涉及设计周期和（或）设计费用等问题按本合同</w:t>
      </w:r>
      <w:r>
        <w:rPr>
          <w:rFonts w:hint="eastAsia" w:asciiTheme="minorEastAsia" w:hAnsiTheme="minorEastAsia" w:eastAsiaTheme="minorEastAsia" w:cstheme="minorEastAsia"/>
          <w:color w:val="231F20"/>
          <w:spacing w:val="-1"/>
          <w:sz w:val="24"/>
          <w:szCs w:val="24"/>
        </w:rPr>
        <w:t xml:space="preserve">第 </w:t>
      </w:r>
      <w:r>
        <w:rPr>
          <w:rFonts w:hint="eastAsia" w:asciiTheme="minorEastAsia" w:hAnsiTheme="minorEastAsia" w:eastAsiaTheme="minorEastAsia" w:cstheme="minorEastAsia"/>
          <w:color w:val="231F20"/>
          <w:sz w:val="24"/>
          <w:szCs w:val="24"/>
        </w:rPr>
        <w:t>11</w:t>
      </w:r>
      <w:r>
        <w:rPr>
          <w:rFonts w:hint="eastAsia" w:asciiTheme="minorEastAsia" w:hAnsiTheme="minorEastAsia" w:eastAsiaTheme="minorEastAsia" w:cstheme="minorEastAsia"/>
          <w:color w:val="231F20"/>
          <w:spacing w:val="-1"/>
          <w:sz w:val="24"/>
          <w:szCs w:val="24"/>
        </w:rPr>
        <w:t xml:space="preserve"> 条〔工程设计变更与索赔〕的约定处理。</w:t>
      </w:r>
    </w:p>
    <w:p w14:paraId="00C2669B">
      <w:pPr>
        <w:pStyle w:val="11"/>
        <w:numPr>
          <w:ilvl w:val="2"/>
          <w:numId w:val="12"/>
        </w:numPr>
        <w:tabs>
          <w:tab w:val="left" w:pos="1049"/>
        </w:tabs>
        <w:spacing w:before="24" w:after="0" w:line="319" w:lineRule="auto"/>
        <w:ind w:left="117" w:right="21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发包人应在专用合同条款约定的期限内对设计人书面提出的事项作出书面决定，如发包人不在确定时间内作出书面决定，设计人的设计周期相应延长。</w:t>
      </w:r>
    </w:p>
    <w:p w14:paraId="631ED341">
      <w:pPr>
        <w:pStyle w:val="11"/>
        <w:numPr>
          <w:ilvl w:val="1"/>
          <w:numId w:val="12"/>
        </w:numPr>
        <w:tabs>
          <w:tab w:val="left" w:pos="884"/>
        </w:tabs>
        <w:spacing w:before="26"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支付合同价款</w:t>
      </w:r>
    </w:p>
    <w:p w14:paraId="35663D7C">
      <w:pPr>
        <w:pStyle w:val="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发包人应按合同约定向设计人及时足额支付合同价款。</w:t>
      </w:r>
    </w:p>
    <w:p w14:paraId="186C3196">
      <w:pPr>
        <w:pStyle w:val="11"/>
        <w:numPr>
          <w:ilvl w:val="1"/>
          <w:numId w:val="12"/>
        </w:numPr>
        <w:tabs>
          <w:tab w:val="left" w:pos="884"/>
        </w:tabs>
        <w:spacing w:before="109"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设计文件接收</w:t>
      </w:r>
    </w:p>
    <w:p w14:paraId="7D68D7AC">
      <w:pPr>
        <w:pStyle w:val="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发包人应按合同约定及时接收设计人提交的工程设计文件。</w:t>
      </w:r>
    </w:p>
    <w:p w14:paraId="3E565A7F">
      <w:pPr>
        <w:pStyle w:val="11"/>
        <w:numPr>
          <w:ilvl w:val="0"/>
          <w:numId w:val="4"/>
        </w:numPr>
        <w:tabs>
          <w:tab w:val="left" w:pos="362"/>
        </w:tabs>
        <w:spacing w:before="102"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w:t>
      </w:r>
    </w:p>
    <w:p w14:paraId="50023B4E">
      <w:pPr>
        <w:pStyle w:val="11"/>
        <w:numPr>
          <w:ilvl w:val="1"/>
          <w:numId w:val="4"/>
        </w:numPr>
        <w:tabs>
          <w:tab w:val="left" w:pos="884"/>
        </w:tabs>
        <w:spacing w:before="121"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设计人一般义务</w:t>
      </w:r>
    </w:p>
    <w:p w14:paraId="24AF4E2E">
      <w:pPr>
        <w:pStyle w:val="11"/>
        <w:numPr>
          <w:ilvl w:val="2"/>
          <w:numId w:val="4"/>
        </w:numPr>
        <w:tabs>
          <w:tab w:val="left" w:pos="1049"/>
        </w:tabs>
        <w:spacing w:before="109" w:after="0" w:line="319" w:lineRule="auto"/>
        <w:ind w:left="117" w:right="215"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设计人应遵守法律和有关技术标准的强制性规定，完成合同约定范围内的房屋建筑工程方案设计、初步设计、施工图设计，提供符合技术标准及合同要求的工程设计文件，提供施工配合服务。</w:t>
      </w:r>
    </w:p>
    <w:p w14:paraId="0D878E77">
      <w:pPr>
        <w:pStyle w:val="5"/>
        <w:spacing w:before="26" w:line="319" w:lineRule="auto"/>
        <w:ind w:right="216"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当按照专用合同条款约定配合发包人办理有关许可、核准或备案手续的，因设计人原因造成发包人未能及时办理许可、核准或备案手续，导致设计工作量增加和（或）设计周期延长时，由设计人自行承担由此增加的设计费用和（或）设计周期延长的责任。</w:t>
      </w:r>
    </w:p>
    <w:p w14:paraId="79823196">
      <w:pPr>
        <w:pStyle w:val="11"/>
        <w:numPr>
          <w:ilvl w:val="2"/>
          <w:numId w:val="4"/>
        </w:numPr>
        <w:tabs>
          <w:tab w:val="left" w:pos="1048"/>
        </w:tabs>
        <w:spacing w:before="26"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设计人应当完成合同约定的工程设计其他服务。</w:t>
      </w:r>
    </w:p>
    <w:p w14:paraId="5912D7CD">
      <w:pPr>
        <w:pStyle w:val="11"/>
        <w:numPr>
          <w:ilvl w:val="2"/>
          <w:numId w:val="4"/>
        </w:numPr>
        <w:tabs>
          <w:tab w:val="left" w:pos="1048"/>
        </w:tabs>
        <w:spacing w:before="109"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专用合同条款约定的其他义务。</w:t>
      </w:r>
    </w:p>
    <w:p w14:paraId="5DD4F720">
      <w:pPr>
        <w:pStyle w:val="11"/>
        <w:numPr>
          <w:ilvl w:val="1"/>
          <w:numId w:val="4"/>
        </w:numPr>
        <w:tabs>
          <w:tab w:val="left" w:pos="884"/>
        </w:tabs>
        <w:spacing w:before="109"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项目负责人</w:t>
      </w:r>
    </w:p>
    <w:p w14:paraId="71F590DB">
      <w:pPr>
        <w:pStyle w:val="11"/>
        <w:numPr>
          <w:ilvl w:val="2"/>
          <w:numId w:val="4"/>
        </w:numPr>
        <w:tabs>
          <w:tab w:val="left" w:pos="1049"/>
        </w:tabs>
        <w:spacing w:before="109" w:after="0" w:line="319" w:lineRule="auto"/>
        <w:ind w:left="117" w:right="215"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项目负责人应为合同当事人所确认的人选，并在专用合同条款中明确项目负责人的姓名、执业资格及等级、注册执业证书编号、联系方式及授权范围等事项，项目负责人经设计人授权后代表设计人负责履行合同。</w:t>
      </w:r>
    </w:p>
    <w:p w14:paraId="14EF8A2F">
      <w:pPr>
        <w:pStyle w:val="11"/>
        <w:numPr>
          <w:ilvl w:val="2"/>
          <w:numId w:val="4"/>
        </w:numPr>
        <w:tabs>
          <w:tab w:val="left" w:pos="1071"/>
        </w:tabs>
        <w:spacing w:before="25" w:after="0" w:line="319" w:lineRule="auto"/>
        <w:ind w:left="117" w:right="103"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3"/>
          <w:sz w:val="24"/>
          <w:szCs w:val="24"/>
        </w:rPr>
        <w:t>设计人需要更换项目负责人的，应在专用合同条款约定的期限内提前书面通知发包</w:t>
      </w:r>
      <w:r>
        <w:rPr>
          <w:rFonts w:hint="eastAsia" w:asciiTheme="minorEastAsia" w:hAnsiTheme="minorEastAsia" w:eastAsiaTheme="minorEastAsia" w:cstheme="minorEastAsia"/>
          <w:color w:val="231F20"/>
          <w:sz w:val="24"/>
          <w:szCs w:val="24"/>
        </w:rPr>
        <w:t>人，并征得发包人书面同意。通知中应当载明继任项目负责人的注册执业资格、管理经验等资料，继任项目负责人继续履行第 3.2.1</w:t>
      </w:r>
      <w:r>
        <w:rPr>
          <w:rFonts w:hint="eastAsia" w:asciiTheme="minorEastAsia" w:hAnsiTheme="minorEastAsia" w:eastAsiaTheme="minorEastAsia" w:cstheme="minorEastAsia"/>
          <w:color w:val="231F20"/>
          <w:spacing w:val="0"/>
          <w:sz w:val="24"/>
          <w:szCs w:val="24"/>
        </w:rPr>
        <w:t xml:space="preserve"> 项约定的职责。未经发包人书面同意，设计人不得擅自</w:t>
      </w:r>
      <w:r>
        <w:rPr>
          <w:rFonts w:hint="eastAsia" w:asciiTheme="minorEastAsia" w:hAnsiTheme="minorEastAsia" w:eastAsiaTheme="minorEastAsia" w:cstheme="minorEastAsia"/>
          <w:color w:val="231F20"/>
          <w:sz w:val="24"/>
          <w:szCs w:val="24"/>
        </w:rPr>
        <w:t>更换项目负责人。设计人擅自更换项目负责人的，应按照专用合同条款的约定承担违约责任。对于设计人项目负责人确因患病、与设计人解除或终止劳动关系、工伤等原因更换项目负责人的，发包人无正当理由不得拒绝更换。</w:t>
      </w:r>
    </w:p>
    <w:p w14:paraId="1AA738A9">
      <w:pPr>
        <w:pStyle w:val="11"/>
        <w:numPr>
          <w:ilvl w:val="2"/>
          <w:numId w:val="4"/>
        </w:numPr>
        <w:tabs>
          <w:tab w:val="left" w:pos="1049"/>
        </w:tabs>
        <w:spacing w:before="25" w:after="0" w:line="319" w:lineRule="auto"/>
        <w:ind w:left="117" w:right="208"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有权书面通知设计人更换其认为不称职的项目负责人，通知中应当载明要求更换的理由。对于发包人有理由的更换要求，设计人应在收到书面更换通知后在专用合同条款约定的期限内进行更换，并将新任命的项目负责人的注册执业资格、管理经验等资料书面通知发包人。继任项目负责人继续履行第 3.2.1</w:t>
      </w:r>
      <w:r>
        <w:rPr>
          <w:rFonts w:hint="eastAsia" w:asciiTheme="minorEastAsia" w:hAnsiTheme="minorEastAsia" w:eastAsiaTheme="minorEastAsia" w:cstheme="minorEastAsia"/>
          <w:color w:val="231F20"/>
          <w:spacing w:val="1"/>
          <w:sz w:val="24"/>
          <w:szCs w:val="24"/>
        </w:rPr>
        <w:t xml:space="preserve"> 项约定的职责。设计人无正当理由拒绝更换项目负责</w:t>
      </w:r>
      <w:r>
        <w:rPr>
          <w:rFonts w:hint="eastAsia" w:asciiTheme="minorEastAsia" w:hAnsiTheme="minorEastAsia" w:eastAsiaTheme="minorEastAsia" w:cstheme="minorEastAsia"/>
          <w:color w:val="231F20"/>
          <w:sz w:val="24"/>
          <w:szCs w:val="24"/>
        </w:rPr>
        <w:t>人的，应按照专用合同条款的约定承担违约责任。</w:t>
      </w:r>
    </w:p>
    <w:p w14:paraId="7DC3357F">
      <w:pPr>
        <w:pStyle w:val="11"/>
        <w:numPr>
          <w:ilvl w:val="1"/>
          <w:numId w:val="4"/>
        </w:numPr>
        <w:tabs>
          <w:tab w:val="left" w:pos="884"/>
        </w:tabs>
        <w:spacing w:before="24"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设计人人员</w:t>
      </w:r>
    </w:p>
    <w:p w14:paraId="53C3B502">
      <w:pPr>
        <w:pStyle w:val="11"/>
        <w:numPr>
          <w:ilvl w:val="2"/>
          <w:numId w:val="4"/>
        </w:numPr>
        <w:tabs>
          <w:tab w:val="left" w:pos="1050"/>
        </w:tabs>
        <w:spacing w:before="109" w:after="0" w:line="319" w:lineRule="auto"/>
        <w:ind w:left="117" w:right="110"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除专用合同条款对期限另有约定外，设计人应在接到开始设计通知后 7 天内，向发包人提交设计人项目管理机构及人员安排的报告，其内容应包括建筑、结构、给排水、暖通、电气等专业负责人名单及其岗位、注册执业资格等。</w:t>
      </w:r>
    </w:p>
    <w:p w14:paraId="4E3E4674">
      <w:pPr>
        <w:pStyle w:val="11"/>
        <w:numPr>
          <w:ilvl w:val="2"/>
          <w:numId w:val="4"/>
        </w:numPr>
        <w:tabs>
          <w:tab w:val="left" w:pos="1049"/>
        </w:tabs>
        <w:spacing w:before="25" w:after="0" w:line="319" w:lineRule="auto"/>
        <w:ind w:left="117" w:right="115"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设计人委派到工程设计中的设计人员应相对稳定。设计过程中如有变动，设计人应及时向发包人提交工程设计人员变动情况的报告。设计人更换专业负责人时，应提前 7</w:t>
      </w:r>
      <w:r>
        <w:rPr>
          <w:rFonts w:hint="eastAsia" w:asciiTheme="minorEastAsia" w:hAnsiTheme="minorEastAsia" w:eastAsiaTheme="minorEastAsia" w:cstheme="minorEastAsia"/>
          <w:color w:val="231F20"/>
          <w:spacing w:val="1"/>
          <w:sz w:val="24"/>
          <w:szCs w:val="24"/>
        </w:rPr>
        <w:t xml:space="preserve"> 天书面通知发包人，除专业负责人无法正常履职情形外，还应征得发包人书面同意。通知中应当载明继任人员的注册执业资格、执业经验等资料。</w:t>
      </w:r>
    </w:p>
    <w:p w14:paraId="2242510F">
      <w:pPr>
        <w:pStyle w:val="11"/>
        <w:numPr>
          <w:ilvl w:val="2"/>
          <w:numId w:val="4"/>
        </w:numPr>
        <w:tabs>
          <w:tab w:val="left" w:pos="1049"/>
        </w:tabs>
        <w:spacing w:before="25" w:after="0" w:line="319" w:lineRule="auto"/>
        <w:ind w:left="117" w:right="1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对于设计人主要设计人员的资格或能力有异议的，设计人应提供资料证明被质疑人员有能力完成其岗位工作或不存在发包人所质疑的情形。发包人要求撤换不能按照合同约定履行职责及义务的主要设计人员的，设计人认为发包人有理由的，应当撤换。设计人无正当理由拒绝撤换的，应按照专用合同条款的约定承担违约责任。</w:t>
      </w:r>
    </w:p>
    <w:p w14:paraId="7C744363">
      <w:pPr>
        <w:pStyle w:val="11"/>
        <w:numPr>
          <w:ilvl w:val="1"/>
          <w:numId w:val="4"/>
        </w:numPr>
        <w:tabs>
          <w:tab w:val="left" w:pos="884"/>
        </w:tabs>
        <w:spacing w:before="25"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设计分包</w:t>
      </w:r>
    </w:p>
    <w:p w14:paraId="21E8B597">
      <w:pPr>
        <w:pStyle w:val="11"/>
        <w:numPr>
          <w:ilvl w:val="2"/>
          <w:numId w:val="4"/>
        </w:numPr>
        <w:tabs>
          <w:tab w:val="left" w:pos="1048"/>
        </w:tabs>
        <w:spacing w:before="108"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设计分包的一般约定</w:t>
      </w:r>
    </w:p>
    <w:p w14:paraId="3FD8BFE6">
      <w:pPr>
        <w:pStyle w:val="5"/>
        <w:spacing w:before="108" w:line="319" w:lineRule="auto"/>
        <w:ind w:right="1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不得将其承包的全部工程设计转包给第三人，或将其承包的全部工程设计肢解后以分包的名义转包给第三人。设计人不得将工程主体结构、关键性工作及专用合同条款中禁止分包的工程设计分包给第三人，工程主体结构、关键性工作的范围由合同当事人按照法律规定在专用合同条款中予以明确。设计人不得进行违法分包。</w:t>
      </w:r>
    </w:p>
    <w:p w14:paraId="7116F576">
      <w:pPr>
        <w:pStyle w:val="11"/>
        <w:numPr>
          <w:ilvl w:val="2"/>
          <w:numId w:val="4"/>
        </w:numPr>
        <w:tabs>
          <w:tab w:val="left" w:pos="1048"/>
        </w:tabs>
        <w:spacing w:before="25"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设计分包的确定</w:t>
      </w:r>
    </w:p>
    <w:p w14:paraId="63BF1469">
      <w:pPr>
        <w:pStyle w:val="5"/>
        <w:spacing w:line="319" w:lineRule="auto"/>
        <w:ind w:right="1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按专用合同条款的约定或经过发包人书面同意后进行分包，确定分包人。按照合同约定或经过发包人书面同意后进行分包的，设计人应确保分包人具有相应的资质和能力。工程设计分包不减轻或免除设计人的责任和义务，设计人和分包人就分包工程设计向发包人承担连带责任。</w:t>
      </w:r>
    </w:p>
    <w:p w14:paraId="47AC54F0">
      <w:pPr>
        <w:pStyle w:val="11"/>
        <w:numPr>
          <w:ilvl w:val="2"/>
          <w:numId w:val="4"/>
        </w:numPr>
        <w:tabs>
          <w:tab w:val="left" w:pos="1048"/>
        </w:tabs>
        <w:spacing w:before="26"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设计分包管理</w:t>
      </w:r>
    </w:p>
    <w:p w14:paraId="5388597F">
      <w:pPr>
        <w:pStyle w:val="5"/>
        <w:spacing w:line="319" w:lineRule="auto"/>
        <w:ind w:right="116"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设计人应按照专用合同条款的约定向发包人提交分包人的主要工程设计人员名单、注册执业资格及执业经历等。</w:t>
      </w:r>
    </w:p>
    <w:p w14:paraId="64AC6D8B">
      <w:pPr>
        <w:pStyle w:val="11"/>
        <w:numPr>
          <w:ilvl w:val="2"/>
          <w:numId w:val="4"/>
        </w:numPr>
        <w:tabs>
          <w:tab w:val="left" w:pos="1048"/>
        </w:tabs>
        <w:spacing w:before="25"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分包工程设计费</w:t>
      </w:r>
    </w:p>
    <w:p w14:paraId="3CCCFA65">
      <w:pPr>
        <w:pStyle w:val="5"/>
        <w:spacing w:line="319" w:lineRule="auto"/>
        <w:ind w:firstLine="3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1）除本项第（ 2）目约定的情况或专用合同条款另有约定外，分包工程设计费由设计人与分包人结算，未经设计人同意，发包人不得向分包人支付分包工程设计费；</w:t>
      </w:r>
    </w:p>
    <w:p w14:paraId="396945D8">
      <w:pPr>
        <w:pStyle w:val="5"/>
        <w:spacing w:before="26" w:line="319" w:lineRule="auto"/>
        <w:ind w:right="99" w:firstLine="3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2）生效的法院判决书或仲裁裁决书要求发包人向分包人支付分包工程设计费的，发包人有权从应付设计人合同价款中扣除该部分费用。</w:t>
      </w:r>
    </w:p>
    <w:p w14:paraId="2B8B0475">
      <w:pPr>
        <w:pStyle w:val="11"/>
        <w:numPr>
          <w:ilvl w:val="1"/>
          <w:numId w:val="4"/>
        </w:numPr>
        <w:tabs>
          <w:tab w:val="left" w:pos="884"/>
        </w:tabs>
        <w:spacing w:before="24"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联合体</w:t>
      </w:r>
    </w:p>
    <w:p w14:paraId="0C1962E1">
      <w:pPr>
        <w:pStyle w:val="11"/>
        <w:numPr>
          <w:ilvl w:val="2"/>
          <w:numId w:val="4"/>
        </w:numPr>
        <w:tabs>
          <w:tab w:val="left" w:pos="1049"/>
        </w:tabs>
        <w:spacing w:before="109" w:after="0" w:line="319" w:lineRule="auto"/>
        <w:ind w:left="117" w:right="15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联合体各方应共同与发包人签订合同协议书。联合体各方应为履行合同向发包人承担连带责任。</w:t>
      </w:r>
    </w:p>
    <w:p w14:paraId="2753299A">
      <w:pPr>
        <w:pStyle w:val="11"/>
        <w:numPr>
          <w:ilvl w:val="2"/>
          <w:numId w:val="4"/>
        </w:numPr>
        <w:tabs>
          <w:tab w:val="left" w:pos="1049"/>
        </w:tabs>
        <w:spacing w:before="25" w:after="0" w:line="319" w:lineRule="auto"/>
        <w:ind w:left="117" w:right="15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联合体协议，应当约定联合体各成员工作分工，经发包人确认后作为合同附件。在履行合同过程中，未经发包人同意，不得修改联合体协议。</w:t>
      </w:r>
    </w:p>
    <w:p w14:paraId="53E76D52">
      <w:pPr>
        <w:pStyle w:val="11"/>
        <w:numPr>
          <w:ilvl w:val="2"/>
          <w:numId w:val="4"/>
        </w:numPr>
        <w:tabs>
          <w:tab w:val="left" w:pos="1048"/>
        </w:tabs>
        <w:spacing w:before="25"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5"/>
          <w:sz w:val="24"/>
          <w:szCs w:val="24"/>
        </w:rPr>
        <w:t>联合体牵头人负责与发包人联系，并接受指示，负责组织联合体各成员全面履行合同。</w:t>
      </w:r>
    </w:p>
    <w:p w14:paraId="72637FFE">
      <w:pPr>
        <w:pStyle w:val="11"/>
        <w:numPr>
          <w:ilvl w:val="2"/>
          <w:numId w:val="4"/>
        </w:numPr>
        <w:tabs>
          <w:tab w:val="left" w:pos="1048"/>
        </w:tabs>
        <w:spacing w:before="109"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发包人向联合体支付设计费用的方式在专用合同条款中约定。</w:t>
      </w:r>
    </w:p>
    <w:p w14:paraId="197C9B5B">
      <w:pPr>
        <w:pStyle w:val="11"/>
        <w:numPr>
          <w:ilvl w:val="0"/>
          <w:numId w:val="4"/>
        </w:numPr>
        <w:tabs>
          <w:tab w:val="left" w:pos="362"/>
        </w:tabs>
        <w:spacing w:before="103" w:after="0" w:line="240" w:lineRule="auto"/>
        <w:ind w:left="361" w:right="0" w:hanging="244"/>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工程设计资料</w:t>
      </w:r>
    </w:p>
    <w:p w14:paraId="40B08F43">
      <w:pPr>
        <w:pStyle w:val="11"/>
        <w:numPr>
          <w:ilvl w:val="1"/>
          <w:numId w:val="4"/>
        </w:numPr>
        <w:tabs>
          <w:tab w:val="left" w:pos="884"/>
        </w:tabs>
        <w:spacing w:before="122"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提供工程设计资料</w:t>
      </w:r>
    </w:p>
    <w:p w14:paraId="37DB96FF">
      <w:pPr>
        <w:pStyle w:val="5"/>
        <w:spacing w:line="319" w:lineRule="auto"/>
        <w:ind w:right="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发包人应当在工程设计前或专用合同条款附件 2 约定的时间向设计人提供工程设计所必需的工程设计资料，并对所提供资料的真实性、准确性和完整性负责。</w:t>
      </w:r>
    </w:p>
    <w:p w14:paraId="032D6044">
      <w:pPr>
        <w:pStyle w:val="5"/>
        <w:spacing w:before="26" w:line="319" w:lineRule="auto"/>
        <w:ind w:right="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按照法律规定确需在工程设计开始后方能提供的设计资料，发包人应及时地在相应工程设计文件提交给发包人前的合理期限内提供，合理期限应以不影响设计人的正常设计为限。</w:t>
      </w:r>
    </w:p>
    <w:p w14:paraId="797BDCD4">
      <w:pPr>
        <w:pStyle w:val="11"/>
        <w:numPr>
          <w:ilvl w:val="1"/>
          <w:numId w:val="4"/>
        </w:numPr>
        <w:tabs>
          <w:tab w:val="left" w:pos="884"/>
        </w:tabs>
        <w:spacing w:before="26"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逾期提供的责任</w:t>
      </w:r>
    </w:p>
    <w:p w14:paraId="38D0912D">
      <w:pPr>
        <w:pStyle w:val="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发包人提交上述文件和资料超过约定期限的，超过约定期限 15 天以内，设计人按本合同</w:t>
      </w:r>
    </w:p>
    <w:p w14:paraId="64291283">
      <w:pPr>
        <w:pStyle w:val="5"/>
        <w:spacing w:line="319" w:lineRule="auto"/>
        <w:ind w:right="154"/>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4"/>
          <w:sz w:val="24"/>
          <w:szCs w:val="24"/>
        </w:rPr>
        <w:t xml:space="preserve">约定的交付工程设计文件时间相应顺延；超过约定期限 </w:t>
      </w:r>
      <w:r>
        <w:rPr>
          <w:rFonts w:hint="eastAsia" w:asciiTheme="minorEastAsia" w:hAnsiTheme="minorEastAsia" w:eastAsiaTheme="minorEastAsia" w:cstheme="minorEastAsia"/>
          <w:color w:val="231F20"/>
          <w:sz w:val="24"/>
          <w:szCs w:val="24"/>
        </w:rPr>
        <w:t>15</w:t>
      </w:r>
      <w:r>
        <w:rPr>
          <w:rFonts w:hint="eastAsia" w:asciiTheme="minorEastAsia" w:hAnsiTheme="minorEastAsia" w:eastAsiaTheme="minorEastAsia" w:cstheme="minorEastAsia"/>
          <w:color w:val="231F20"/>
          <w:spacing w:val="-1"/>
          <w:sz w:val="24"/>
          <w:szCs w:val="24"/>
        </w:rPr>
        <w:t xml:space="preserve"> 天以外时，设计人有权重新确定提交工程设计文件的时间。工程设计资料逾期提供导致增加了设计工作量的，设计人可以要求发包人另行支付相应设计费用，并相应延长设计周期。</w:t>
      </w:r>
    </w:p>
    <w:p w14:paraId="6D16A9BF">
      <w:pPr>
        <w:pStyle w:val="11"/>
        <w:numPr>
          <w:ilvl w:val="0"/>
          <w:numId w:val="4"/>
        </w:numPr>
        <w:tabs>
          <w:tab w:val="left" w:pos="362"/>
        </w:tabs>
        <w:spacing w:before="19"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工程设计要求</w:t>
      </w:r>
    </w:p>
    <w:p w14:paraId="2C50F969">
      <w:pPr>
        <w:pStyle w:val="11"/>
        <w:numPr>
          <w:ilvl w:val="1"/>
          <w:numId w:val="4"/>
        </w:numPr>
        <w:tabs>
          <w:tab w:val="left" w:pos="884"/>
        </w:tabs>
        <w:spacing w:before="121"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工程设计一般要求</w:t>
      </w:r>
    </w:p>
    <w:p w14:paraId="62DDB813">
      <w:pPr>
        <w:pStyle w:val="11"/>
        <w:numPr>
          <w:ilvl w:val="2"/>
          <w:numId w:val="4"/>
        </w:numPr>
        <w:tabs>
          <w:tab w:val="left" w:pos="1048"/>
        </w:tabs>
        <w:spacing w:before="108"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对发包人的要求</w:t>
      </w:r>
    </w:p>
    <w:p w14:paraId="2C53918A">
      <w:pPr>
        <w:pStyle w:val="11"/>
        <w:numPr>
          <w:ilvl w:val="3"/>
          <w:numId w:val="4"/>
        </w:numPr>
        <w:tabs>
          <w:tab w:val="left" w:pos="1237"/>
        </w:tabs>
        <w:spacing w:before="108" w:after="0" w:line="319" w:lineRule="auto"/>
        <w:ind w:left="117" w:right="14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5"/>
          <w:sz w:val="24"/>
          <w:szCs w:val="24"/>
        </w:rPr>
        <w:t>发包人应当遵守法律和技术标准，不得以任何理由要求设计人违反法律和工程质</w:t>
      </w:r>
      <w:r>
        <w:rPr>
          <w:rFonts w:hint="eastAsia" w:asciiTheme="minorEastAsia" w:hAnsiTheme="minorEastAsia" w:eastAsiaTheme="minorEastAsia" w:cstheme="minorEastAsia"/>
          <w:color w:val="231F20"/>
          <w:sz w:val="24"/>
          <w:szCs w:val="24"/>
        </w:rPr>
        <w:t>量、安全标准进行工程设计，降低工程质量。</w:t>
      </w:r>
    </w:p>
    <w:p w14:paraId="571B760F">
      <w:pPr>
        <w:pStyle w:val="11"/>
        <w:numPr>
          <w:ilvl w:val="3"/>
          <w:numId w:val="4"/>
        </w:numPr>
        <w:tabs>
          <w:tab w:val="left" w:pos="1230"/>
        </w:tabs>
        <w:spacing w:before="25" w:after="0" w:line="319" w:lineRule="auto"/>
        <w:ind w:left="117" w:right="15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要求进行主要技术指标控制的，钢材用量、混凝土用量等主要技术指标控制值应当符合有关工程设计标准的要求，且应当在工程设计开始前书面向设计人提出，经发包人与设计人协商一致后以书面形式确定作为本合同附件。</w:t>
      </w:r>
    </w:p>
    <w:p w14:paraId="0B1D5D8E">
      <w:pPr>
        <w:pStyle w:val="11"/>
        <w:numPr>
          <w:ilvl w:val="3"/>
          <w:numId w:val="4"/>
        </w:numPr>
        <w:tabs>
          <w:tab w:val="left" w:pos="1230"/>
        </w:tabs>
        <w:spacing w:before="25" w:after="0" w:line="319" w:lineRule="auto"/>
        <w:ind w:left="117" w:right="15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发包人应当严格遵守主要技术指标控制的前提条件，由于发包人的原因导致工程设计文件超出主要技术指标控制值的，发包人承担相应责任。</w:t>
      </w:r>
    </w:p>
    <w:p w14:paraId="5D6BC5FF">
      <w:pPr>
        <w:pStyle w:val="11"/>
        <w:numPr>
          <w:ilvl w:val="2"/>
          <w:numId w:val="13"/>
        </w:numPr>
        <w:tabs>
          <w:tab w:val="left" w:pos="1048"/>
        </w:tabs>
        <w:spacing w:before="25"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对设计人的要求</w:t>
      </w:r>
    </w:p>
    <w:p w14:paraId="38052113">
      <w:pPr>
        <w:spacing w:after="0" w:line="319" w:lineRule="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设计人应当按法律和技术标准的强制性规定及发包人要求进行工程设计。有关工程设计的特殊标准或要求由合同当事人在专用合同条款中约定。</w:t>
      </w:r>
    </w:p>
    <w:p w14:paraId="263125DA">
      <w:pPr>
        <w:spacing w:after="0" w:line="319" w:lineRule="auto"/>
        <w:rPr>
          <w:rFonts w:hint="eastAsia" w:asciiTheme="minorEastAsia" w:hAnsiTheme="minorEastAsia" w:eastAsiaTheme="minorEastAsia" w:cstheme="minorEastAsia"/>
          <w:color w:val="231F20"/>
          <w:sz w:val="24"/>
          <w:szCs w:val="24"/>
        </w:rPr>
      </w:pPr>
    </w:p>
    <w:p w14:paraId="267BEB6A">
      <w:pPr>
        <w:pStyle w:val="5"/>
        <w:spacing w:before="24" w:line="319" w:lineRule="auto"/>
        <w:ind w:right="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设计人发现发包人提供的工程设计资料有问题的，设计人应当及时通知发包人并经发包人确认。</w:t>
      </w:r>
    </w:p>
    <w:p w14:paraId="3CF16D0B">
      <w:pPr>
        <w:pStyle w:val="11"/>
        <w:numPr>
          <w:ilvl w:val="3"/>
          <w:numId w:val="13"/>
        </w:numPr>
        <w:tabs>
          <w:tab w:val="left" w:pos="1230"/>
        </w:tabs>
        <w:spacing w:before="26" w:after="0" w:line="319" w:lineRule="auto"/>
        <w:ind w:left="117" w:right="15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合同另有约定外，设计人完成设计工作所应遵守的法律以及技术标准，均应视为在基准日期适用的版本。基准日期之后，前述版本发生重大变化，或者有新的法律以及技术标准实施的，设计人应就推荐性标准向发包人提出遵守新标准的建议，对强制性的规定或标准应当遵照执行。因发包人采纳设计人的建议或遵守基准日期后新的强制性的规定或标准，导致增加设计费用和（或）设计周期延长的，由发包人承担。</w:t>
      </w:r>
    </w:p>
    <w:p w14:paraId="06231F9B">
      <w:pPr>
        <w:pStyle w:val="11"/>
        <w:numPr>
          <w:ilvl w:val="3"/>
          <w:numId w:val="13"/>
        </w:numPr>
        <w:tabs>
          <w:tab w:val="left" w:pos="1230"/>
        </w:tabs>
        <w:spacing w:before="26" w:after="0" w:line="319" w:lineRule="auto"/>
        <w:ind w:left="117" w:right="156"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设计人应当根据建筑工程的使用功能和专业技术协调要求，合理确定基础类型、结构体系、结构布置、使用荷载及综合管线等。</w:t>
      </w:r>
    </w:p>
    <w:p w14:paraId="468072B9">
      <w:pPr>
        <w:pStyle w:val="11"/>
        <w:numPr>
          <w:ilvl w:val="3"/>
          <w:numId w:val="13"/>
        </w:numPr>
        <w:tabs>
          <w:tab w:val="left" w:pos="1230"/>
        </w:tabs>
        <w:spacing w:before="26" w:after="0" w:line="319" w:lineRule="auto"/>
        <w:ind w:left="117" w:right="15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设计人应当严格执行其双方书面确认的主要技术指标控制值，由于设计人的原因导致工程设计文件超出在专用合同条款中约定的主要技术指标控制值比例的，设计人应当承担相应的违约责任。</w:t>
      </w:r>
    </w:p>
    <w:p w14:paraId="1A7AA2E7">
      <w:pPr>
        <w:pStyle w:val="11"/>
        <w:numPr>
          <w:ilvl w:val="3"/>
          <w:numId w:val="13"/>
        </w:numPr>
        <w:tabs>
          <w:tab w:val="left" w:pos="1230"/>
        </w:tabs>
        <w:spacing w:before="26" w:after="0" w:line="319" w:lineRule="auto"/>
        <w:ind w:left="117" w:right="151"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设计人在工程设计中选用的材料、设备，应当注明其规格、型号、性能等技术指标及适应性，满足质量、安全、节能、环保等要求。</w:t>
      </w:r>
    </w:p>
    <w:p w14:paraId="349C0C3C">
      <w:pPr>
        <w:pStyle w:val="11"/>
        <w:numPr>
          <w:ilvl w:val="1"/>
          <w:numId w:val="14"/>
        </w:numPr>
        <w:tabs>
          <w:tab w:val="left" w:pos="884"/>
        </w:tabs>
        <w:spacing w:before="26"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工程设计保证措施</w:t>
      </w:r>
    </w:p>
    <w:p w14:paraId="3432F5E3">
      <w:pPr>
        <w:pStyle w:val="11"/>
        <w:numPr>
          <w:ilvl w:val="2"/>
          <w:numId w:val="14"/>
        </w:numPr>
        <w:tabs>
          <w:tab w:val="left" w:pos="1048"/>
        </w:tabs>
        <w:spacing w:before="109"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发包人的保证措施</w:t>
      </w:r>
    </w:p>
    <w:p w14:paraId="5EC3ED95">
      <w:pPr>
        <w:pStyle w:val="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发包人应按照法律规定及合同约定完成与工程设计有关的各项工作。</w:t>
      </w:r>
    </w:p>
    <w:p w14:paraId="25A657C2">
      <w:pPr>
        <w:pStyle w:val="11"/>
        <w:numPr>
          <w:ilvl w:val="2"/>
          <w:numId w:val="14"/>
        </w:numPr>
        <w:tabs>
          <w:tab w:val="left" w:pos="1048"/>
        </w:tabs>
        <w:spacing w:before="109"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设计人的保证措施</w:t>
      </w:r>
    </w:p>
    <w:p w14:paraId="0391CBEC">
      <w:pPr>
        <w:pStyle w:val="5"/>
        <w:spacing w:line="319" w:lineRule="auto"/>
        <w:ind w:right="150"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设计人应做好工程设计的质量与技术管理工作，建立健全工程设计质量保证体系，加强工程设计全过程的质量控制，建立完整的设计文件的设计、复核、审核、会签和批准制度，明确各阶段的责任人。</w:t>
      </w:r>
    </w:p>
    <w:p w14:paraId="20EED8A3">
      <w:pPr>
        <w:pStyle w:val="11"/>
        <w:numPr>
          <w:ilvl w:val="1"/>
          <w:numId w:val="14"/>
        </w:numPr>
        <w:tabs>
          <w:tab w:val="left" w:pos="884"/>
        </w:tabs>
        <w:spacing w:before="26"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工程设计文件的要求</w:t>
      </w:r>
    </w:p>
    <w:p w14:paraId="0F9D41A7">
      <w:pPr>
        <w:pStyle w:val="11"/>
        <w:numPr>
          <w:ilvl w:val="2"/>
          <w:numId w:val="14"/>
        </w:numPr>
        <w:tabs>
          <w:tab w:val="left" w:pos="1048"/>
        </w:tabs>
        <w:spacing w:before="109" w:after="0" w:line="240" w:lineRule="auto"/>
        <w:ind w:left="117" w:right="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工程设计文件的编制应符合法律、技术标准的强制性规定及合同的要求。</w:t>
      </w:r>
    </w:p>
    <w:p w14:paraId="1124C103">
      <w:pPr>
        <w:pStyle w:val="11"/>
        <w:numPr>
          <w:ilvl w:val="2"/>
          <w:numId w:val="14"/>
        </w:numPr>
        <w:tabs>
          <w:tab w:val="left" w:pos="1048"/>
        </w:tabs>
        <w:spacing w:before="109" w:after="0" w:line="240" w:lineRule="auto"/>
        <w:ind w:left="117" w:right="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5"/>
          <w:sz w:val="24"/>
          <w:szCs w:val="24"/>
        </w:rPr>
        <w:t>工程设计依据应完整、准确、可靠，设计方案论证充分，计算成果可靠，并能够实施。</w:t>
      </w:r>
    </w:p>
    <w:p w14:paraId="7B5FACD5">
      <w:pPr>
        <w:pStyle w:val="11"/>
        <w:numPr>
          <w:ilvl w:val="2"/>
          <w:numId w:val="14"/>
        </w:numPr>
        <w:tabs>
          <w:tab w:val="left" w:pos="1049"/>
        </w:tabs>
        <w:spacing w:before="109" w:after="0" w:line="319" w:lineRule="auto"/>
        <w:ind w:left="117" w:right="15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工程设计文件的深度应满足本合同相应设计阶段的规定要求，并符合国家和行业现行有效的相关规定。</w:t>
      </w:r>
    </w:p>
    <w:p w14:paraId="30197DD2">
      <w:pPr>
        <w:pStyle w:val="11"/>
        <w:numPr>
          <w:ilvl w:val="2"/>
          <w:numId w:val="14"/>
        </w:numPr>
        <w:tabs>
          <w:tab w:val="left" w:pos="1049"/>
        </w:tabs>
        <w:spacing w:before="25" w:after="0" w:line="319" w:lineRule="auto"/>
        <w:ind w:left="117" w:right="15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工程设计文件必须保证工程质量和施工安全等方面的要求，按照有关法律法规规定在工程设计文件中提出保障施工作业人员安全和预防生产安全事故的措施建议。</w:t>
      </w:r>
    </w:p>
    <w:p w14:paraId="3F9C30A6">
      <w:pPr>
        <w:pStyle w:val="11"/>
        <w:numPr>
          <w:ilvl w:val="2"/>
          <w:numId w:val="14"/>
        </w:numPr>
        <w:tabs>
          <w:tab w:val="left" w:pos="1049"/>
        </w:tabs>
        <w:spacing w:before="25" w:after="0" w:line="319" w:lineRule="auto"/>
        <w:ind w:left="117" w:right="15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应根据法律、技术标准要求，保证房屋建筑工程的合理使用寿命年限，并应在工程设计文件中注明相应的合理使用寿命年限。</w:t>
      </w:r>
    </w:p>
    <w:p w14:paraId="18573D09">
      <w:pPr>
        <w:pStyle w:val="11"/>
        <w:numPr>
          <w:ilvl w:val="1"/>
          <w:numId w:val="14"/>
        </w:numPr>
        <w:tabs>
          <w:tab w:val="left" w:pos="884"/>
        </w:tabs>
        <w:spacing w:before="25"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不合格工程设计文件的处理</w:t>
      </w:r>
    </w:p>
    <w:p w14:paraId="00B5BDEE">
      <w:pPr>
        <w:spacing w:after="0" w:line="240" w:lineRule="auto"/>
        <w:jc w:val="left"/>
        <w:rPr>
          <w:rFonts w:hint="eastAsia" w:asciiTheme="minorEastAsia" w:hAnsiTheme="minorEastAsia" w:eastAsiaTheme="minorEastAsia" w:cstheme="minorEastAsia"/>
          <w:sz w:val="24"/>
          <w:szCs w:val="24"/>
        </w:rPr>
      </w:pPr>
    </w:p>
    <w:p w14:paraId="0F5AAEC1">
      <w:pPr>
        <w:pStyle w:val="11"/>
        <w:numPr>
          <w:ilvl w:val="2"/>
          <w:numId w:val="14"/>
        </w:numPr>
        <w:tabs>
          <w:tab w:val="left" w:pos="1049"/>
        </w:tabs>
        <w:spacing w:before="24" w:after="0" w:line="319" w:lineRule="auto"/>
        <w:ind w:left="117" w:right="115"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因设计人原因造成工程设计文件不合格的，发包人有权要求设计人采取补救措施，直</w:t>
      </w:r>
      <w:r>
        <w:rPr>
          <w:rFonts w:hint="eastAsia" w:asciiTheme="minorEastAsia" w:hAnsiTheme="minorEastAsia" w:eastAsiaTheme="minorEastAsia" w:cstheme="minorEastAsia"/>
          <w:color w:val="231F20"/>
          <w:spacing w:val="-1"/>
          <w:sz w:val="24"/>
          <w:szCs w:val="24"/>
        </w:rPr>
        <w:t xml:space="preserve">至达到合同要求的质量标准，并按第 </w:t>
      </w:r>
      <w:r>
        <w:rPr>
          <w:rFonts w:hint="eastAsia" w:asciiTheme="minorEastAsia" w:hAnsiTheme="minorEastAsia" w:eastAsiaTheme="minorEastAsia" w:cstheme="minorEastAsia"/>
          <w:color w:val="231F20"/>
          <w:sz w:val="24"/>
          <w:szCs w:val="24"/>
        </w:rPr>
        <w:t>14.2</w:t>
      </w:r>
      <w:r>
        <w:rPr>
          <w:rFonts w:hint="eastAsia" w:asciiTheme="minorEastAsia" w:hAnsiTheme="minorEastAsia" w:eastAsiaTheme="minorEastAsia" w:cstheme="minorEastAsia"/>
          <w:color w:val="231F20"/>
          <w:spacing w:val="-1"/>
          <w:sz w:val="24"/>
          <w:szCs w:val="24"/>
        </w:rPr>
        <w:t xml:space="preserve"> 款〔设计人违约责任〕的约定承担责任。</w:t>
      </w:r>
    </w:p>
    <w:p w14:paraId="099601A0">
      <w:pPr>
        <w:pStyle w:val="11"/>
        <w:numPr>
          <w:ilvl w:val="2"/>
          <w:numId w:val="14"/>
        </w:numPr>
        <w:tabs>
          <w:tab w:val="left" w:pos="1049"/>
        </w:tabs>
        <w:spacing w:before="26" w:after="0" w:line="319" w:lineRule="auto"/>
        <w:ind w:left="117" w:right="115"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因发包人原因造成工程设计文件不合格的，设计人应当采取补救措施，直至达到合同要求的质量标准，由此增加的设计费用和（或）设计周期的延长由发包人承担。</w:t>
      </w:r>
    </w:p>
    <w:p w14:paraId="2F2E1EB0">
      <w:pPr>
        <w:pStyle w:val="11"/>
        <w:numPr>
          <w:ilvl w:val="0"/>
          <w:numId w:val="4"/>
        </w:numPr>
        <w:tabs>
          <w:tab w:val="left" w:pos="362"/>
        </w:tabs>
        <w:spacing w:before="20"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工程设计进度与周期</w:t>
      </w:r>
    </w:p>
    <w:p w14:paraId="0324CBF2">
      <w:pPr>
        <w:pStyle w:val="11"/>
        <w:numPr>
          <w:ilvl w:val="1"/>
          <w:numId w:val="4"/>
        </w:numPr>
        <w:tabs>
          <w:tab w:val="left" w:pos="884"/>
        </w:tabs>
        <w:spacing w:before="122"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工程设计进度计划</w:t>
      </w:r>
    </w:p>
    <w:p w14:paraId="281E27A3">
      <w:pPr>
        <w:pStyle w:val="11"/>
        <w:numPr>
          <w:ilvl w:val="2"/>
          <w:numId w:val="4"/>
        </w:numPr>
        <w:tabs>
          <w:tab w:val="left" w:pos="1048"/>
        </w:tabs>
        <w:spacing w:before="109"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工程设计进度计划的编制</w:t>
      </w:r>
    </w:p>
    <w:p w14:paraId="427B16AE">
      <w:pPr>
        <w:pStyle w:val="5"/>
        <w:spacing w:line="319" w:lineRule="auto"/>
        <w:ind w:right="1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按照专用合同条款约定提交工程设计进度计划，工程设计进度计划的编制应当符合法律规定和一般工程设计实践惯例，工程设计进度计划经发包人批准后实施。工程设计进度计划是控制工程设计进度的依据，发包人有权按照工程设计进度计划中列明的关键性控制节点检查工程设计进度情况。</w:t>
      </w:r>
    </w:p>
    <w:p w14:paraId="765B1412">
      <w:pPr>
        <w:pStyle w:val="5"/>
        <w:spacing w:before="25" w:line="319" w:lineRule="auto"/>
        <w:ind w:right="1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进度计划中的设计周期应由发包人与设计人协商确定，明确约定各阶段设计任务的完成时间区间，包括各阶段设计过程中设计人与发包人的交流时间，但不包括相关政府部门对设计成果的审批时间及发包人的审查时间。</w:t>
      </w:r>
    </w:p>
    <w:p w14:paraId="7A0089F3">
      <w:pPr>
        <w:pStyle w:val="11"/>
        <w:numPr>
          <w:ilvl w:val="2"/>
          <w:numId w:val="4"/>
        </w:numPr>
        <w:tabs>
          <w:tab w:val="left" w:pos="1048"/>
        </w:tabs>
        <w:spacing w:before="25"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工程设计进度计划的修订</w:t>
      </w:r>
    </w:p>
    <w:p w14:paraId="03C30726">
      <w:pPr>
        <w:pStyle w:val="5"/>
        <w:spacing w:line="319" w:lineRule="auto"/>
        <w:ind w:right="1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进度计划不符合合同要求或与工程设计的实际进度不一致的，设计人应向发包人提交修订的工程设计进度计划，并附具有关措施和相关资料。除专用合同条款对期限另有约定外，发包人应在收到修订的工程设计进度计划后 5 天内完成审核和批准或提出修改意见，否则视为发包人同意设计人提交的修订的工程设计进度计划。</w:t>
      </w:r>
    </w:p>
    <w:p w14:paraId="65AA118E">
      <w:pPr>
        <w:pStyle w:val="11"/>
        <w:numPr>
          <w:ilvl w:val="1"/>
          <w:numId w:val="15"/>
        </w:numPr>
        <w:tabs>
          <w:tab w:val="left" w:pos="884"/>
        </w:tabs>
        <w:spacing w:before="26"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工程设计开始</w:t>
      </w:r>
    </w:p>
    <w:p w14:paraId="28C22894">
      <w:pPr>
        <w:pStyle w:val="5"/>
        <w:spacing w:line="319" w:lineRule="auto"/>
        <w:ind w:right="116"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发包人应按照法律规定获得工程设计所需的许可。发包人发出的开始设计通知应符合法律规定，一般应在计划开始设计日期 7 天前向设计人发出开始工程设计工作通知，工程设计周期自开始设计通知中载明的开始设计的日期起算。</w:t>
      </w:r>
    </w:p>
    <w:p w14:paraId="43A29FE7">
      <w:pPr>
        <w:pStyle w:val="5"/>
        <w:spacing w:before="25" w:line="319" w:lineRule="auto"/>
        <w:ind w:right="116"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设计人应当在收到发包人提供的工程设计资料及专用合同条款约定的定金或预付款后，开始工程设计工作。</w:t>
      </w:r>
    </w:p>
    <w:p w14:paraId="1B8A8B42">
      <w:pPr>
        <w:pStyle w:val="5"/>
        <w:spacing w:before="25" w:line="319" w:lineRule="auto"/>
        <w:ind w:right="1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各设计阶段的开始时间均以设计人收到的发包人发出开始设计工作的书面通知书中载明的开始设计的日期起算。</w:t>
      </w:r>
    </w:p>
    <w:p w14:paraId="4B21AD6F">
      <w:pPr>
        <w:pStyle w:val="11"/>
        <w:numPr>
          <w:ilvl w:val="1"/>
          <w:numId w:val="15"/>
        </w:numPr>
        <w:tabs>
          <w:tab w:val="left" w:pos="884"/>
        </w:tabs>
        <w:spacing w:before="25"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工程设计进度延误</w:t>
      </w:r>
    </w:p>
    <w:p w14:paraId="79DC09F6">
      <w:pPr>
        <w:pStyle w:val="11"/>
        <w:numPr>
          <w:ilvl w:val="2"/>
          <w:numId w:val="15"/>
        </w:numPr>
        <w:tabs>
          <w:tab w:val="left" w:pos="1048"/>
        </w:tabs>
        <w:spacing w:before="109"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因发包人原因导致工程设计进度延误</w:t>
      </w:r>
    </w:p>
    <w:p w14:paraId="64918A2F">
      <w:pPr>
        <w:pStyle w:val="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在合同履行过程中，发包人导致工程设计进度延误的情形主要有：</w:t>
      </w:r>
    </w:p>
    <w:p w14:paraId="5F221F52">
      <w:pPr>
        <w:pStyle w:val="5"/>
        <w:spacing w:before="2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1）发包人未能按合同约定提供工程设计资料或所提供的工程设计资料不符合合同约定或存在错误或疏漏的；</w:t>
      </w:r>
    </w:p>
    <w:p w14:paraId="4CBB9068">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2）发包人未能按合同约定日期足额支付定金或预付款、进度款的；</w:t>
      </w:r>
    </w:p>
    <w:p w14:paraId="2CD0C571">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3）发包人提出影响设计周期的设计变更要求的；</w:t>
      </w:r>
    </w:p>
    <w:p w14:paraId="5DF3E64B">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4）专用合同条款中约定的其他情形。</w:t>
      </w:r>
    </w:p>
    <w:p w14:paraId="488E69D7">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因发包人原因未按计划开始设计日期开始设计的，发包人应按实际开始设计日期顺延完成设计日期。</w:t>
      </w:r>
    </w:p>
    <w:p w14:paraId="330B04D3">
      <w:pPr>
        <w:pStyle w:val="5"/>
        <w:spacing w:before="26"/>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除专用合同条款对期限另有约定外，设计人应在发生上述情形后 5 天内向发包人发出要求</w:t>
      </w:r>
    </w:p>
    <w:p w14:paraId="755C557C">
      <w:pPr>
        <w:pStyle w:val="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延期的书面通知，在发生该情形后 10 天内提交要求延期的详细说明供发包人审查。除专用合</w:t>
      </w:r>
    </w:p>
    <w:p w14:paraId="3144F533">
      <w:pPr>
        <w:pStyle w:val="5"/>
        <w:spacing w:line="319" w:lineRule="auto"/>
        <w:ind w:right="21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同条款对期限另有约定外，发包人收到设计人要求延期的详细说明后，应在 5 天内进行审查并就是否延长设计周期及延期天数向设计人进行书面答复。</w:t>
      </w:r>
    </w:p>
    <w:p w14:paraId="031C1B53">
      <w:pPr>
        <w:pStyle w:val="5"/>
        <w:spacing w:before="26" w:line="319" w:lineRule="auto"/>
        <w:ind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如果发包人在收到设计人提交要求延期的详细说明后，在约定的期限内未予答复，则视为设计人要求的延期已被发包人批准。如果设计人未能按本款约定的时间内发出要求延期的通知并提交详细资料，则发包人可拒绝作出任何延期的决定。</w:t>
      </w:r>
    </w:p>
    <w:p w14:paraId="0389AB58">
      <w:pPr>
        <w:pStyle w:val="5"/>
        <w:spacing w:before="26"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发包人上述工程设计进度延误情形导致增加了设计工作量的，发包人应当另行支付相应设计费用。</w:t>
      </w:r>
    </w:p>
    <w:p w14:paraId="57CD9806">
      <w:pPr>
        <w:pStyle w:val="11"/>
        <w:numPr>
          <w:ilvl w:val="2"/>
          <w:numId w:val="15"/>
        </w:numPr>
        <w:tabs>
          <w:tab w:val="left" w:pos="1048"/>
        </w:tabs>
        <w:spacing w:before="26"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因设计人原因导致工程设计进度延误</w:t>
      </w:r>
    </w:p>
    <w:p w14:paraId="59B5BB32">
      <w:pPr>
        <w:pStyle w:val="5"/>
        <w:spacing w:line="319" w:lineRule="auto"/>
        <w:ind w:right="203"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因设计人原因导致工程设计进度延误的，设计人应当按照第 14.2 款〔设计人违约责任〕承担责任。设计人支付逾期完成工程设计违约金后，不免除设计人继续完成工程设计的义务。</w:t>
      </w:r>
    </w:p>
    <w:p w14:paraId="4773FD89">
      <w:pPr>
        <w:pStyle w:val="11"/>
        <w:numPr>
          <w:ilvl w:val="1"/>
          <w:numId w:val="16"/>
        </w:numPr>
        <w:tabs>
          <w:tab w:val="left" w:pos="884"/>
        </w:tabs>
        <w:spacing w:before="25"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暂停设计</w:t>
      </w:r>
    </w:p>
    <w:p w14:paraId="0BAC46AC">
      <w:pPr>
        <w:pStyle w:val="11"/>
        <w:numPr>
          <w:ilvl w:val="2"/>
          <w:numId w:val="16"/>
        </w:numPr>
        <w:tabs>
          <w:tab w:val="left" w:pos="1048"/>
        </w:tabs>
        <w:spacing w:before="108"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发包人原因引起的暂停设计</w:t>
      </w:r>
    </w:p>
    <w:p w14:paraId="1D786CCE">
      <w:pPr>
        <w:pStyle w:val="5"/>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因发包人原因引起暂停设计的，发包人应及时下达暂停设计指示。</w:t>
      </w:r>
    </w:p>
    <w:p w14:paraId="570221F9">
      <w:pPr>
        <w:pStyle w:val="5"/>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7"/>
          <w:sz w:val="24"/>
          <w:szCs w:val="24"/>
        </w:rPr>
        <w:t>因发包人原因引起的暂停设计，发包人应承担由此增加的设计费用和</w:t>
      </w:r>
      <w:r>
        <w:rPr>
          <w:rFonts w:hint="eastAsia" w:asciiTheme="minorEastAsia" w:hAnsiTheme="minorEastAsia" w:eastAsiaTheme="minorEastAsia" w:cstheme="minorEastAsia"/>
          <w:color w:val="231F20"/>
          <w:spacing w:val="-5"/>
          <w:sz w:val="24"/>
          <w:szCs w:val="24"/>
        </w:rPr>
        <w:t>（或</w:t>
      </w:r>
      <w:r>
        <w:rPr>
          <w:rFonts w:hint="eastAsia" w:asciiTheme="minorEastAsia" w:hAnsiTheme="minorEastAsia" w:eastAsiaTheme="minorEastAsia" w:cstheme="minorEastAsia"/>
          <w:color w:val="231F20"/>
          <w:spacing w:val="-56"/>
          <w:sz w:val="24"/>
          <w:szCs w:val="24"/>
        </w:rPr>
        <w:t>）</w:t>
      </w:r>
      <w:r>
        <w:rPr>
          <w:rFonts w:hint="eastAsia" w:asciiTheme="minorEastAsia" w:hAnsiTheme="minorEastAsia" w:eastAsiaTheme="minorEastAsia" w:cstheme="minorEastAsia"/>
          <w:color w:val="231F20"/>
          <w:spacing w:val="-5"/>
          <w:sz w:val="24"/>
          <w:szCs w:val="24"/>
        </w:rPr>
        <w:t>延长的设计周期。</w:t>
      </w:r>
    </w:p>
    <w:p w14:paraId="5BE1AFA8">
      <w:pPr>
        <w:pStyle w:val="11"/>
        <w:numPr>
          <w:ilvl w:val="2"/>
          <w:numId w:val="16"/>
        </w:numPr>
        <w:tabs>
          <w:tab w:val="left" w:pos="1048"/>
        </w:tabs>
        <w:spacing w:before="108"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设计人原因引起的暂停设计</w:t>
      </w:r>
    </w:p>
    <w:p w14:paraId="49C01B10">
      <w:pPr>
        <w:pStyle w:val="5"/>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因设计人原因引起的暂停设计，设计人应当尽快向发包人发出书面通知并按第 14.2 款〔设</w:t>
      </w:r>
    </w:p>
    <w:p w14:paraId="76D118B8">
      <w:pPr>
        <w:pStyle w:val="5"/>
        <w:spacing w:before="10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计人违约责任〕承担责任，且设计人在收到发包人复工指示后 15 天内仍未复工的，视为设计</w:t>
      </w:r>
    </w:p>
    <w:p w14:paraId="708936D2">
      <w:pPr>
        <w:pStyle w:val="5"/>
        <w:spacing w:before="10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人无法继续履行合同的情形，设计人应按第 16 条〔合同解除〕的约定承担责任。</w:t>
      </w:r>
    </w:p>
    <w:p w14:paraId="2BEE0208">
      <w:pPr>
        <w:pStyle w:val="11"/>
        <w:numPr>
          <w:ilvl w:val="2"/>
          <w:numId w:val="16"/>
        </w:numPr>
        <w:tabs>
          <w:tab w:val="left" w:pos="1048"/>
        </w:tabs>
        <w:spacing w:before="108"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其他原因引起的暂停设计</w:t>
      </w:r>
    </w:p>
    <w:p w14:paraId="7FB845D7">
      <w:pPr>
        <w:pStyle w:val="5"/>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当出现非设计人原因造成的暂停设计，设计人应当尽快向发包人发出书面通知。</w:t>
      </w:r>
    </w:p>
    <w:p w14:paraId="4C5B5347">
      <w:pPr>
        <w:pStyle w:val="5"/>
        <w:spacing w:before="108"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在上述情形下设计人的设计服务暂停，设计人的设计周期应当相应延长，复工应有发包人与设计人共同确认的合理期限。</w:t>
      </w:r>
    </w:p>
    <w:p w14:paraId="195E0280">
      <w:pPr>
        <w:pStyle w:val="5"/>
        <w:spacing w:before="25"/>
        <w:ind w:left="557"/>
        <w:rPr>
          <w:rFonts w:hint="eastAsia" w:asciiTheme="minorEastAsia" w:hAnsiTheme="minorEastAsia" w:eastAsiaTheme="minorEastAsia" w:cstheme="minorEastAsia"/>
          <w:color w:val="231F20"/>
          <w:spacing w:val="-9"/>
          <w:sz w:val="24"/>
          <w:szCs w:val="24"/>
        </w:rPr>
      </w:pPr>
      <w:r>
        <w:rPr>
          <w:rFonts w:hint="eastAsia" w:asciiTheme="minorEastAsia" w:hAnsiTheme="minorEastAsia" w:eastAsiaTheme="minorEastAsia" w:cstheme="minorEastAsia"/>
          <w:color w:val="231F20"/>
          <w:spacing w:val="-9"/>
          <w:sz w:val="24"/>
          <w:szCs w:val="24"/>
        </w:rPr>
        <w:t>当发生本项约定的情况，导致设计人增加设计工作量的，发包人应当另行支付相应设计费用。</w:t>
      </w:r>
    </w:p>
    <w:p w14:paraId="6A8B3831">
      <w:pPr>
        <w:pStyle w:val="11"/>
        <w:numPr>
          <w:ilvl w:val="2"/>
          <w:numId w:val="16"/>
        </w:numPr>
        <w:tabs>
          <w:tab w:val="left" w:pos="1048"/>
        </w:tabs>
        <w:spacing w:before="24"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暂停设计后的复工</w:t>
      </w:r>
    </w:p>
    <w:p w14:paraId="4DE09CA7">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暂停设计后，发包人和设计人应采取有效措施积极消除暂停设计的影响。当工程具备复工条件时，发包人向设计人发出复工通知，设计人应按照复工通知要求复工。</w:t>
      </w:r>
    </w:p>
    <w:p w14:paraId="02AFFE36">
      <w:pPr>
        <w:pStyle w:val="5"/>
        <w:spacing w:before="25"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除设计人原因导致暂停设计外，设计人暂停设计后复工所增加的设计工作量，发包人应当另行支付相应设计费用。</w:t>
      </w:r>
    </w:p>
    <w:p w14:paraId="1D13E626">
      <w:pPr>
        <w:pStyle w:val="11"/>
        <w:numPr>
          <w:ilvl w:val="1"/>
          <w:numId w:val="16"/>
        </w:numPr>
        <w:tabs>
          <w:tab w:val="left" w:pos="884"/>
        </w:tabs>
        <w:spacing w:before="25"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提前交付工程设计文件</w:t>
      </w:r>
    </w:p>
    <w:p w14:paraId="022B8A8B">
      <w:pPr>
        <w:pStyle w:val="11"/>
        <w:numPr>
          <w:ilvl w:val="2"/>
          <w:numId w:val="16"/>
        </w:numPr>
        <w:tabs>
          <w:tab w:val="left" w:pos="1071"/>
        </w:tabs>
        <w:spacing w:before="109" w:after="0" w:line="319" w:lineRule="auto"/>
        <w:ind w:left="117" w:right="212"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3"/>
          <w:sz w:val="24"/>
          <w:szCs w:val="24"/>
        </w:rPr>
        <w:t>发包人要求设计人提前交付工程设计文件的，发包人应向设计人下达提前交付工程</w:t>
      </w:r>
      <w:r>
        <w:rPr>
          <w:rFonts w:hint="eastAsia" w:asciiTheme="minorEastAsia" w:hAnsiTheme="minorEastAsia" w:eastAsiaTheme="minorEastAsia" w:cstheme="minorEastAsia"/>
          <w:color w:val="231F20"/>
          <w:sz w:val="24"/>
          <w:szCs w:val="24"/>
        </w:rPr>
        <w:t>设计文件指示，设计人应向发包人提交提前交付工程设计文件建议书，提前交付工程设计文件建议书应包括实施的方案、缩短的时间、增加的合同价格等内容。发包人接受该提前交付工程设计文件建议书的，发包人和设计人协商采取加快工程设计进度的措施，并修订工程设计进度计划，由此增加的设计费用由发包人承担。设计人认为提前交付工程设计文件的指示无法执行的，应向发包人提出书面异议，发包人应在收到异议后 7 天内予以答复。任何情况下，发包人不得压缩合理设计周期。</w:t>
      </w:r>
    </w:p>
    <w:p w14:paraId="66BD9680">
      <w:pPr>
        <w:pStyle w:val="11"/>
        <w:numPr>
          <w:ilvl w:val="2"/>
          <w:numId w:val="16"/>
        </w:numPr>
        <w:tabs>
          <w:tab w:val="left" w:pos="1049"/>
        </w:tabs>
        <w:spacing w:before="26" w:after="0" w:line="319" w:lineRule="auto"/>
        <w:ind w:left="117"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发包人要求设计人提前交付工程设计文件，或设计人提出提前交付工程设计文件的建议能够给发包人带来效益的，合同当事人可以在专用合同条款中约定提前交付工程设计文件的奖励。</w:t>
      </w:r>
    </w:p>
    <w:p w14:paraId="2931DF6C">
      <w:pPr>
        <w:pStyle w:val="11"/>
        <w:numPr>
          <w:ilvl w:val="0"/>
          <w:numId w:val="4"/>
        </w:numPr>
        <w:tabs>
          <w:tab w:val="left" w:pos="362"/>
        </w:tabs>
        <w:spacing w:before="20"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工程设计文件交付</w:t>
      </w:r>
    </w:p>
    <w:p w14:paraId="43F9EBC5">
      <w:pPr>
        <w:pStyle w:val="11"/>
        <w:numPr>
          <w:ilvl w:val="1"/>
          <w:numId w:val="4"/>
        </w:numPr>
        <w:tabs>
          <w:tab w:val="left" w:pos="884"/>
        </w:tabs>
        <w:spacing w:before="122"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工程设计文件交付的内容</w:t>
      </w:r>
    </w:p>
    <w:p w14:paraId="6B2BD46D">
      <w:pPr>
        <w:pStyle w:val="11"/>
        <w:numPr>
          <w:ilvl w:val="2"/>
          <w:numId w:val="4"/>
        </w:numPr>
        <w:tabs>
          <w:tab w:val="left" w:pos="1048"/>
        </w:tabs>
        <w:spacing w:before="109"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工程设计图纸及设计说明。</w:t>
      </w:r>
    </w:p>
    <w:p w14:paraId="5C8FA32F">
      <w:pPr>
        <w:pStyle w:val="11"/>
        <w:numPr>
          <w:ilvl w:val="2"/>
          <w:numId w:val="4"/>
        </w:numPr>
        <w:tabs>
          <w:tab w:val="left" w:pos="1048"/>
        </w:tabs>
        <w:spacing w:before="109"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发包人可以要求设计人提交专用合同条款约定的具体形式的电子版设计文件。</w:t>
      </w:r>
    </w:p>
    <w:p w14:paraId="6FF0A625">
      <w:pPr>
        <w:pStyle w:val="11"/>
        <w:numPr>
          <w:ilvl w:val="1"/>
          <w:numId w:val="17"/>
        </w:numPr>
        <w:tabs>
          <w:tab w:val="left" w:pos="884"/>
        </w:tabs>
        <w:spacing w:before="109"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工程设计文件的交付方式</w:t>
      </w:r>
    </w:p>
    <w:p w14:paraId="6878A44A">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设计人交付工程设计文件给发包人，发包人应当出具书面签收单，内容包括图纸名称、图纸内容、图纸形式、份数、提交和签收日期、提交人与接收人的亲笔签名。</w:t>
      </w:r>
    </w:p>
    <w:p w14:paraId="5E18FAE4">
      <w:pPr>
        <w:pStyle w:val="11"/>
        <w:numPr>
          <w:ilvl w:val="1"/>
          <w:numId w:val="17"/>
        </w:numPr>
        <w:tabs>
          <w:tab w:val="left" w:pos="884"/>
        </w:tabs>
        <w:spacing w:before="25"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工程设计文件交付的时间和份数</w:t>
      </w:r>
    </w:p>
    <w:p w14:paraId="23C12C03">
      <w:pPr>
        <w:pStyle w:val="5"/>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工程设计文件交付的名称、时间和份数在专用合同条款附件 3 中约定。</w:t>
      </w:r>
    </w:p>
    <w:p w14:paraId="49348AC4">
      <w:pPr>
        <w:pStyle w:val="11"/>
        <w:numPr>
          <w:ilvl w:val="0"/>
          <w:numId w:val="4"/>
        </w:numPr>
        <w:tabs>
          <w:tab w:val="left" w:pos="362"/>
        </w:tabs>
        <w:spacing w:before="102"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工程设计文件审查</w:t>
      </w:r>
    </w:p>
    <w:p w14:paraId="7097FA35">
      <w:pPr>
        <w:pStyle w:val="11"/>
        <w:numPr>
          <w:ilvl w:val="1"/>
          <w:numId w:val="4"/>
        </w:numPr>
        <w:tabs>
          <w:tab w:val="left" w:pos="903"/>
        </w:tabs>
        <w:spacing w:before="121" w:after="0" w:line="319" w:lineRule="auto"/>
        <w:ind w:left="117" w:right="102"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设计人的工程设计文件应报发包人审查同意。审查的范围和内容在发包人要求中约定。审查的具体标准应符合法律规定、技术标准要求和本合同约定。</w:t>
      </w:r>
    </w:p>
    <w:p w14:paraId="2DAE10EA">
      <w:pPr>
        <w:pStyle w:val="5"/>
        <w:spacing w:before="25"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除专用合同条款对期限另有约定外，自发包人收到设计人的工程设计文件以及设计人的通知之日起，发包人对设计人的工程设计文件审查期不超过 15 天。</w:t>
      </w:r>
    </w:p>
    <w:p w14:paraId="4689E09F">
      <w:pPr>
        <w:pStyle w:val="5"/>
        <w:spacing w:before="24" w:line="319" w:lineRule="auto"/>
        <w:ind w:right="21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发包人不同意工程设计文件的，应以书面形式通知设计人，并说明不符合合同要求的具体内容。设计人应根据发包人的书面说明，对工程设计文件进行修改后重新报送发包人审查，审查期重新起算。</w:t>
      </w:r>
    </w:p>
    <w:p w14:paraId="52F5BAEB">
      <w:pPr>
        <w:pStyle w:val="5"/>
        <w:spacing w:before="26" w:line="319" w:lineRule="auto"/>
        <w:ind w:right="217"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合同约定的审查期满，发包人没有做出审查结论也没有提出异议的，视为设计人的工程设计文件已获发包人同意。</w:t>
      </w:r>
    </w:p>
    <w:p w14:paraId="15F9D159">
      <w:pPr>
        <w:pStyle w:val="11"/>
        <w:numPr>
          <w:ilvl w:val="1"/>
          <w:numId w:val="4"/>
        </w:numPr>
        <w:tabs>
          <w:tab w:val="left" w:pos="906"/>
        </w:tabs>
        <w:spacing w:before="26" w:after="0" w:line="319" w:lineRule="auto"/>
        <w:ind w:left="117" w:right="2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0"/>
          <w:sz w:val="24"/>
          <w:szCs w:val="24"/>
        </w:rPr>
        <w:t>设计人的工程设计文件不需要政府有关部门审查或批准的，设计人应当严格按照经发包人审查同意的工程设计文件进行修改，如果发包人的修改意见超出或更改了发包人要求，发</w:t>
      </w:r>
      <w:r>
        <w:rPr>
          <w:rFonts w:hint="eastAsia" w:asciiTheme="minorEastAsia" w:hAnsiTheme="minorEastAsia" w:eastAsiaTheme="minorEastAsia" w:cstheme="minorEastAsia"/>
          <w:color w:val="231F20"/>
          <w:sz w:val="24"/>
          <w:szCs w:val="24"/>
        </w:rPr>
        <w:t>包人应当根据第 11</w:t>
      </w:r>
      <w:r>
        <w:rPr>
          <w:rFonts w:hint="eastAsia" w:asciiTheme="minorEastAsia" w:hAnsiTheme="minorEastAsia" w:eastAsiaTheme="minorEastAsia" w:cstheme="minorEastAsia"/>
          <w:color w:val="231F20"/>
          <w:spacing w:val="-1"/>
          <w:sz w:val="24"/>
          <w:szCs w:val="24"/>
        </w:rPr>
        <w:t xml:space="preserve"> 条〔工程设计变更与索赔〕的约定，向设计人另行支付费用。</w:t>
      </w:r>
    </w:p>
    <w:p w14:paraId="58E792BC">
      <w:pPr>
        <w:pStyle w:val="11"/>
        <w:numPr>
          <w:ilvl w:val="1"/>
          <w:numId w:val="4"/>
        </w:numPr>
        <w:tabs>
          <w:tab w:val="left" w:pos="904"/>
        </w:tabs>
        <w:spacing w:before="26" w:after="0" w:line="319" w:lineRule="auto"/>
        <w:ind w:left="117" w:right="220"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4"/>
          <w:sz w:val="24"/>
          <w:szCs w:val="24"/>
        </w:rPr>
        <w:t>工程设计文件需政府有关部门审查或批准的，发包人应在审查同意设计人的工程设计文</w:t>
      </w:r>
      <w:r>
        <w:rPr>
          <w:rFonts w:hint="eastAsia" w:asciiTheme="minorEastAsia" w:hAnsiTheme="minorEastAsia" w:eastAsiaTheme="minorEastAsia" w:cstheme="minorEastAsia"/>
          <w:color w:val="231F20"/>
          <w:spacing w:val="-5"/>
          <w:sz w:val="24"/>
          <w:szCs w:val="24"/>
        </w:rPr>
        <w:t>件后在专用合同条款约定的期限内，向政府有关部门报送工程设计文件，设计人应予以协助。</w:t>
      </w:r>
    </w:p>
    <w:p w14:paraId="66F7CB74">
      <w:pPr>
        <w:pStyle w:val="5"/>
        <w:spacing w:before="26" w:line="319" w:lineRule="auto"/>
        <w:ind w:right="209"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对于政府有关部门的审查意见，不需要修改发包人要求的，设计人需按该审查意见修改设</w:t>
      </w:r>
      <w:r>
        <w:rPr>
          <w:rFonts w:hint="eastAsia" w:asciiTheme="minorEastAsia" w:hAnsiTheme="minorEastAsia" w:eastAsiaTheme="minorEastAsia" w:cstheme="minorEastAsia"/>
          <w:color w:val="231F20"/>
          <w:spacing w:val="-6"/>
          <w:sz w:val="24"/>
          <w:szCs w:val="24"/>
        </w:rPr>
        <w:t>计人的工程设计文件；需要修改发包人要求的，发包人应重新提出发包人要求，设计人应根据</w:t>
      </w:r>
      <w:r>
        <w:rPr>
          <w:rFonts w:hint="eastAsia" w:asciiTheme="minorEastAsia" w:hAnsiTheme="minorEastAsia" w:eastAsiaTheme="minorEastAsia" w:cstheme="minorEastAsia"/>
          <w:color w:val="231F20"/>
          <w:spacing w:val="0"/>
          <w:sz w:val="24"/>
          <w:szCs w:val="24"/>
        </w:rPr>
        <w:t xml:space="preserve">新提出的发包人要求修改设计人的工程设计文件，发包人应当根据第 </w:t>
      </w:r>
      <w:r>
        <w:rPr>
          <w:rFonts w:hint="eastAsia" w:asciiTheme="minorEastAsia" w:hAnsiTheme="minorEastAsia" w:eastAsiaTheme="minorEastAsia" w:cstheme="minorEastAsia"/>
          <w:color w:val="231F20"/>
          <w:sz w:val="24"/>
          <w:szCs w:val="24"/>
        </w:rPr>
        <w:t>11</w:t>
      </w:r>
      <w:r>
        <w:rPr>
          <w:rFonts w:hint="eastAsia" w:asciiTheme="minorEastAsia" w:hAnsiTheme="minorEastAsia" w:eastAsiaTheme="minorEastAsia" w:cstheme="minorEastAsia"/>
          <w:color w:val="231F20"/>
          <w:spacing w:val="2"/>
          <w:sz w:val="24"/>
          <w:szCs w:val="24"/>
        </w:rPr>
        <w:t xml:space="preserve"> 条〔工程设计变更与</w:t>
      </w:r>
      <w:r>
        <w:rPr>
          <w:rFonts w:hint="eastAsia" w:asciiTheme="minorEastAsia" w:hAnsiTheme="minorEastAsia" w:eastAsiaTheme="minorEastAsia" w:cstheme="minorEastAsia"/>
          <w:color w:val="231F20"/>
          <w:sz w:val="24"/>
          <w:szCs w:val="24"/>
        </w:rPr>
        <w:t>索赔〕的约定，向设计人另行支付费用。</w:t>
      </w:r>
    </w:p>
    <w:p w14:paraId="20F50FE0">
      <w:pPr>
        <w:pStyle w:val="11"/>
        <w:numPr>
          <w:ilvl w:val="1"/>
          <w:numId w:val="4"/>
        </w:numPr>
        <w:tabs>
          <w:tab w:val="left" w:pos="906"/>
        </w:tabs>
        <w:spacing w:before="26" w:after="0" w:line="319" w:lineRule="auto"/>
        <w:ind w:left="117" w:right="215"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0"/>
          <w:sz w:val="24"/>
          <w:szCs w:val="24"/>
        </w:rPr>
        <w:t>发包人需要组织审查会议对工程设计文件进行审查的，审查会议的审查形式和时间安排，在专用合同条款中约定。发包人负责组织工程设计文件审查会议，并承担会议费用及发包人的上级单位、政府有关部门参加的审查会议的费用。</w:t>
      </w:r>
    </w:p>
    <w:p w14:paraId="6CE0ED99">
      <w:pPr>
        <w:pStyle w:val="5"/>
        <w:spacing w:before="26" w:line="319" w:lineRule="auto"/>
        <w:ind w:right="22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4"/>
          <w:sz w:val="24"/>
          <w:szCs w:val="24"/>
        </w:rPr>
        <w:t xml:space="preserve">设计人按第 </w:t>
      </w:r>
      <w:r>
        <w:rPr>
          <w:rFonts w:hint="eastAsia" w:asciiTheme="minorEastAsia" w:hAnsiTheme="minorEastAsia" w:eastAsiaTheme="minorEastAsia" w:cstheme="minorEastAsia"/>
          <w:color w:val="231F20"/>
          <w:sz w:val="24"/>
          <w:szCs w:val="24"/>
        </w:rPr>
        <w:t>7</w:t>
      </w:r>
      <w:r>
        <w:rPr>
          <w:rFonts w:hint="eastAsia" w:asciiTheme="minorEastAsia" w:hAnsiTheme="minorEastAsia" w:eastAsiaTheme="minorEastAsia" w:cstheme="minorEastAsia"/>
          <w:color w:val="231F20"/>
          <w:spacing w:val="-5"/>
          <w:sz w:val="24"/>
          <w:szCs w:val="24"/>
        </w:rPr>
        <w:t xml:space="preserve"> 条〔工程设计文件交付〕的约定向发包人提交工程设计文件，有义务参加发包人组织的设计审查会议，向审查者介绍、解答、解释其工程设计文件，并提供有关补充资料。</w:t>
      </w:r>
    </w:p>
    <w:p w14:paraId="734A2C1F">
      <w:pPr>
        <w:pStyle w:val="5"/>
        <w:spacing w:before="26" w:line="319" w:lineRule="auto"/>
        <w:ind w:right="186"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11"/>
          <w:sz w:val="24"/>
          <w:szCs w:val="24"/>
        </w:rPr>
        <w:t>发包人有义务向设计人提供设计审查会议的批准文件和纪要。设计人有义务按照相关设计审查</w:t>
      </w:r>
      <w:r>
        <w:rPr>
          <w:rFonts w:hint="eastAsia" w:asciiTheme="minorEastAsia" w:hAnsiTheme="minorEastAsia" w:eastAsiaTheme="minorEastAsia" w:cstheme="minorEastAsia"/>
          <w:color w:val="231F20"/>
          <w:spacing w:val="-14"/>
          <w:sz w:val="24"/>
          <w:szCs w:val="24"/>
        </w:rPr>
        <w:t>会议批准的文件和纪要，并依据合同约定及相关技术标准，对工程设计文件进行修改、补充和完善。</w:t>
      </w:r>
    </w:p>
    <w:p w14:paraId="42C85CA1">
      <w:pPr>
        <w:pStyle w:val="11"/>
        <w:numPr>
          <w:ilvl w:val="1"/>
          <w:numId w:val="4"/>
        </w:numPr>
        <w:tabs>
          <w:tab w:val="left" w:pos="907"/>
        </w:tabs>
        <w:spacing w:before="26" w:after="0" w:line="319" w:lineRule="auto"/>
        <w:ind w:left="117" w:right="210"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1"/>
          <w:sz w:val="24"/>
          <w:szCs w:val="24"/>
        </w:rPr>
        <w:t xml:space="preserve">因设计人原因，未能按第 </w:t>
      </w:r>
      <w:r>
        <w:rPr>
          <w:rFonts w:hint="eastAsia" w:asciiTheme="minorEastAsia" w:hAnsiTheme="minorEastAsia" w:eastAsiaTheme="minorEastAsia" w:cstheme="minorEastAsia"/>
          <w:color w:val="231F20"/>
          <w:sz w:val="24"/>
          <w:szCs w:val="24"/>
        </w:rPr>
        <w:t>7</w:t>
      </w:r>
      <w:r>
        <w:rPr>
          <w:rFonts w:hint="eastAsia" w:asciiTheme="minorEastAsia" w:hAnsiTheme="minorEastAsia" w:eastAsiaTheme="minorEastAsia" w:cstheme="minorEastAsia"/>
          <w:color w:val="231F20"/>
          <w:spacing w:val="2"/>
          <w:sz w:val="24"/>
          <w:szCs w:val="24"/>
        </w:rPr>
        <w:t xml:space="preserve"> 条〔工程设计文件交付〕约定的时间向发包人提交工程设</w:t>
      </w:r>
      <w:r>
        <w:rPr>
          <w:rFonts w:hint="eastAsia" w:asciiTheme="minorEastAsia" w:hAnsiTheme="minorEastAsia" w:eastAsiaTheme="minorEastAsia" w:cstheme="minorEastAsia"/>
          <w:color w:val="231F20"/>
          <w:sz w:val="24"/>
          <w:szCs w:val="24"/>
        </w:rPr>
        <w:t>计文件，致使工程设计文件审查无法进行或无法按期进行，造成设计周期延长、窝工损失及发</w:t>
      </w:r>
      <w:r>
        <w:rPr>
          <w:rFonts w:hint="eastAsia" w:asciiTheme="minorEastAsia" w:hAnsiTheme="minorEastAsia" w:eastAsiaTheme="minorEastAsia" w:cstheme="minorEastAsia"/>
          <w:color w:val="231F20"/>
          <w:spacing w:val="-1"/>
          <w:sz w:val="24"/>
          <w:szCs w:val="24"/>
        </w:rPr>
        <w:t xml:space="preserve">包人增加费用的，设计人应按第 </w:t>
      </w:r>
      <w:r>
        <w:rPr>
          <w:rFonts w:hint="eastAsia" w:asciiTheme="minorEastAsia" w:hAnsiTheme="minorEastAsia" w:eastAsiaTheme="minorEastAsia" w:cstheme="minorEastAsia"/>
          <w:color w:val="231F20"/>
          <w:sz w:val="24"/>
          <w:szCs w:val="24"/>
        </w:rPr>
        <w:t>14.2</w:t>
      </w:r>
      <w:r>
        <w:rPr>
          <w:rFonts w:hint="eastAsia" w:asciiTheme="minorEastAsia" w:hAnsiTheme="minorEastAsia" w:eastAsiaTheme="minorEastAsia" w:cstheme="minorEastAsia"/>
          <w:color w:val="231F20"/>
          <w:spacing w:val="-1"/>
          <w:sz w:val="24"/>
          <w:szCs w:val="24"/>
        </w:rPr>
        <w:t xml:space="preserve"> 款〔设计人违约责任〕的约定承担责任。</w:t>
      </w:r>
    </w:p>
    <w:p w14:paraId="38682BB7">
      <w:pPr>
        <w:pStyle w:val="5"/>
        <w:spacing w:before="26" w:line="319" w:lineRule="auto"/>
        <w:ind w:right="210"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因发包人原因，致使工程设计文件审查无法进行或无法按期进行，造成设计周期延长、窝工损失及设计人增加的费用，由发包人承担。</w:t>
      </w:r>
    </w:p>
    <w:p w14:paraId="51A7181C">
      <w:pPr>
        <w:pStyle w:val="11"/>
        <w:numPr>
          <w:ilvl w:val="1"/>
          <w:numId w:val="4"/>
        </w:numPr>
        <w:tabs>
          <w:tab w:val="left" w:pos="906"/>
        </w:tabs>
        <w:spacing w:before="26" w:after="0" w:line="319" w:lineRule="auto"/>
        <w:ind w:left="117" w:right="104"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0"/>
          <w:sz w:val="24"/>
          <w:szCs w:val="24"/>
        </w:rPr>
        <w:t>因设计人原因造成工程设计文件不合格致使工程设计文件审查无法通过的，发包人有权要求设计人采取补救措施，直至达到合同要求的质量标准，并按第</w:t>
      </w:r>
      <w:r>
        <w:rPr>
          <w:rFonts w:hint="eastAsia" w:asciiTheme="minorEastAsia" w:hAnsiTheme="minorEastAsia" w:eastAsiaTheme="minorEastAsia" w:cstheme="minorEastAsia"/>
          <w:color w:val="231F20"/>
          <w:sz w:val="24"/>
          <w:szCs w:val="24"/>
        </w:rPr>
        <w:t>14.2</w:t>
      </w:r>
      <w:r>
        <w:rPr>
          <w:rFonts w:hint="eastAsia" w:asciiTheme="minorEastAsia" w:hAnsiTheme="minorEastAsia" w:eastAsiaTheme="minorEastAsia" w:cstheme="minorEastAsia"/>
          <w:color w:val="231F20"/>
          <w:spacing w:val="-10"/>
          <w:sz w:val="24"/>
          <w:szCs w:val="24"/>
        </w:rPr>
        <w:t xml:space="preserve"> 款〔设计人违约责任〕的约定承担责任。</w:t>
      </w:r>
    </w:p>
    <w:p w14:paraId="3622A1AB">
      <w:pPr>
        <w:pStyle w:val="5"/>
        <w:spacing w:before="26" w:line="319" w:lineRule="auto"/>
        <w:ind w:right="216"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因发包人原因造成工程设计文件不合格致使工程设计文件审查无法通过的，由此增加的设计费用和（或）延长的设计周期由发包人承担。</w:t>
      </w:r>
    </w:p>
    <w:p w14:paraId="4D01A24B">
      <w:pPr>
        <w:pStyle w:val="11"/>
        <w:numPr>
          <w:ilvl w:val="1"/>
          <w:numId w:val="4"/>
        </w:numPr>
        <w:tabs>
          <w:tab w:val="left" w:pos="884"/>
        </w:tabs>
        <w:spacing w:before="26"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工程设计文件的审查，不减轻或免除设计人依据法律应当承担的责任。</w:t>
      </w:r>
    </w:p>
    <w:p w14:paraId="409890C7">
      <w:pPr>
        <w:pStyle w:val="11"/>
        <w:numPr>
          <w:ilvl w:val="0"/>
          <w:numId w:val="4"/>
        </w:numPr>
        <w:tabs>
          <w:tab w:val="left" w:pos="362"/>
        </w:tabs>
        <w:spacing w:before="18"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施工现场配合服务</w:t>
      </w:r>
    </w:p>
    <w:p w14:paraId="67EC8250">
      <w:pPr>
        <w:pStyle w:val="11"/>
        <w:numPr>
          <w:ilvl w:val="1"/>
          <w:numId w:val="4"/>
        </w:numPr>
        <w:tabs>
          <w:tab w:val="left" w:pos="906"/>
        </w:tabs>
        <w:spacing w:before="122" w:after="0" w:line="319" w:lineRule="auto"/>
        <w:ind w:left="117" w:right="211"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0"/>
          <w:sz w:val="24"/>
          <w:szCs w:val="24"/>
        </w:rPr>
        <w:t>除专用合同条款另有约定外，发包人应为设计人派赴现场的工作人员提供工作、生活</w:t>
      </w:r>
      <w:r>
        <w:rPr>
          <w:rFonts w:hint="eastAsia" w:asciiTheme="minorEastAsia" w:hAnsiTheme="minorEastAsia" w:eastAsiaTheme="minorEastAsia" w:cstheme="minorEastAsia"/>
          <w:color w:val="231F20"/>
          <w:sz w:val="24"/>
          <w:szCs w:val="24"/>
        </w:rPr>
        <w:t>及交通等方面的便利条件。</w:t>
      </w:r>
    </w:p>
    <w:p w14:paraId="0EBB39D6">
      <w:pPr>
        <w:pStyle w:val="11"/>
        <w:numPr>
          <w:ilvl w:val="1"/>
          <w:numId w:val="4"/>
        </w:numPr>
        <w:tabs>
          <w:tab w:val="left" w:pos="906"/>
        </w:tabs>
        <w:spacing w:before="25" w:after="0" w:line="319" w:lineRule="auto"/>
        <w:ind w:left="117" w:right="211"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0"/>
          <w:sz w:val="24"/>
          <w:szCs w:val="24"/>
        </w:rPr>
        <w:t>设计人应当提供设计技术交底、解决施工中设计技术问题和竣工验收服务。如果发包</w:t>
      </w:r>
      <w:r>
        <w:rPr>
          <w:rFonts w:hint="eastAsia" w:asciiTheme="minorEastAsia" w:hAnsiTheme="minorEastAsia" w:eastAsiaTheme="minorEastAsia" w:cstheme="minorEastAsia"/>
          <w:color w:val="231F20"/>
          <w:sz w:val="24"/>
          <w:szCs w:val="24"/>
        </w:rPr>
        <w:t>人在专用合同条款约定的施工现场服务时限外仍要求设计人负责上述工作的，发包人应按所需工作量向设计人另行支付服务费用。</w:t>
      </w:r>
    </w:p>
    <w:p w14:paraId="507A19B3">
      <w:pPr>
        <w:pStyle w:val="11"/>
        <w:numPr>
          <w:ilvl w:val="0"/>
          <w:numId w:val="4"/>
        </w:numPr>
        <w:tabs>
          <w:tab w:val="left" w:pos="484"/>
        </w:tabs>
        <w:spacing w:before="19" w:after="0" w:line="240" w:lineRule="auto"/>
        <w:ind w:left="483" w:right="0" w:hanging="36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合同价款与支付</w:t>
      </w:r>
    </w:p>
    <w:p w14:paraId="618ED6BF">
      <w:pPr>
        <w:pStyle w:val="11"/>
        <w:numPr>
          <w:ilvl w:val="1"/>
          <w:numId w:val="4"/>
        </w:numPr>
        <w:tabs>
          <w:tab w:val="left" w:pos="993"/>
        </w:tabs>
        <w:spacing w:before="122"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合同价款组成</w:t>
      </w:r>
    </w:p>
    <w:p w14:paraId="6B7C321B">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发包人和设计人应当在专用合同条款附件 6 中明确约定合同价款各组成部分的具体数额， 主要包括：</w:t>
      </w:r>
    </w:p>
    <w:p w14:paraId="4FE07074">
      <w:pPr>
        <w:pStyle w:val="5"/>
        <w:spacing w:before="2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1）工程设计基本服务费用；</w:t>
      </w:r>
    </w:p>
    <w:p w14:paraId="56B33185">
      <w:pPr>
        <w:pStyle w:val="5"/>
        <w:spacing w:before="108"/>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2）工程设计其他服务费用；</w:t>
      </w:r>
    </w:p>
    <w:p w14:paraId="729E54D2">
      <w:pPr>
        <w:pStyle w:val="5"/>
        <w:spacing w:before="108" w:line="319" w:lineRule="auto"/>
        <w:ind w:right="199" w:firstLine="3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3）在未签订合同前发包人已经同意或接受或已经使用的设计人为发包人所做的各项工作的相应费用等。</w:t>
      </w:r>
    </w:p>
    <w:p w14:paraId="29675666">
      <w:pPr>
        <w:pStyle w:val="11"/>
        <w:numPr>
          <w:ilvl w:val="1"/>
          <w:numId w:val="4"/>
        </w:numPr>
        <w:tabs>
          <w:tab w:val="left" w:pos="993"/>
        </w:tabs>
        <w:spacing w:before="25"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合同价格形式</w:t>
      </w:r>
    </w:p>
    <w:p w14:paraId="1F684BF1">
      <w:pPr>
        <w:pStyle w:val="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发包人和设计人应在合同协议书中选择下列一种合同价格形式：</w:t>
      </w:r>
    </w:p>
    <w:p w14:paraId="20B8F5E3">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1）单价合同</w:t>
      </w:r>
    </w:p>
    <w:p w14:paraId="2528F096">
      <w:pPr>
        <w:pStyle w:val="5"/>
        <w:spacing w:line="319" w:lineRule="auto"/>
        <w:ind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单价合同是指合同当事人约定以建筑面积（包括地上建筑面积和地下建筑面积）每平方米单价或实际投资总额的一定比例等进行合同价格计算、调整和确认的建设工程设计合同，在约定的范围内合同单价不作调整。合同当事人应在专用合同条款中约定单价包含的风险范围和风险费用的计算方法，并约定风险范围以外的合同价格的调整方法。</w:t>
      </w:r>
    </w:p>
    <w:p w14:paraId="67994C30">
      <w:pPr>
        <w:pStyle w:val="5"/>
        <w:spacing w:before="26"/>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2）总价合同</w:t>
      </w:r>
    </w:p>
    <w:p w14:paraId="65388BA2">
      <w:pPr>
        <w:pStyle w:val="5"/>
        <w:spacing w:line="319" w:lineRule="auto"/>
        <w:ind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总价合同是指合同当事人约定以发包人提供的上一阶段工程设计文件及有关条件进行合同价格计算、调整和确认的建设工程设计合同，在约定的范围内合同总价不作调整。合同当事人应在专用合同条款中约定总价包含的风险范围和风险费用的计算方法，并约定风险范围以外的合同价格的调整方法。</w:t>
      </w:r>
    </w:p>
    <w:p w14:paraId="10B5EFB9">
      <w:pPr>
        <w:pStyle w:val="5"/>
        <w:spacing w:before="2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3）其它价格形式</w:t>
      </w:r>
    </w:p>
    <w:p w14:paraId="77D8CF38">
      <w:pPr>
        <w:pStyle w:val="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合同当事人可在专用合同条款中约定其他合同价格形式。</w:t>
      </w:r>
    </w:p>
    <w:p w14:paraId="3A49D7E1">
      <w:pPr>
        <w:pStyle w:val="11"/>
        <w:numPr>
          <w:ilvl w:val="1"/>
          <w:numId w:val="4"/>
        </w:numPr>
        <w:tabs>
          <w:tab w:val="left" w:pos="993"/>
        </w:tabs>
        <w:spacing w:before="109"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定金或预付款</w:t>
      </w:r>
    </w:p>
    <w:p w14:paraId="4BFB6BA6">
      <w:pPr>
        <w:pStyle w:val="11"/>
        <w:numPr>
          <w:ilvl w:val="2"/>
          <w:numId w:val="4"/>
        </w:numPr>
        <w:tabs>
          <w:tab w:val="left" w:pos="1157"/>
        </w:tabs>
        <w:spacing w:before="109" w:after="0" w:line="240" w:lineRule="auto"/>
        <w:ind w:left="1156" w:right="0" w:hanging="59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定金或预付款的比例</w:t>
      </w:r>
    </w:p>
    <w:p w14:paraId="4E6DA293">
      <w:pPr>
        <w:pStyle w:val="5"/>
        <w:spacing w:before="2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定金的比例不应超过合同总价款的 20%。预付款的比例由发包人与设计人协商确定，一般不低于合同总价款的 20%。</w:t>
      </w:r>
    </w:p>
    <w:p w14:paraId="420FB22A">
      <w:pPr>
        <w:pStyle w:val="11"/>
        <w:numPr>
          <w:ilvl w:val="2"/>
          <w:numId w:val="4"/>
        </w:numPr>
        <w:tabs>
          <w:tab w:val="left" w:pos="1157"/>
        </w:tabs>
        <w:spacing w:before="109" w:after="0" w:line="240" w:lineRule="auto"/>
        <w:ind w:left="1156" w:right="0" w:hanging="59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定金或预付款的支付</w:t>
      </w:r>
    </w:p>
    <w:p w14:paraId="74F032D5">
      <w:pPr>
        <w:pStyle w:val="5"/>
        <w:spacing w:line="319" w:lineRule="auto"/>
        <w:ind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定金或预付款的支付按照专用合同条款约定执行，但最迟应在开始设计通知载明的开始设计日期前专用合同条款约定的期限内支付。</w:t>
      </w:r>
    </w:p>
    <w:p w14:paraId="60C03F8F">
      <w:pPr>
        <w:pStyle w:val="5"/>
        <w:spacing w:before="26" w:line="319" w:lineRule="auto"/>
        <w:ind w:right="116"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发包人逾期支付定金或预付款超过专用合同条款约定的期限的，设计人有权向发包人发出要求支付定金或预付款的催告通知，发包人收到通知后 7 天内仍未支付的，设计人有权不开始设计工作或暂停设计工作。</w:t>
      </w:r>
    </w:p>
    <w:p w14:paraId="700F88F2">
      <w:pPr>
        <w:pStyle w:val="11"/>
        <w:numPr>
          <w:ilvl w:val="1"/>
          <w:numId w:val="18"/>
        </w:numPr>
        <w:tabs>
          <w:tab w:val="left" w:pos="993"/>
        </w:tabs>
        <w:spacing w:before="26"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进度款支付</w:t>
      </w:r>
    </w:p>
    <w:p w14:paraId="48BC6520">
      <w:pPr>
        <w:pStyle w:val="11"/>
        <w:numPr>
          <w:ilvl w:val="2"/>
          <w:numId w:val="18"/>
        </w:numPr>
        <w:tabs>
          <w:tab w:val="left" w:pos="1157"/>
        </w:tabs>
        <w:spacing w:before="109" w:after="0" w:line="240" w:lineRule="auto"/>
        <w:ind w:left="1156" w:right="0" w:hanging="59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发包人应当按照专用合同条款附件 6 约定的付款条件及时向设计人支付进度款。</w:t>
      </w:r>
    </w:p>
    <w:p w14:paraId="2F3F6AE1">
      <w:pPr>
        <w:pStyle w:val="11"/>
        <w:numPr>
          <w:ilvl w:val="2"/>
          <w:numId w:val="18"/>
        </w:numPr>
        <w:tabs>
          <w:tab w:val="left" w:pos="1157"/>
        </w:tabs>
        <w:spacing w:before="109" w:after="0" w:line="240" w:lineRule="auto"/>
        <w:ind w:left="1156" w:right="0" w:hanging="59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进度付款的修正</w:t>
      </w:r>
    </w:p>
    <w:p w14:paraId="0D434DC7">
      <w:pPr>
        <w:pStyle w:val="5"/>
        <w:spacing w:line="319" w:lineRule="auto"/>
        <w:ind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在对已付进度款进行汇总和复核中发现错误、遗漏或重复的，发包人和设计人均有权提出修正申请。经发包人和设计人同意的修正，应在下期进度付款中支付或扣除。</w:t>
      </w:r>
    </w:p>
    <w:p w14:paraId="1DFD05D8">
      <w:pPr>
        <w:pStyle w:val="11"/>
        <w:numPr>
          <w:ilvl w:val="1"/>
          <w:numId w:val="19"/>
        </w:numPr>
        <w:tabs>
          <w:tab w:val="left" w:pos="993"/>
        </w:tabs>
        <w:spacing w:before="25"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合同价款的结算与支付</w:t>
      </w:r>
    </w:p>
    <w:p w14:paraId="6BC71CBB">
      <w:pPr>
        <w:pStyle w:val="11"/>
        <w:numPr>
          <w:ilvl w:val="2"/>
          <w:numId w:val="19"/>
        </w:numPr>
        <w:tabs>
          <w:tab w:val="left" w:pos="1178"/>
        </w:tabs>
        <w:spacing w:before="108" w:after="0" w:line="319" w:lineRule="auto"/>
        <w:ind w:left="117" w:right="111"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对于采取固定总价形式的合同，发包人应当按照专用合同条款附件 6</w:t>
      </w:r>
      <w:r>
        <w:rPr>
          <w:rFonts w:hint="eastAsia" w:asciiTheme="minorEastAsia" w:hAnsiTheme="minorEastAsia" w:eastAsiaTheme="minorEastAsia" w:cstheme="minorEastAsia"/>
          <w:color w:val="231F20"/>
          <w:spacing w:val="1"/>
          <w:sz w:val="24"/>
          <w:szCs w:val="24"/>
        </w:rPr>
        <w:t xml:space="preserve"> 的约定及时支付尾款。</w:t>
      </w:r>
    </w:p>
    <w:p w14:paraId="469FD355">
      <w:pPr>
        <w:pStyle w:val="11"/>
        <w:numPr>
          <w:ilvl w:val="2"/>
          <w:numId w:val="19"/>
        </w:numPr>
        <w:tabs>
          <w:tab w:val="left" w:pos="1178"/>
        </w:tabs>
        <w:spacing w:before="25" w:after="0" w:line="319" w:lineRule="auto"/>
        <w:ind w:left="117" w:right="111"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对于采取固定单价形式的合同，发包人与设计人应当按照专用合同条款附件 6</w:t>
      </w:r>
      <w:r>
        <w:rPr>
          <w:rFonts w:hint="eastAsia" w:asciiTheme="minorEastAsia" w:hAnsiTheme="minorEastAsia" w:eastAsiaTheme="minorEastAsia" w:cstheme="minorEastAsia"/>
          <w:color w:val="231F20"/>
          <w:spacing w:val="6"/>
          <w:sz w:val="24"/>
          <w:szCs w:val="24"/>
        </w:rPr>
        <w:t xml:space="preserve"> 约定的结算方式及时结清工程设计费，并将结清未支付的款项一次性支付给设计人。</w:t>
      </w:r>
    </w:p>
    <w:p w14:paraId="264FC867">
      <w:pPr>
        <w:pStyle w:val="11"/>
        <w:numPr>
          <w:ilvl w:val="2"/>
          <w:numId w:val="19"/>
        </w:numPr>
        <w:tabs>
          <w:tab w:val="left" w:pos="1157"/>
        </w:tabs>
        <w:spacing w:before="25" w:after="0" w:line="240" w:lineRule="auto"/>
        <w:ind w:left="1156" w:right="0" w:hanging="59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对于采取其他价格形式的，也应按专用合同条款的约定及时结算和支付。</w:t>
      </w:r>
    </w:p>
    <w:p w14:paraId="49584684">
      <w:pPr>
        <w:pStyle w:val="5"/>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10.6 支付账户</w:t>
      </w:r>
    </w:p>
    <w:p w14:paraId="2D1EDBC8">
      <w:pPr>
        <w:pStyle w:val="5"/>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发包人应将合同价款支付至合同协议书中约定的设计人账户。</w:t>
      </w:r>
    </w:p>
    <w:p w14:paraId="67033F36">
      <w:pPr>
        <w:pStyle w:val="11"/>
        <w:numPr>
          <w:ilvl w:val="0"/>
          <w:numId w:val="4"/>
        </w:numPr>
        <w:tabs>
          <w:tab w:val="left" w:pos="484"/>
        </w:tabs>
        <w:spacing w:before="102" w:after="0" w:line="240" w:lineRule="auto"/>
        <w:ind w:left="483" w:right="0" w:hanging="36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工程设计变更与索赔</w:t>
      </w:r>
    </w:p>
    <w:p w14:paraId="037CB297">
      <w:pPr>
        <w:pStyle w:val="11"/>
        <w:numPr>
          <w:ilvl w:val="1"/>
          <w:numId w:val="4"/>
        </w:numPr>
        <w:tabs>
          <w:tab w:val="left" w:pos="1013"/>
        </w:tabs>
        <w:spacing w:before="121" w:after="0" w:line="319" w:lineRule="auto"/>
        <w:ind w:left="117" w:right="116"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发包人变更工程设计的内容、规模、功能、条件等，应当向设计人提供书面要求，设计人在不违反法律规定以及技术标准强制性规定的前提下应当按照发包人要求变更工程设计。</w:t>
      </w:r>
    </w:p>
    <w:p w14:paraId="3C60EB2E">
      <w:pPr>
        <w:pStyle w:val="11"/>
        <w:numPr>
          <w:ilvl w:val="1"/>
          <w:numId w:val="4"/>
        </w:numPr>
        <w:tabs>
          <w:tab w:val="left" w:pos="1012"/>
        </w:tabs>
        <w:spacing w:before="25" w:after="0" w:line="319" w:lineRule="auto"/>
        <w:ind w:left="117" w:right="1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发包人变更工程设计的内容、规模、功能、条件或因提交的设计资料存在错误或作较大修改时，发包人应按设计人所耗工作量向设计人增付设计费，设计人可按本条约定和专用合同条款附件 7 的约定，与发包人协商对合同价格和 / 或完工时间做可共同接受的修改。</w:t>
      </w:r>
    </w:p>
    <w:p w14:paraId="52DC3981">
      <w:pPr>
        <w:pStyle w:val="11"/>
        <w:numPr>
          <w:ilvl w:val="1"/>
          <w:numId w:val="4"/>
        </w:numPr>
        <w:tabs>
          <w:tab w:val="left" w:pos="1012"/>
        </w:tabs>
        <w:spacing w:before="25" w:after="0" w:line="319" w:lineRule="auto"/>
        <w:ind w:left="117" w:right="111"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如果由于发包人要求更改而造成的项目复杂性的变更或性质的变更使得设计人的设计</w:t>
      </w:r>
      <w:r>
        <w:rPr>
          <w:rFonts w:hint="eastAsia" w:asciiTheme="minorEastAsia" w:hAnsiTheme="minorEastAsia" w:eastAsiaTheme="minorEastAsia" w:cstheme="minorEastAsia"/>
          <w:color w:val="231F20"/>
          <w:spacing w:val="0"/>
          <w:sz w:val="24"/>
          <w:szCs w:val="24"/>
        </w:rPr>
        <w:t xml:space="preserve">工作减少，发包人可按本条约定和专用合同条款附件 </w:t>
      </w:r>
      <w:r>
        <w:rPr>
          <w:rFonts w:hint="eastAsia" w:asciiTheme="minorEastAsia" w:hAnsiTheme="minorEastAsia" w:eastAsiaTheme="minorEastAsia" w:cstheme="minorEastAsia"/>
          <w:color w:val="231F20"/>
          <w:sz w:val="24"/>
          <w:szCs w:val="24"/>
        </w:rPr>
        <w:t>7</w:t>
      </w:r>
      <w:r>
        <w:rPr>
          <w:rFonts w:hint="eastAsia" w:asciiTheme="minorEastAsia" w:hAnsiTheme="minorEastAsia" w:eastAsiaTheme="minorEastAsia" w:cstheme="minorEastAsia"/>
          <w:color w:val="231F20"/>
          <w:spacing w:val="0"/>
          <w:sz w:val="24"/>
          <w:szCs w:val="24"/>
        </w:rPr>
        <w:t xml:space="preserve"> 的约定，与设计人协商对合同价格和 </w:t>
      </w:r>
      <w:r>
        <w:rPr>
          <w:rFonts w:hint="eastAsia" w:asciiTheme="minorEastAsia" w:hAnsiTheme="minorEastAsia" w:eastAsiaTheme="minorEastAsia" w:cstheme="minorEastAsia"/>
          <w:color w:val="231F20"/>
          <w:sz w:val="24"/>
          <w:szCs w:val="24"/>
        </w:rPr>
        <w:t>/ 或完工时间做可共同接受的修改。</w:t>
      </w:r>
    </w:p>
    <w:p w14:paraId="122B9CC0">
      <w:pPr>
        <w:pStyle w:val="11"/>
        <w:numPr>
          <w:ilvl w:val="1"/>
          <w:numId w:val="4"/>
        </w:numPr>
        <w:tabs>
          <w:tab w:val="left" w:pos="1012"/>
        </w:tabs>
        <w:spacing w:before="25" w:after="0" w:line="319" w:lineRule="auto"/>
        <w:ind w:left="117" w:right="114"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基准日期后，与工程设计服务有关的法律、技术标准的强制性规定的颁布及修改，由此增加的设计费用和（或）延长的设计周期由发包人承担。</w:t>
      </w:r>
    </w:p>
    <w:p w14:paraId="489602CC">
      <w:pPr>
        <w:pStyle w:val="11"/>
        <w:numPr>
          <w:ilvl w:val="1"/>
          <w:numId w:val="4"/>
        </w:numPr>
        <w:tabs>
          <w:tab w:val="left" w:pos="1012"/>
        </w:tabs>
        <w:spacing w:before="24" w:after="0" w:line="319" w:lineRule="auto"/>
        <w:ind w:left="117" w:right="209"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如果发生设计人认为有理由提出增加合同价款或延长设计周期的要求事项，除专用合同条款对期限另有约定外，设计人应于该事项发生后 5 天内书面通知发包人。除专用合同条款</w:t>
      </w:r>
      <w:r>
        <w:rPr>
          <w:rFonts w:hint="eastAsia" w:asciiTheme="minorEastAsia" w:hAnsiTheme="minorEastAsia" w:eastAsiaTheme="minorEastAsia" w:cstheme="minorEastAsia"/>
          <w:color w:val="231F20"/>
          <w:spacing w:val="0"/>
          <w:sz w:val="24"/>
          <w:szCs w:val="24"/>
        </w:rPr>
        <w:t xml:space="preserve">对期限另有约定外，在该事项发生后 </w:t>
      </w:r>
      <w:r>
        <w:rPr>
          <w:rFonts w:hint="eastAsia" w:asciiTheme="minorEastAsia" w:hAnsiTheme="minorEastAsia" w:eastAsiaTheme="minorEastAsia" w:cstheme="minorEastAsia"/>
          <w:color w:val="231F20"/>
          <w:sz w:val="24"/>
          <w:szCs w:val="24"/>
        </w:rPr>
        <w:t>10</w:t>
      </w:r>
      <w:r>
        <w:rPr>
          <w:rFonts w:hint="eastAsia" w:asciiTheme="minorEastAsia" w:hAnsiTheme="minorEastAsia" w:eastAsiaTheme="minorEastAsia" w:cstheme="minorEastAsia"/>
          <w:color w:val="231F20"/>
          <w:spacing w:val="2"/>
          <w:sz w:val="24"/>
          <w:szCs w:val="24"/>
        </w:rPr>
        <w:t xml:space="preserve"> 天内，设计人应向发包人提供证明设计人要求的书面</w:t>
      </w:r>
      <w:r>
        <w:rPr>
          <w:rFonts w:hint="eastAsia" w:asciiTheme="minorEastAsia" w:hAnsiTheme="minorEastAsia" w:eastAsiaTheme="minorEastAsia" w:cstheme="minorEastAsia"/>
          <w:color w:val="231F20"/>
          <w:sz w:val="24"/>
          <w:szCs w:val="24"/>
        </w:rPr>
        <w:t>声明，其中包括设计人关于因该事项引起的合同价款和设计周期的变化的详细计算。除专用合同条款对期限另有约定外，发包人应在接到设计人书面声明后的 5 天内，予以书面答复。逾期未答复的，视为发包人同意设计人关于增加合同价款或延长设计周期的要求。</w:t>
      </w:r>
    </w:p>
    <w:p w14:paraId="20834D43">
      <w:pPr>
        <w:pStyle w:val="11"/>
        <w:numPr>
          <w:ilvl w:val="0"/>
          <w:numId w:val="4"/>
        </w:numPr>
        <w:tabs>
          <w:tab w:val="left" w:pos="484"/>
        </w:tabs>
        <w:spacing w:before="19" w:after="0" w:line="240" w:lineRule="auto"/>
        <w:ind w:left="483" w:right="0" w:hanging="36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专业责任与保险</w:t>
      </w:r>
    </w:p>
    <w:p w14:paraId="3BDC3A75">
      <w:pPr>
        <w:pStyle w:val="11"/>
        <w:numPr>
          <w:ilvl w:val="1"/>
          <w:numId w:val="4"/>
        </w:numPr>
        <w:tabs>
          <w:tab w:val="left" w:pos="1012"/>
        </w:tabs>
        <w:spacing w:before="121" w:after="0" w:line="319" w:lineRule="auto"/>
        <w:ind w:left="117" w:right="212"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设计人应运用一切合理的专业技术和经验知识，按照公认的职业标准尽其全部职责和谨慎、勤勉地履行其在本合同项下的责任和义务。</w:t>
      </w:r>
    </w:p>
    <w:p w14:paraId="3A5564A7">
      <w:pPr>
        <w:pStyle w:val="11"/>
        <w:numPr>
          <w:ilvl w:val="1"/>
          <w:numId w:val="4"/>
        </w:numPr>
        <w:tabs>
          <w:tab w:val="left" w:pos="1012"/>
        </w:tabs>
        <w:spacing w:before="25" w:after="0" w:line="319" w:lineRule="auto"/>
        <w:ind w:left="117"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除专用合同条款另有约定外，设计人应具有发包人认可的、履行本合同所需要的工程设计责任保险并使其于合同责任期内保持有效。</w:t>
      </w:r>
    </w:p>
    <w:p w14:paraId="2CE317FA">
      <w:pPr>
        <w:pStyle w:val="11"/>
        <w:numPr>
          <w:ilvl w:val="1"/>
          <w:numId w:val="4"/>
        </w:numPr>
        <w:tabs>
          <w:tab w:val="left" w:pos="1012"/>
        </w:tabs>
        <w:spacing w:before="25" w:after="0" w:line="319" w:lineRule="auto"/>
        <w:ind w:left="117" w:right="211"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工程设计责任保险应承担由于设计人的疏忽或过失而引发的工程质量事故所造成的建设工程本身的物质损失以及第三者人身伤亡、财产损失或费用的赔偿责任。</w:t>
      </w:r>
    </w:p>
    <w:p w14:paraId="36FDBE97">
      <w:pPr>
        <w:pStyle w:val="11"/>
        <w:numPr>
          <w:ilvl w:val="0"/>
          <w:numId w:val="4"/>
        </w:numPr>
        <w:tabs>
          <w:tab w:val="left" w:pos="484"/>
        </w:tabs>
        <w:spacing w:before="19" w:after="0" w:line="240" w:lineRule="auto"/>
        <w:ind w:left="483" w:right="0" w:hanging="36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知识产权</w:t>
      </w:r>
    </w:p>
    <w:p w14:paraId="0E0C0D5C">
      <w:pPr>
        <w:pStyle w:val="11"/>
        <w:numPr>
          <w:ilvl w:val="1"/>
          <w:numId w:val="4"/>
        </w:numPr>
        <w:tabs>
          <w:tab w:val="left" w:pos="1015"/>
        </w:tabs>
        <w:spacing w:before="122" w:after="0" w:line="319" w:lineRule="auto"/>
        <w:ind w:left="117" w:right="217"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8"/>
          <w:sz w:val="24"/>
          <w:szCs w:val="24"/>
        </w:rPr>
        <w:t>除专用合同条款另有约定外，发包人提供给设计人的图纸、发包人为实施工程自行编制</w:t>
      </w:r>
      <w:r>
        <w:rPr>
          <w:rFonts w:hint="eastAsia" w:asciiTheme="minorEastAsia" w:hAnsiTheme="minorEastAsia" w:eastAsiaTheme="minorEastAsia" w:cstheme="minorEastAsia"/>
          <w:color w:val="231F20"/>
          <w:spacing w:val="-5"/>
          <w:sz w:val="24"/>
          <w:szCs w:val="24"/>
        </w:rPr>
        <w:t>或委托编制的技术规格书以及反映发包人要求的或其他类似性质的文件的著作权属于发包人，设</w:t>
      </w:r>
      <w:r>
        <w:rPr>
          <w:rFonts w:hint="eastAsia" w:asciiTheme="minorEastAsia" w:hAnsiTheme="minorEastAsia" w:eastAsiaTheme="minorEastAsia" w:cstheme="minorEastAsia"/>
          <w:color w:val="231F20"/>
          <w:spacing w:val="-8"/>
          <w:sz w:val="24"/>
          <w:szCs w:val="24"/>
        </w:rPr>
        <w:t>计人可以为实现合同目的而复制、使用此类文件，但不能用于与合同无关的其他事项。未经发包</w:t>
      </w:r>
      <w:r>
        <w:rPr>
          <w:rFonts w:hint="eastAsia" w:asciiTheme="minorEastAsia" w:hAnsiTheme="minorEastAsia" w:eastAsiaTheme="minorEastAsia" w:cstheme="minorEastAsia"/>
          <w:color w:val="231F20"/>
          <w:spacing w:val="-9"/>
          <w:sz w:val="24"/>
          <w:szCs w:val="24"/>
        </w:rPr>
        <w:t>人书面同意，设计人不得为了合同以外的目的而复制、使用上述文件或将之提供给任何第三方。</w:t>
      </w:r>
    </w:p>
    <w:p w14:paraId="7FEA2746">
      <w:pPr>
        <w:pStyle w:val="11"/>
        <w:numPr>
          <w:ilvl w:val="1"/>
          <w:numId w:val="4"/>
        </w:numPr>
        <w:tabs>
          <w:tab w:val="left" w:pos="1015"/>
        </w:tabs>
        <w:spacing w:before="26" w:after="0" w:line="319" w:lineRule="auto"/>
        <w:ind w:left="117" w:right="106"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除专用合同条款另有约定外，设计人为实施工程所编制的文件的著作权属于设计人， 发包人可因实施工程的运行、调试、维修、改造等目的而复制、使用此类文件，但不能擅自修改或用于与合同无关的其他事项。未经设计人书面同意，发包人不得为了合同以外的目的而复制、使用上述文件或将之提供给任何第三方。</w:t>
      </w:r>
    </w:p>
    <w:p w14:paraId="0710A6EA">
      <w:pPr>
        <w:pStyle w:val="11"/>
        <w:numPr>
          <w:ilvl w:val="1"/>
          <w:numId w:val="4"/>
        </w:numPr>
        <w:tabs>
          <w:tab w:val="left" w:pos="1012"/>
        </w:tabs>
        <w:spacing w:before="26" w:after="0" w:line="319" w:lineRule="auto"/>
        <w:ind w:left="117" w:right="212"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合同当事人保证在履行合同过程中不侵犯对方及第三方的知识产权。设计人在工程设</w:t>
      </w:r>
      <w:r>
        <w:rPr>
          <w:rFonts w:hint="eastAsia" w:asciiTheme="minorEastAsia" w:hAnsiTheme="minorEastAsia" w:eastAsiaTheme="minorEastAsia" w:cstheme="minorEastAsia"/>
          <w:color w:val="231F20"/>
          <w:spacing w:val="-2"/>
          <w:sz w:val="24"/>
          <w:szCs w:val="24"/>
        </w:rPr>
        <w:t>计时，因侵犯他人的专利权或其他知识产权所引起的责任，由设计人承担；因发包人提供的工程设计资料导致侵权的，由发包人承担责任。</w:t>
      </w:r>
    </w:p>
    <w:p w14:paraId="59C417D1">
      <w:pPr>
        <w:pStyle w:val="11"/>
        <w:numPr>
          <w:ilvl w:val="1"/>
          <w:numId w:val="4"/>
        </w:numPr>
        <w:tabs>
          <w:tab w:val="left" w:pos="1012"/>
        </w:tabs>
        <w:spacing w:before="26" w:after="0" w:line="319" w:lineRule="auto"/>
        <w:ind w:left="117" w:right="212"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合同当事人双方均有权在不损害对方利益和保密约定的前提下，在自己宣传用的印刷品或其他出版物上，或申报奖项时等情形下公布有关项目的文字和图片材料。</w:t>
      </w:r>
    </w:p>
    <w:p w14:paraId="139E08B1">
      <w:pPr>
        <w:pStyle w:val="11"/>
        <w:numPr>
          <w:ilvl w:val="1"/>
          <w:numId w:val="4"/>
        </w:numPr>
        <w:tabs>
          <w:tab w:val="left" w:pos="1012"/>
        </w:tabs>
        <w:spacing w:before="26" w:after="0" w:line="319" w:lineRule="auto"/>
        <w:ind w:left="117"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除专用合同条款另有约定外，设计人在合同签订前和签订时已确定采用的专利、专有技术的使用费应包含在签约合同价中。</w:t>
      </w:r>
    </w:p>
    <w:p w14:paraId="5C67A1AD">
      <w:pPr>
        <w:pStyle w:val="11"/>
        <w:numPr>
          <w:ilvl w:val="0"/>
          <w:numId w:val="4"/>
        </w:numPr>
        <w:tabs>
          <w:tab w:val="left" w:pos="484"/>
        </w:tabs>
        <w:spacing w:before="20" w:after="0" w:line="240" w:lineRule="auto"/>
        <w:ind w:left="483" w:right="0" w:hanging="36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违约责任</w:t>
      </w:r>
    </w:p>
    <w:p w14:paraId="008870EE">
      <w:pPr>
        <w:pStyle w:val="11"/>
        <w:numPr>
          <w:ilvl w:val="1"/>
          <w:numId w:val="4"/>
        </w:numPr>
        <w:tabs>
          <w:tab w:val="left" w:pos="993"/>
        </w:tabs>
        <w:spacing w:before="122"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发包人违约责任</w:t>
      </w:r>
    </w:p>
    <w:p w14:paraId="7B422B94">
      <w:pPr>
        <w:pStyle w:val="11"/>
        <w:numPr>
          <w:ilvl w:val="2"/>
          <w:numId w:val="4"/>
        </w:numPr>
        <w:tabs>
          <w:tab w:val="left" w:pos="1178"/>
        </w:tabs>
        <w:spacing w:before="24" w:after="0" w:line="319" w:lineRule="auto"/>
        <w:ind w:left="117" w:right="103"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合同生效后，发包人因非设计人原因要求终止或解除合同，设计人未开始设计工作</w:t>
      </w:r>
      <w:r>
        <w:rPr>
          <w:rFonts w:hint="eastAsia" w:asciiTheme="minorEastAsia" w:hAnsiTheme="minorEastAsia" w:eastAsiaTheme="minorEastAsia" w:cstheme="minorEastAsia"/>
          <w:color w:val="231F20"/>
          <w:spacing w:val="-2"/>
          <w:sz w:val="24"/>
          <w:szCs w:val="24"/>
        </w:rPr>
        <w:t>的，不退还发包人已付的定金或发包人按照专用合同条款的约定向设计人支付违约金；已开始设</w:t>
      </w:r>
      <w:r>
        <w:rPr>
          <w:rFonts w:hint="eastAsia" w:asciiTheme="minorEastAsia" w:hAnsiTheme="minorEastAsia" w:eastAsiaTheme="minorEastAsia" w:cstheme="minorEastAsia"/>
          <w:color w:val="231F20"/>
          <w:spacing w:val="-1"/>
          <w:sz w:val="24"/>
          <w:szCs w:val="24"/>
        </w:rPr>
        <w:t>计工作的，发包人应按照设计人已完成的实际工作量计算设计费，完成工作量不足一半时， 按</w:t>
      </w:r>
      <w:r>
        <w:rPr>
          <w:rFonts w:hint="eastAsia" w:asciiTheme="minorEastAsia" w:hAnsiTheme="minorEastAsia" w:eastAsiaTheme="minorEastAsia" w:cstheme="minorEastAsia"/>
          <w:color w:val="231F20"/>
          <w:spacing w:val="-5"/>
          <w:sz w:val="24"/>
          <w:szCs w:val="24"/>
        </w:rPr>
        <w:t>该阶段设计费的一半支付设计费；超过一半时，按该阶段设计费的全部支付设计费。</w:t>
      </w:r>
    </w:p>
    <w:p w14:paraId="344273D7">
      <w:pPr>
        <w:pStyle w:val="11"/>
        <w:numPr>
          <w:ilvl w:val="2"/>
          <w:numId w:val="4"/>
        </w:numPr>
        <w:tabs>
          <w:tab w:val="left" w:pos="1178"/>
        </w:tabs>
        <w:spacing w:before="26" w:after="0" w:line="319" w:lineRule="auto"/>
        <w:ind w:left="117" w:right="209"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0"/>
          <w:sz w:val="24"/>
          <w:szCs w:val="24"/>
        </w:rPr>
        <w:t xml:space="preserve">发包人未按专用合同条款附件 </w:t>
      </w:r>
      <w:r>
        <w:rPr>
          <w:rFonts w:hint="eastAsia" w:asciiTheme="minorEastAsia" w:hAnsiTheme="minorEastAsia" w:eastAsiaTheme="minorEastAsia" w:cstheme="minorEastAsia"/>
          <w:color w:val="231F20"/>
          <w:sz w:val="24"/>
          <w:szCs w:val="24"/>
        </w:rPr>
        <w:t>6 约定的金额和期限向设计人支付设计费的，应按专</w:t>
      </w:r>
      <w:r>
        <w:rPr>
          <w:rFonts w:hint="eastAsia" w:asciiTheme="minorEastAsia" w:hAnsiTheme="minorEastAsia" w:eastAsiaTheme="minorEastAsia" w:cstheme="minorEastAsia"/>
          <w:color w:val="231F20"/>
          <w:spacing w:val="0"/>
          <w:sz w:val="24"/>
          <w:szCs w:val="24"/>
        </w:rPr>
        <w:t xml:space="preserve">用合同条款约定向设计人支付违约金。逾期超过 </w:t>
      </w:r>
      <w:r>
        <w:rPr>
          <w:rFonts w:hint="eastAsia" w:asciiTheme="minorEastAsia" w:hAnsiTheme="minorEastAsia" w:eastAsiaTheme="minorEastAsia" w:cstheme="minorEastAsia"/>
          <w:color w:val="231F20"/>
          <w:sz w:val="24"/>
          <w:szCs w:val="24"/>
        </w:rPr>
        <w:t>15</w:t>
      </w:r>
      <w:r>
        <w:rPr>
          <w:rFonts w:hint="eastAsia" w:asciiTheme="minorEastAsia" w:hAnsiTheme="minorEastAsia" w:eastAsiaTheme="minorEastAsia" w:cstheme="minorEastAsia"/>
          <w:color w:val="231F20"/>
          <w:spacing w:val="2"/>
          <w:sz w:val="24"/>
          <w:szCs w:val="24"/>
        </w:rPr>
        <w:t xml:space="preserve"> 天时，设计人有权书面通知发包人中止设</w:t>
      </w:r>
      <w:r>
        <w:rPr>
          <w:rFonts w:hint="eastAsia" w:asciiTheme="minorEastAsia" w:hAnsiTheme="minorEastAsia" w:eastAsiaTheme="minorEastAsia" w:cstheme="minorEastAsia"/>
          <w:color w:val="231F20"/>
          <w:spacing w:val="0"/>
          <w:sz w:val="24"/>
          <w:szCs w:val="24"/>
        </w:rPr>
        <w:t xml:space="preserve">计工作。自中止设计工作之日起 </w:t>
      </w:r>
      <w:r>
        <w:rPr>
          <w:rFonts w:hint="eastAsia" w:asciiTheme="minorEastAsia" w:hAnsiTheme="minorEastAsia" w:eastAsiaTheme="minorEastAsia" w:cstheme="minorEastAsia"/>
          <w:color w:val="231F20"/>
          <w:sz w:val="24"/>
          <w:szCs w:val="24"/>
        </w:rPr>
        <w:t>15</w:t>
      </w:r>
      <w:r>
        <w:rPr>
          <w:rFonts w:hint="eastAsia" w:asciiTheme="minorEastAsia" w:hAnsiTheme="minorEastAsia" w:eastAsiaTheme="minorEastAsia" w:cstheme="minorEastAsia"/>
          <w:color w:val="231F20"/>
          <w:spacing w:val="1"/>
          <w:sz w:val="24"/>
          <w:szCs w:val="24"/>
        </w:rPr>
        <w:t xml:space="preserve"> 天内发包人支付相应费用的，设计人应及时根据发包人要</w:t>
      </w:r>
      <w:r>
        <w:rPr>
          <w:rFonts w:hint="eastAsia" w:asciiTheme="minorEastAsia" w:hAnsiTheme="minorEastAsia" w:eastAsiaTheme="minorEastAsia" w:cstheme="minorEastAsia"/>
          <w:color w:val="231F20"/>
          <w:spacing w:val="-7"/>
          <w:sz w:val="24"/>
          <w:szCs w:val="24"/>
        </w:rPr>
        <w:t xml:space="preserve">求恢复设计工作；自中止设计工作之日起超过 </w:t>
      </w:r>
      <w:r>
        <w:rPr>
          <w:rFonts w:hint="eastAsia" w:asciiTheme="minorEastAsia" w:hAnsiTheme="minorEastAsia" w:eastAsiaTheme="minorEastAsia" w:cstheme="minorEastAsia"/>
          <w:color w:val="231F20"/>
          <w:sz w:val="24"/>
          <w:szCs w:val="24"/>
        </w:rPr>
        <w:t>15</w:t>
      </w:r>
      <w:r>
        <w:rPr>
          <w:rFonts w:hint="eastAsia" w:asciiTheme="minorEastAsia" w:hAnsiTheme="minorEastAsia" w:eastAsiaTheme="minorEastAsia" w:cstheme="minorEastAsia"/>
          <w:color w:val="231F20"/>
          <w:spacing w:val="-1"/>
          <w:sz w:val="24"/>
          <w:szCs w:val="24"/>
        </w:rPr>
        <w:t xml:space="preserve"> 天后发包人支付相应费用的，设计人有权确定重新恢复设计工作的时间，且设计周期相应延长。</w:t>
      </w:r>
    </w:p>
    <w:p w14:paraId="63B5B717">
      <w:pPr>
        <w:pStyle w:val="11"/>
        <w:numPr>
          <w:ilvl w:val="2"/>
          <w:numId w:val="4"/>
        </w:numPr>
        <w:tabs>
          <w:tab w:val="left" w:pos="1178"/>
        </w:tabs>
        <w:spacing w:before="26" w:after="0" w:line="319" w:lineRule="auto"/>
        <w:ind w:left="117"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发包人的上级或设计审批部门对设计文件不进行审批或本合同工程停建、缓建，发包人应在事件发生之日起 15 天内按本合同第 16 条〔合同解除〕的约定向设计人结算并支付设计费。</w:t>
      </w:r>
    </w:p>
    <w:p w14:paraId="2369215F">
      <w:pPr>
        <w:pStyle w:val="11"/>
        <w:numPr>
          <w:ilvl w:val="2"/>
          <w:numId w:val="4"/>
        </w:numPr>
        <w:tabs>
          <w:tab w:val="left" w:pos="1178"/>
        </w:tabs>
        <w:spacing w:before="26" w:after="0" w:line="319" w:lineRule="auto"/>
        <w:ind w:left="117" w:right="2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发包人擅自将设计人的设计文件用于本工程以外的工程或交第三方使用时，应承担相应法律责任，并应赔偿设计人因此遭受的损失。</w:t>
      </w:r>
    </w:p>
    <w:p w14:paraId="46AA2D6C">
      <w:pPr>
        <w:pStyle w:val="11"/>
        <w:numPr>
          <w:ilvl w:val="1"/>
          <w:numId w:val="20"/>
        </w:numPr>
        <w:tabs>
          <w:tab w:val="left" w:pos="993"/>
        </w:tabs>
        <w:spacing w:before="26"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设计人违约责任</w:t>
      </w:r>
    </w:p>
    <w:p w14:paraId="2E44E3BD">
      <w:pPr>
        <w:pStyle w:val="11"/>
        <w:numPr>
          <w:ilvl w:val="2"/>
          <w:numId w:val="20"/>
        </w:numPr>
        <w:tabs>
          <w:tab w:val="left" w:pos="1178"/>
        </w:tabs>
        <w:spacing w:before="109" w:after="0" w:line="319" w:lineRule="auto"/>
        <w:ind w:left="117"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合同生效后，设计人因自身原因要求终止或解除合同，设计人应按发包人已支付的定金金额双倍返还给发包人或设计人按照专用合同条款约定向发包人支付违约金。</w:t>
      </w:r>
    </w:p>
    <w:p w14:paraId="2D4E7A92">
      <w:pPr>
        <w:pStyle w:val="11"/>
        <w:numPr>
          <w:ilvl w:val="2"/>
          <w:numId w:val="20"/>
        </w:numPr>
        <w:tabs>
          <w:tab w:val="left" w:pos="1178"/>
        </w:tabs>
        <w:spacing w:before="25" w:after="0" w:line="319" w:lineRule="auto"/>
        <w:ind w:left="117"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0"/>
          <w:sz w:val="24"/>
          <w:szCs w:val="24"/>
        </w:rPr>
        <w:t xml:space="preserve">由于设计人原因，未按专用合同条款附件 </w:t>
      </w:r>
      <w:r>
        <w:rPr>
          <w:rFonts w:hint="eastAsia" w:asciiTheme="minorEastAsia" w:hAnsiTheme="minorEastAsia" w:eastAsiaTheme="minorEastAsia" w:cstheme="minorEastAsia"/>
          <w:color w:val="231F20"/>
          <w:sz w:val="24"/>
          <w:szCs w:val="24"/>
        </w:rPr>
        <w:t>3 约定的时间交付工程设计文件的，应按专用合同条款的约定向发包人支付违约金，前述违约金经双方确认后可在发包人应付设计费中扣减。</w:t>
      </w:r>
    </w:p>
    <w:p w14:paraId="19B9D71F">
      <w:pPr>
        <w:pStyle w:val="11"/>
        <w:numPr>
          <w:ilvl w:val="2"/>
          <w:numId w:val="20"/>
        </w:numPr>
        <w:tabs>
          <w:tab w:val="left" w:pos="1178"/>
        </w:tabs>
        <w:spacing w:before="25" w:after="0" w:line="319" w:lineRule="auto"/>
        <w:ind w:left="117" w:right="212"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对工程设计文件出现的遗漏或错误负责修改或补充。由于设计人原因产生的设计问题造成工程质量事故或其他事故时，设计人除负责采取补救措施外，应当通过所投建设工程设计责任保险向发包人承担赔偿责任或者根据直接经济损失程度按专用合同条款约定向发包人支付赔偿金。</w:t>
      </w:r>
    </w:p>
    <w:p w14:paraId="76110C79">
      <w:pPr>
        <w:pStyle w:val="11"/>
        <w:numPr>
          <w:ilvl w:val="2"/>
          <w:numId w:val="20"/>
        </w:numPr>
        <w:tabs>
          <w:tab w:val="left" w:pos="1178"/>
        </w:tabs>
        <w:spacing w:before="25" w:after="0" w:line="319" w:lineRule="auto"/>
        <w:ind w:left="117" w:right="2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由于设计人原因，工程设计文件超出发包人与设计人书面约定的主要技术指标控制值比例的，设计人应当按照专用合同条款的约定承担违约责任。</w:t>
      </w:r>
    </w:p>
    <w:p w14:paraId="39E6AA7D">
      <w:pPr>
        <w:pStyle w:val="11"/>
        <w:numPr>
          <w:ilvl w:val="2"/>
          <w:numId w:val="20"/>
        </w:numPr>
        <w:tabs>
          <w:tab w:val="left" w:pos="1178"/>
        </w:tabs>
        <w:spacing w:before="25" w:after="0" w:line="319" w:lineRule="auto"/>
        <w:ind w:left="117" w:right="21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设计人未经发包人同意擅自对工程设计进行分包的，发包人有权要求设计人解除未经发包人同意的设计分包合同，设计人应当按照专用合同条款的约定承担违约责任。</w:t>
      </w:r>
    </w:p>
    <w:p w14:paraId="7CD534D7">
      <w:pPr>
        <w:pStyle w:val="11"/>
        <w:numPr>
          <w:ilvl w:val="0"/>
          <w:numId w:val="4"/>
        </w:numPr>
        <w:tabs>
          <w:tab w:val="left" w:pos="484"/>
        </w:tabs>
        <w:spacing w:before="19" w:after="0" w:line="240" w:lineRule="auto"/>
        <w:ind w:left="483" w:right="0" w:hanging="36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不可抗力</w:t>
      </w:r>
    </w:p>
    <w:p w14:paraId="5C1C32EE">
      <w:pPr>
        <w:pStyle w:val="11"/>
        <w:numPr>
          <w:ilvl w:val="1"/>
          <w:numId w:val="4"/>
        </w:numPr>
        <w:tabs>
          <w:tab w:val="left" w:pos="993"/>
        </w:tabs>
        <w:spacing w:before="121"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不可抗力的确认</w:t>
      </w:r>
    </w:p>
    <w:p w14:paraId="77D24D13">
      <w:pPr>
        <w:pStyle w:val="5"/>
        <w:spacing w:before="24" w:line="319" w:lineRule="auto"/>
        <w:ind w:right="21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不可抗力是指合同当事人在签订合同时不可预见，在合同履行过程中不可避免且不能克服的自然灾害和社会性突发事件，如地震、海啸、瘟疫、骚乱、戒严、暴动、战争和专用合同条款中约定的其他情形。</w:t>
      </w:r>
    </w:p>
    <w:p w14:paraId="10AC57C2">
      <w:pPr>
        <w:pStyle w:val="5"/>
        <w:spacing w:before="26" w:line="319" w:lineRule="auto"/>
        <w:ind w:right="10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不可抗力发生后，发包人和设计人应收集证明不可抗力发生及不可抗力造成损失的证据， 并及时认真统计所造成的损失。合同当事人对是否属于不可抗力或其损失发生争议时，按第 17 条〔争议解决〕的约定处理。</w:t>
      </w:r>
    </w:p>
    <w:p w14:paraId="59F56967">
      <w:pPr>
        <w:pStyle w:val="11"/>
        <w:numPr>
          <w:ilvl w:val="1"/>
          <w:numId w:val="4"/>
        </w:numPr>
        <w:tabs>
          <w:tab w:val="left" w:pos="993"/>
        </w:tabs>
        <w:spacing w:before="26"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不可抗力的通知</w:t>
      </w:r>
    </w:p>
    <w:p w14:paraId="51817FD9">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合同一方当事人遇到不可抗力事件，使其履行合同义务受到阻碍时，应立即通知合同另一方当事人，书面说明不可抗力和受阻碍的详细情况，并在合理期限内提供必要的证明。</w:t>
      </w:r>
    </w:p>
    <w:p w14:paraId="55D14108">
      <w:pPr>
        <w:pStyle w:val="5"/>
        <w:spacing w:before="25"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不可抗力持续发生的，合同一方当事人应及时向合同另一方当事人提交中间报告，说明不可抗力和履行合同受阻的情况，并于不可抗力事件结束后 28 天内提交最终报告及有关资料。</w:t>
      </w:r>
    </w:p>
    <w:p w14:paraId="13EE1624">
      <w:pPr>
        <w:pStyle w:val="11"/>
        <w:numPr>
          <w:ilvl w:val="1"/>
          <w:numId w:val="4"/>
        </w:numPr>
        <w:tabs>
          <w:tab w:val="left" w:pos="993"/>
        </w:tabs>
        <w:spacing w:before="25"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不可抗力后果的承担</w:t>
      </w:r>
    </w:p>
    <w:p w14:paraId="7BF9F05B">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不可抗力引起的后果及造成的损失由合同当事人按照法律规定及合同约定各自承担。不可抗力发生前已完成的工程设计应当按照合同约定进行支付。</w:t>
      </w:r>
    </w:p>
    <w:p w14:paraId="24F0E62B">
      <w:pPr>
        <w:pStyle w:val="5"/>
        <w:spacing w:before="26"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不可抗力发生后，合同当事人均应采取措施尽量避免和减少损失的扩大，任何一方当事人没有采取有效措施导致损失扩大的，应对扩大的损失承担责任。</w:t>
      </w:r>
    </w:p>
    <w:p w14:paraId="1E03551E">
      <w:pPr>
        <w:pStyle w:val="5"/>
        <w:spacing w:before="26"/>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因合同一方迟延履行合同义务，在迟延履行期间遭遇不可抗力的，不免除其违约责任。</w:t>
      </w:r>
    </w:p>
    <w:p w14:paraId="63DBBB2E">
      <w:pPr>
        <w:pStyle w:val="11"/>
        <w:numPr>
          <w:ilvl w:val="0"/>
          <w:numId w:val="4"/>
        </w:numPr>
        <w:tabs>
          <w:tab w:val="left" w:pos="484"/>
        </w:tabs>
        <w:spacing w:before="103" w:after="0" w:line="240" w:lineRule="auto"/>
        <w:ind w:left="483" w:right="0" w:hanging="36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合同解除</w:t>
      </w:r>
    </w:p>
    <w:p w14:paraId="4480DECE">
      <w:pPr>
        <w:pStyle w:val="11"/>
        <w:numPr>
          <w:ilvl w:val="1"/>
          <w:numId w:val="4"/>
        </w:numPr>
        <w:tabs>
          <w:tab w:val="left" w:pos="993"/>
        </w:tabs>
        <w:spacing w:before="122" w:after="0" w:line="240" w:lineRule="auto"/>
        <w:ind w:left="117" w:right="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发包人与设计人协商一致，可以解除合同。</w:t>
      </w:r>
    </w:p>
    <w:p w14:paraId="132FE21B">
      <w:pPr>
        <w:pStyle w:val="11"/>
        <w:numPr>
          <w:ilvl w:val="1"/>
          <w:numId w:val="4"/>
        </w:numPr>
        <w:tabs>
          <w:tab w:val="left" w:pos="993"/>
        </w:tabs>
        <w:spacing w:before="109" w:after="0" w:line="240" w:lineRule="auto"/>
        <w:ind w:left="117" w:right="0"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有下列情形之一的，合同当事人一方或双方可以解除合同：</w:t>
      </w:r>
    </w:p>
    <w:p w14:paraId="178EB499">
      <w:pPr>
        <w:pStyle w:val="5"/>
        <w:spacing w:line="319" w:lineRule="auto"/>
        <w:ind w:right="215" w:firstLine="3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1）设计人工程设计文件存在重大质量问题，经发包人催告后 , 在合理期限内修改后仍不能满足国家现行深度要求或不能达到合同约定的设计质量要求的，发包人可以解除合同；</w:t>
      </w:r>
    </w:p>
    <w:p w14:paraId="1FC5BB04">
      <w:pPr>
        <w:pStyle w:val="5"/>
        <w:spacing w:before="26" w:line="319" w:lineRule="auto"/>
        <w:ind w:right="215" w:firstLine="33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2）发包人未按合同约定支付设计费用，经设计人催告后，在 30 天内仍未支付的，设计人可以解除合同；</w:t>
      </w:r>
    </w:p>
    <w:p w14:paraId="2882D3E9">
      <w:pPr>
        <w:pStyle w:val="5"/>
        <w:spacing w:before="26"/>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3）暂停设计期限已连续超过 180 天，专用合同条款另有约定的除外；</w:t>
      </w:r>
    </w:p>
    <w:p w14:paraId="57A6BD17">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4）因不可抗力致使合同无法履行；</w:t>
      </w:r>
    </w:p>
    <w:p w14:paraId="196DDB3B">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5）因一方违约致使合同无法实际履行或实际履行已无必要；</w:t>
      </w:r>
    </w:p>
    <w:p w14:paraId="54709163">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6）因本工程项目条件发生重大变化，使合同无法继续履行。</w:t>
      </w:r>
    </w:p>
    <w:p w14:paraId="6412230C">
      <w:pPr>
        <w:pStyle w:val="11"/>
        <w:numPr>
          <w:ilvl w:val="1"/>
          <w:numId w:val="4"/>
        </w:numPr>
        <w:tabs>
          <w:tab w:val="left" w:pos="1016"/>
        </w:tabs>
        <w:spacing w:before="109" w:after="0" w:line="319" w:lineRule="auto"/>
        <w:ind w:left="117" w:right="209"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0"/>
          <w:sz w:val="24"/>
          <w:szCs w:val="24"/>
        </w:rPr>
        <w:t xml:space="preserve">任何一方因故需解除合同时，应提前 </w:t>
      </w:r>
      <w:r>
        <w:rPr>
          <w:rFonts w:hint="eastAsia" w:asciiTheme="minorEastAsia" w:hAnsiTheme="minorEastAsia" w:eastAsiaTheme="minorEastAsia" w:cstheme="minorEastAsia"/>
          <w:color w:val="231F20"/>
          <w:sz w:val="24"/>
          <w:szCs w:val="24"/>
        </w:rPr>
        <w:t>30</w:t>
      </w:r>
      <w:r>
        <w:rPr>
          <w:rFonts w:hint="eastAsia" w:asciiTheme="minorEastAsia" w:hAnsiTheme="minorEastAsia" w:eastAsiaTheme="minorEastAsia" w:cstheme="minorEastAsia"/>
          <w:color w:val="231F20"/>
          <w:spacing w:val="1"/>
          <w:sz w:val="24"/>
          <w:szCs w:val="24"/>
        </w:rPr>
        <w:t xml:space="preserve"> 天书面通知对方，对合同中的遗留问题应取</w:t>
      </w:r>
      <w:r>
        <w:rPr>
          <w:rFonts w:hint="eastAsia" w:asciiTheme="minorEastAsia" w:hAnsiTheme="minorEastAsia" w:eastAsiaTheme="minorEastAsia" w:cstheme="minorEastAsia"/>
          <w:color w:val="231F20"/>
          <w:sz w:val="24"/>
          <w:szCs w:val="24"/>
        </w:rPr>
        <w:t>得一致意见并形成书面协议。</w:t>
      </w:r>
    </w:p>
    <w:p w14:paraId="6EE70A08">
      <w:pPr>
        <w:pStyle w:val="5"/>
        <w:spacing w:before="24"/>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合同解除后，发包人除应按第 14.1.1 项的约定及专用合同条款约定期限内向设计人支付已完工作的设计费外，应当向设计人支付由于非设计人原因合同解除导致设计人增加的设计费用，违约一方应当承担相应的违约责任。</w:t>
      </w:r>
    </w:p>
    <w:p w14:paraId="70989D99">
      <w:pPr>
        <w:pStyle w:val="11"/>
        <w:numPr>
          <w:ilvl w:val="0"/>
          <w:numId w:val="4"/>
        </w:numPr>
        <w:tabs>
          <w:tab w:val="left" w:pos="484"/>
        </w:tabs>
        <w:spacing w:before="103" w:after="0" w:line="240" w:lineRule="auto"/>
        <w:ind w:left="483" w:right="0" w:hanging="36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争议解决</w:t>
      </w:r>
    </w:p>
    <w:p w14:paraId="30CC4992">
      <w:pPr>
        <w:pStyle w:val="11"/>
        <w:numPr>
          <w:ilvl w:val="1"/>
          <w:numId w:val="4"/>
        </w:numPr>
        <w:tabs>
          <w:tab w:val="left" w:pos="993"/>
        </w:tabs>
        <w:spacing w:before="122"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和解</w:t>
      </w:r>
    </w:p>
    <w:p w14:paraId="076BAA8A">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合同当事人可以就争议自行和解，自行和解达成协议的经双方签字并盖章后作为合同补充文件，双方均应遵照执行。</w:t>
      </w:r>
    </w:p>
    <w:p w14:paraId="42EF81E6">
      <w:pPr>
        <w:pStyle w:val="11"/>
        <w:numPr>
          <w:ilvl w:val="1"/>
          <w:numId w:val="4"/>
        </w:numPr>
        <w:tabs>
          <w:tab w:val="left" w:pos="993"/>
        </w:tabs>
        <w:spacing w:before="26"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调解</w:t>
      </w:r>
    </w:p>
    <w:p w14:paraId="44FF8D9C">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合同当事人可以就争议请求相关行政主管部门、行业协会或其他第三方进行调解，调解达成协议的，经双方签字并盖章后作为合同补充文件，双方均应遵照执行。</w:t>
      </w:r>
    </w:p>
    <w:p w14:paraId="0EFF5C69">
      <w:pPr>
        <w:pStyle w:val="11"/>
        <w:numPr>
          <w:ilvl w:val="1"/>
          <w:numId w:val="4"/>
        </w:numPr>
        <w:tabs>
          <w:tab w:val="left" w:pos="993"/>
        </w:tabs>
        <w:spacing w:before="25"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争议评审</w:t>
      </w:r>
    </w:p>
    <w:p w14:paraId="4D8C14F6">
      <w:pPr>
        <w:pStyle w:val="5"/>
        <w:spacing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合同当事人在专用合同条款中约定采取争议评审方式解决争议以及评审规则，并按下列约定执行：</w:t>
      </w:r>
    </w:p>
    <w:p w14:paraId="7365676E">
      <w:pPr>
        <w:pStyle w:val="11"/>
        <w:numPr>
          <w:ilvl w:val="2"/>
          <w:numId w:val="4"/>
        </w:numPr>
        <w:tabs>
          <w:tab w:val="left" w:pos="1157"/>
        </w:tabs>
        <w:spacing w:before="26" w:after="0" w:line="240" w:lineRule="auto"/>
        <w:ind w:left="1156" w:right="0" w:hanging="59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争议评审小组的确定</w:t>
      </w:r>
    </w:p>
    <w:p w14:paraId="7729B9A9">
      <w:pPr>
        <w:pStyle w:val="5"/>
        <w:spacing w:line="319" w:lineRule="auto"/>
        <w:ind w:right="53"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合同当事人可以共同选择一名或三名争议评审员，组成争议评审小组。除专用合同条款另有约定外，合同当事人应当自合同签订后 28 天内，或者争议发生后 14 天内，选定争议评审员。</w:t>
      </w:r>
    </w:p>
    <w:p w14:paraId="33F9C28C">
      <w:pPr>
        <w:pStyle w:val="5"/>
        <w:spacing w:before="25" w:line="319" w:lineRule="auto"/>
        <w:ind w:right="204"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选择一名争议评审员的，由合同当事人共同确定；选择三名争议评审员的，各自选定一名，第三名成员为首席争议评审员，由合同当事人共同确定或由合同当事人委托已选定的争议评审员共同确定，或由专用合同条款约定的评审机构指定第三名首席争议评审员。</w:t>
      </w:r>
    </w:p>
    <w:p w14:paraId="44A5F5B5">
      <w:pPr>
        <w:pStyle w:val="5"/>
        <w:spacing w:before="25"/>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除专用合同条款另有约定外，评审所发生的费用由发包人和设计人各承担一半。</w:t>
      </w:r>
    </w:p>
    <w:p w14:paraId="4AFA4A85">
      <w:pPr>
        <w:pStyle w:val="11"/>
        <w:numPr>
          <w:ilvl w:val="2"/>
          <w:numId w:val="4"/>
        </w:numPr>
        <w:tabs>
          <w:tab w:val="left" w:pos="1157"/>
        </w:tabs>
        <w:spacing w:before="109" w:after="0" w:line="240" w:lineRule="auto"/>
        <w:ind w:left="1156" w:right="0" w:hanging="59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争议评审小组的决定</w:t>
      </w:r>
    </w:p>
    <w:p w14:paraId="1C741D37">
      <w:pPr>
        <w:pStyle w:val="5"/>
        <w:spacing w:line="319" w:lineRule="auto"/>
        <w:ind w:right="213" w:firstLine="440"/>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可在任何时间将与合同有关的任何争议共同提请争议评审小组进行评审。争议评审小组应秉持客观、公正原则，充分听取合同当事人的意见，依据相关法律、技术标准及行业惯例等，自收到争议评审申请报告后 14 天内作出书面决定，并说明理由。合同当事人可以在专用合同条款中对本事项另行约定。</w:t>
      </w:r>
    </w:p>
    <w:p w14:paraId="5C198315">
      <w:pPr>
        <w:pStyle w:val="11"/>
        <w:numPr>
          <w:ilvl w:val="2"/>
          <w:numId w:val="4"/>
        </w:numPr>
        <w:tabs>
          <w:tab w:val="left" w:pos="1157"/>
        </w:tabs>
        <w:spacing w:before="25" w:after="0" w:line="240" w:lineRule="auto"/>
        <w:ind w:left="1156" w:right="0" w:hanging="599"/>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争议评审小组决定的效力</w:t>
      </w:r>
    </w:p>
    <w:p w14:paraId="5EFCBF07">
      <w:pPr>
        <w:pStyle w:val="5"/>
        <w:spacing w:before="108"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争议评审小组作出的书面决定经合同当事人签字确认后，对双方具有约束力，双方应遵照执行。</w:t>
      </w:r>
    </w:p>
    <w:p w14:paraId="138D47EA">
      <w:pPr>
        <w:pStyle w:val="5"/>
        <w:spacing w:before="25"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任何一方当事人不接受争议评审小组决定或不履行争议评审小组决定的，双方可选择采用其他争议解决方式。</w:t>
      </w:r>
    </w:p>
    <w:p w14:paraId="1F044E3C">
      <w:pPr>
        <w:pStyle w:val="11"/>
        <w:numPr>
          <w:ilvl w:val="1"/>
          <w:numId w:val="4"/>
        </w:numPr>
        <w:tabs>
          <w:tab w:val="left" w:pos="993"/>
        </w:tabs>
        <w:spacing w:before="25" w:after="0" w:line="240" w:lineRule="auto"/>
        <w:ind w:left="992" w:right="0" w:hanging="435"/>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仲裁或诉讼</w:t>
      </w:r>
    </w:p>
    <w:p w14:paraId="6AAB5F16">
      <w:pPr>
        <w:pStyle w:val="5"/>
        <w:spacing w:before="108" w:line="319" w:lineRule="auto"/>
        <w:ind w:right="215" w:firstLine="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因合同及合同有关事项产生的争议，合同当事人可以在专用合同条款中约定以下一种方式解决争议：</w:t>
      </w:r>
    </w:p>
    <w:p w14:paraId="6C785639">
      <w:pPr>
        <w:pStyle w:val="5"/>
        <w:spacing w:before="24"/>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1）向约定的仲裁委员会申请仲裁；</w:t>
      </w:r>
    </w:p>
    <w:p w14:paraId="1AD08A05">
      <w:pPr>
        <w:pStyle w:val="5"/>
        <w:ind w:left="44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2）向有管辖权的人民法院起诉。</w:t>
      </w:r>
    </w:p>
    <w:p w14:paraId="7B745893">
      <w:pPr>
        <w:pStyle w:val="11"/>
        <w:numPr>
          <w:ilvl w:val="1"/>
          <w:numId w:val="4"/>
        </w:numPr>
        <w:tabs>
          <w:tab w:val="left" w:pos="994"/>
        </w:tabs>
        <w:spacing w:before="109" w:after="0" w:line="240" w:lineRule="auto"/>
        <w:ind w:left="993" w:right="0" w:hanging="43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争议解决条款效力</w:t>
      </w:r>
    </w:p>
    <w:p w14:paraId="2BD835D0">
      <w:pPr>
        <w:pStyle w:val="5"/>
        <w:spacing w:line="319" w:lineRule="auto"/>
        <w:ind w:firstLine="440"/>
        <w:rPr>
          <w:rFonts w:hint="eastAsia" w:asciiTheme="minorEastAsia" w:hAnsiTheme="minorEastAsia" w:eastAsiaTheme="minorEastAsia" w:cstheme="minorEastAsia"/>
          <w:sz w:val="24"/>
          <w:szCs w:val="24"/>
        </w:rPr>
        <w:sectPr>
          <w:pgSz w:w="11910" w:h="16840"/>
          <w:pgMar w:top="1580" w:right="1300" w:bottom="1020" w:left="1300" w:header="0" w:footer="832" w:gutter="0"/>
          <w:pgNumType w:fmt="decimal"/>
          <w:cols w:space="720" w:num="1"/>
        </w:sectPr>
      </w:pPr>
      <w:r>
        <w:rPr>
          <w:rFonts w:hint="eastAsia" w:asciiTheme="minorEastAsia" w:hAnsiTheme="minorEastAsia" w:eastAsiaTheme="minorEastAsia" w:cstheme="minorEastAsia"/>
          <w:color w:val="231F20"/>
          <w:sz w:val="24"/>
          <w:szCs w:val="24"/>
        </w:rPr>
        <w:t>合同有关争议解决的条款独立存在，合同的变更、解除、终止、无效或者被撤销均不影响其效力。</w:t>
      </w:r>
    </w:p>
    <w:p w14:paraId="7B0CA3BB">
      <w:pPr>
        <w:pStyle w:val="2"/>
        <w:tabs>
          <w:tab w:val="left" w:pos="1399"/>
        </w:tabs>
        <w:ind w:right="98"/>
        <w:jc w:val="center"/>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第三部分</w:t>
      </w:r>
      <w:r>
        <w:rPr>
          <w:rFonts w:hint="eastAsia" w:asciiTheme="minorEastAsia" w:hAnsiTheme="minorEastAsia" w:eastAsiaTheme="minorEastAsia" w:cstheme="minorEastAsia"/>
          <w:color w:val="231F20"/>
        </w:rPr>
        <w:tab/>
      </w:r>
      <w:r>
        <w:rPr>
          <w:rFonts w:hint="eastAsia" w:asciiTheme="minorEastAsia" w:hAnsiTheme="minorEastAsia" w:eastAsiaTheme="minorEastAsia" w:cstheme="minorEastAsia"/>
          <w:color w:val="231F20"/>
        </w:rPr>
        <w:t>专用合同条款</w:t>
      </w:r>
    </w:p>
    <w:p w14:paraId="5507A656">
      <w:pPr>
        <w:pStyle w:val="5"/>
        <w:spacing w:before="8"/>
        <w:ind w:left="0"/>
        <w:rPr>
          <w:rFonts w:hint="eastAsia" w:asciiTheme="minorEastAsia" w:hAnsiTheme="minorEastAsia" w:eastAsiaTheme="minorEastAsia" w:cstheme="minorEastAsia"/>
          <w:sz w:val="26"/>
        </w:rPr>
      </w:pPr>
    </w:p>
    <w:p w14:paraId="012366A5">
      <w:pPr>
        <w:pStyle w:val="11"/>
        <w:numPr>
          <w:ilvl w:val="0"/>
          <w:numId w:val="21"/>
        </w:numPr>
        <w:tabs>
          <w:tab w:val="left" w:pos="362"/>
        </w:tabs>
        <w:spacing w:before="0"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一般约定</w:t>
      </w:r>
    </w:p>
    <w:p w14:paraId="5F46D311">
      <w:pPr>
        <w:pStyle w:val="11"/>
        <w:numPr>
          <w:ilvl w:val="1"/>
          <w:numId w:val="21"/>
        </w:numPr>
        <w:tabs>
          <w:tab w:val="left" w:pos="884"/>
        </w:tabs>
        <w:spacing w:before="121"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词语定义与解释</w:t>
      </w:r>
    </w:p>
    <w:p w14:paraId="65A06B5D">
      <w:pPr>
        <w:pStyle w:val="5"/>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1.1.1 合同</w:t>
      </w:r>
    </w:p>
    <w:p w14:paraId="5BCDF69A">
      <w:pPr>
        <w:pStyle w:val="5"/>
        <w:tabs>
          <w:tab w:val="left" w:pos="9188"/>
        </w:tabs>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1.1.1.8</w:t>
      </w:r>
      <w:r>
        <w:rPr>
          <w:rFonts w:hint="eastAsia" w:asciiTheme="minorEastAsia" w:hAnsiTheme="minorEastAsia" w:eastAsiaTheme="minorEastAsia" w:cstheme="minorEastAsia"/>
          <w:color w:val="231F20"/>
          <w:spacing w:val="-7"/>
          <w:sz w:val="24"/>
          <w:szCs w:val="24"/>
        </w:rPr>
        <w:t xml:space="preserve"> </w:t>
      </w:r>
      <w:r>
        <w:rPr>
          <w:rFonts w:hint="eastAsia" w:asciiTheme="minorEastAsia" w:hAnsiTheme="minorEastAsia" w:eastAsiaTheme="minorEastAsia" w:cstheme="minorEastAsia"/>
          <w:color w:val="231F20"/>
          <w:sz w:val="24"/>
          <w:szCs w:val="24"/>
        </w:rPr>
        <w:t>其他合同文件包括</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47D61DDF">
      <w:pPr>
        <w:pStyle w:val="5"/>
        <w:tabs>
          <w:tab w:val="left" w:pos="9078"/>
        </w:tabs>
        <w:spacing w:before="10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71BC8085">
      <w:pPr>
        <w:pStyle w:val="11"/>
        <w:numPr>
          <w:ilvl w:val="1"/>
          <w:numId w:val="22"/>
        </w:numPr>
        <w:tabs>
          <w:tab w:val="left" w:pos="884"/>
        </w:tabs>
        <w:spacing w:before="108"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法律</w:t>
      </w:r>
    </w:p>
    <w:p w14:paraId="012D5BBD">
      <w:pPr>
        <w:pStyle w:val="5"/>
        <w:tabs>
          <w:tab w:val="left" w:pos="9188"/>
        </w:tabs>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适用于合同的其他规范性文件</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0AF06A91">
      <w:pPr>
        <w:pStyle w:val="5"/>
        <w:tabs>
          <w:tab w:val="left" w:pos="9078"/>
        </w:tabs>
        <w:spacing w:before="10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039AD39B">
      <w:pPr>
        <w:pStyle w:val="11"/>
        <w:numPr>
          <w:ilvl w:val="1"/>
          <w:numId w:val="22"/>
        </w:numPr>
        <w:tabs>
          <w:tab w:val="left" w:pos="884"/>
        </w:tabs>
        <w:spacing w:before="108"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技术标准</w:t>
      </w:r>
    </w:p>
    <w:p w14:paraId="3C242B26">
      <w:pPr>
        <w:pStyle w:val="11"/>
        <w:numPr>
          <w:ilvl w:val="2"/>
          <w:numId w:val="22"/>
        </w:numPr>
        <w:tabs>
          <w:tab w:val="left" w:pos="1048"/>
          <w:tab w:val="left" w:pos="9188"/>
        </w:tabs>
        <w:spacing w:before="108"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适用于工程的技术标准包括</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43B8F673">
      <w:pPr>
        <w:pStyle w:val="5"/>
        <w:tabs>
          <w:tab w:val="left" w:pos="9078"/>
        </w:tabs>
        <w:spacing w:before="10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2C17C77E">
      <w:pPr>
        <w:pStyle w:val="11"/>
        <w:numPr>
          <w:ilvl w:val="2"/>
          <w:numId w:val="22"/>
        </w:numPr>
        <w:tabs>
          <w:tab w:val="left" w:pos="1048"/>
          <w:tab w:val="left" w:pos="9188"/>
        </w:tabs>
        <w:spacing w:before="108"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国外技术标准原文版本和中文译本的提供方</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1A641875">
      <w:pPr>
        <w:pStyle w:val="5"/>
        <w:tabs>
          <w:tab w:val="left" w:pos="9078"/>
          <w:tab w:val="left" w:pos="9188"/>
        </w:tabs>
        <w:spacing w:before="108" w:line="319" w:lineRule="auto"/>
        <w:ind w:left="557" w:right="105" w:hanging="440"/>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7822F6AC">
      <w:pPr>
        <w:pStyle w:val="5"/>
        <w:tabs>
          <w:tab w:val="left" w:pos="9078"/>
          <w:tab w:val="left" w:pos="9188"/>
        </w:tabs>
        <w:spacing w:before="108" w:line="319" w:lineRule="auto"/>
        <w:ind w:left="550" w:leftChars="250" w:right="105"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提供国外技术标准的名称</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44D1AABA">
      <w:pPr>
        <w:pStyle w:val="5"/>
        <w:tabs>
          <w:tab w:val="left" w:pos="9133"/>
          <w:tab w:val="left" w:pos="9188"/>
        </w:tabs>
        <w:spacing w:before="25" w:line="319" w:lineRule="auto"/>
        <w:ind w:left="557" w:right="215" w:hanging="44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提供国外技术标准的份数</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0120F80E">
      <w:pPr>
        <w:pStyle w:val="5"/>
        <w:tabs>
          <w:tab w:val="left" w:pos="9078"/>
          <w:tab w:val="left" w:pos="9188"/>
        </w:tabs>
        <w:spacing w:before="25" w:line="319" w:lineRule="auto"/>
        <w:ind w:left="557" w:right="105" w:hanging="440"/>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57CD7A49">
      <w:pPr>
        <w:pStyle w:val="5"/>
        <w:tabs>
          <w:tab w:val="left" w:pos="9078"/>
          <w:tab w:val="left" w:pos="9188"/>
        </w:tabs>
        <w:spacing w:before="25" w:line="319" w:lineRule="auto"/>
        <w:ind w:left="550" w:leftChars="250" w:right="105" w:firstLine="0" w:firstLineChars="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提供国外技术标准的时间</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240ED1C8">
      <w:pPr>
        <w:pStyle w:val="5"/>
        <w:tabs>
          <w:tab w:val="left" w:pos="9078"/>
          <w:tab w:val="left" w:pos="9188"/>
        </w:tabs>
        <w:spacing w:before="25" w:line="319" w:lineRule="auto"/>
        <w:ind w:left="557" w:right="105" w:hanging="440"/>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48581531">
      <w:pPr>
        <w:pStyle w:val="5"/>
        <w:tabs>
          <w:tab w:val="left" w:pos="9078"/>
          <w:tab w:val="left" w:pos="9188"/>
        </w:tabs>
        <w:spacing w:before="25" w:line="319" w:lineRule="auto"/>
        <w:ind w:left="550" w:leftChars="250" w:right="105" w:firstLine="240" w:firstLineChars="10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提供国外技术标准的费用承担</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02F07BD4">
      <w:pPr>
        <w:pStyle w:val="5"/>
        <w:tabs>
          <w:tab w:val="left" w:pos="9078"/>
        </w:tabs>
        <w:spacing w:before="25"/>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643346CF">
      <w:pPr>
        <w:pStyle w:val="11"/>
        <w:numPr>
          <w:ilvl w:val="2"/>
          <w:numId w:val="22"/>
        </w:numPr>
        <w:tabs>
          <w:tab w:val="left" w:pos="1048"/>
        </w:tabs>
        <w:spacing w:before="108"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发包人对工程的技术标准和功能要求的特殊要求：</w:t>
      </w:r>
    </w:p>
    <w:p w14:paraId="6DABA5A4">
      <w:pPr>
        <w:pStyle w:val="5"/>
        <w:spacing w:before="0"/>
        <w:ind w:left="0"/>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0" distR="0" simplePos="0" relativeHeight="251659264" behindDoc="0" locked="0" layoutInCell="1" allowOverlap="1">
                <wp:simplePos x="0" y="0"/>
                <wp:positionH relativeFrom="page">
                  <wp:posOffset>899795</wp:posOffset>
                </wp:positionH>
                <wp:positionV relativeFrom="paragraph">
                  <wp:posOffset>274955</wp:posOffset>
                </wp:positionV>
                <wp:extent cx="5759450" cy="0"/>
                <wp:effectExtent l="0" t="4445" r="0" b="5080"/>
                <wp:wrapTopAndBottom/>
                <wp:docPr id="1" name="直线 2"/>
                <wp:cNvGraphicFramePr/>
                <a:graphic xmlns:a="http://schemas.openxmlformats.org/drawingml/2006/main">
                  <a:graphicData uri="http://schemas.microsoft.com/office/word/2010/wordprocessingShape">
                    <wps:wsp>
                      <wps:cNvSpPr/>
                      <wps:spPr>
                        <a:xfrm>
                          <a:off x="0" y="0"/>
                          <a:ext cx="5759450" cy="0"/>
                        </a:xfrm>
                        <a:prstGeom prst="line">
                          <a:avLst/>
                        </a:prstGeom>
                        <a:ln w="3594" cap="flat" cmpd="sng">
                          <a:solidFill>
                            <a:srgbClr val="231F20"/>
                          </a:solidFill>
                          <a:prstDash val="solid"/>
                          <a:headEnd type="none" w="med" len="med"/>
                          <a:tailEnd type="none" w="med" len="med"/>
                        </a:ln>
                      </wps:spPr>
                      <wps:bodyPr upright="1"/>
                    </wps:wsp>
                  </a:graphicData>
                </a:graphic>
              </wp:anchor>
            </w:drawing>
          </mc:Choice>
          <mc:Fallback>
            <w:pict>
              <v:line id="直线 2" o:spid="_x0000_s1026" o:spt="20" style="position:absolute;left:0pt;margin-left:70.85pt;margin-top:21.65pt;height:0pt;width:453.5pt;mso-position-horizontal-relative:page;mso-wrap-distance-bottom:0pt;mso-wrap-distance-top:0pt;z-index:251659264;mso-width-relative:page;mso-height-relative:page;" filled="f" stroked="t" coordsize="21600,21600" o:gfxdata="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AIsHdu&#10;2AAAAAoBAAAPAAAAAAAAAAEAIAAAACIAAABkcnMvZG93bnJldi54bWxQSwECFAAUAAAACACHTuJA&#10;/7tHKegBAADbAwAADgAAAAAAAAABACAAAAAnAQAAZHJzL2Uyb0RvYy54bWxQSwUGAAAAAAYABgBZ&#10;AQAAgQUAAAAA&#10;">
                <v:fill on="f" focussize="0,0"/>
                <v:stroke weight="0.282992125984252pt" color="#231F20" joinstyle="round"/>
                <v:imagedata o:title=""/>
                <o:lock v:ext="edit" aspectratio="f"/>
                <w10:wrap type="topAndBottom"/>
              </v:line>
            </w:pict>
          </mc:Fallback>
        </mc:AlternateContent>
      </w:r>
    </w:p>
    <w:p w14:paraId="0B3DF6F6">
      <w:pPr>
        <w:pStyle w:val="5"/>
        <w:tabs>
          <w:tab w:val="left" w:pos="9078"/>
        </w:tabs>
        <w:spacing w:before="83"/>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38BC6422">
      <w:pPr>
        <w:pStyle w:val="11"/>
        <w:numPr>
          <w:ilvl w:val="1"/>
          <w:numId w:val="23"/>
        </w:numPr>
        <w:tabs>
          <w:tab w:val="left" w:pos="884"/>
        </w:tabs>
        <w:spacing w:before="108"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合同文件的优先顺序</w:t>
      </w:r>
    </w:p>
    <w:p w14:paraId="5AA81898">
      <w:pPr>
        <w:pStyle w:val="5"/>
        <w:tabs>
          <w:tab w:val="left" w:pos="9188"/>
        </w:tabs>
        <w:spacing w:before="108"/>
        <w:ind w:left="557"/>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合同文件组成及优先顺序为</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3D331900">
      <w:pPr>
        <w:pStyle w:val="5"/>
        <w:tabs>
          <w:tab w:val="left" w:pos="9078"/>
        </w:tabs>
        <w:spacing w:before="108"/>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34EE5BDF">
      <w:pPr>
        <w:pStyle w:val="11"/>
        <w:numPr>
          <w:ilvl w:val="1"/>
          <w:numId w:val="23"/>
        </w:numPr>
        <w:tabs>
          <w:tab w:val="left" w:pos="884"/>
        </w:tabs>
        <w:spacing w:before="108" w:after="0" w:line="240" w:lineRule="auto"/>
        <w:ind w:left="883" w:right="0" w:hanging="326"/>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联络</w:t>
      </w:r>
    </w:p>
    <w:p w14:paraId="7C861200">
      <w:pPr>
        <w:spacing w:after="0" w:line="240" w:lineRule="auto"/>
        <w:jc w:val="left"/>
        <w:rPr>
          <w:rFonts w:hint="eastAsia" w:asciiTheme="minorEastAsia" w:hAnsiTheme="minorEastAsia" w:eastAsiaTheme="minorEastAsia" w:cstheme="minorEastAsia"/>
          <w:sz w:val="24"/>
          <w:szCs w:val="24"/>
        </w:rPr>
        <w:sectPr>
          <w:footerReference r:id="rId7" w:type="default"/>
          <w:footerReference r:id="rId8" w:type="even"/>
          <w:pgSz w:w="11910" w:h="16840"/>
          <w:pgMar w:top="1580" w:right="1200" w:bottom="1020" w:left="1300" w:header="0" w:footer="832" w:gutter="0"/>
          <w:pgNumType w:fmt="decimal"/>
          <w:cols w:space="720" w:num="1"/>
        </w:sectPr>
      </w:pPr>
    </w:p>
    <w:p w14:paraId="74B249CF">
      <w:pPr>
        <w:pStyle w:val="11"/>
        <w:numPr>
          <w:ilvl w:val="2"/>
          <w:numId w:val="23"/>
        </w:numPr>
        <w:tabs>
          <w:tab w:val="left" w:pos="1049"/>
          <w:tab w:val="left" w:pos="3688"/>
        </w:tabs>
        <w:spacing w:before="24" w:after="0" w:line="319" w:lineRule="auto"/>
        <w:ind w:left="117" w:right="215" w:firstLine="44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发包人和设计人应当在</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天内将与合同有关的通知、批准、证明、证书、指示、指令、要求、请求、同意、确定和决定等书面函件送达对方当事人。</w:t>
      </w:r>
    </w:p>
    <w:p w14:paraId="455FE81D">
      <w:pPr>
        <w:pStyle w:val="11"/>
        <w:numPr>
          <w:ilvl w:val="2"/>
          <w:numId w:val="23"/>
        </w:numPr>
        <w:tabs>
          <w:tab w:val="left" w:pos="1048"/>
        </w:tabs>
        <w:spacing w:before="26" w:after="0" w:line="240" w:lineRule="auto"/>
        <w:ind w:left="1047" w:right="0" w:hanging="490"/>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发包人与设计人联系信息</w:t>
      </w:r>
    </w:p>
    <w:p w14:paraId="1B36EA58">
      <w:pPr>
        <w:pStyle w:val="5"/>
        <w:tabs>
          <w:tab w:val="left" w:pos="9078"/>
        </w:tabs>
        <w:spacing w:line="319" w:lineRule="auto"/>
        <w:ind w:left="557" w:right="105"/>
        <w:jc w:val="both"/>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发包人接收文件的地点</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 xml:space="preserve">； </w:t>
      </w:r>
    </w:p>
    <w:p w14:paraId="5684EC49">
      <w:pPr>
        <w:pStyle w:val="5"/>
        <w:tabs>
          <w:tab w:val="left" w:pos="9078"/>
        </w:tabs>
        <w:spacing w:line="319" w:lineRule="auto"/>
        <w:ind w:left="557" w:right="105"/>
        <w:jc w:val="both"/>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发包人指定的接收人为</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w:t>
      </w:r>
    </w:p>
    <w:p w14:paraId="40881410">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both"/>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 xml:space="preserve"> 发包人指定的联系电话及传真号码</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023C6070">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both"/>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发包人指定的电子邮箱</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0123DE8D">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both"/>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设计人接收文件的地点</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6E9D527A">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both"/>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设计人指定的接收人为</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6AB2A60A">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both"/>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设计人指定的联系电话及传真号码</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6A5957E2">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both"/>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设计人指定的电子邮箱</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231FF6BB">
      <w:pPr>
        <w:pStyle w:val="5"/>
        <w:spacing w:before="25"/>
        <w:ind w:left="557"/>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1.8 保密</w:t>
      </w:r>
    </w:p>
    <w:p w14:paraId="405DFA69">
      <w:pPr>
        <w:pStyle w:val="5"/>
        <w:tabs>
          <w:tab w:val="left" w:pos="9078"/>
        </w:tabs>
        <w:ind w:left="557"/>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保密期限</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70EC3067">
      <w:pPr>
        <w:pStyle w:val="11"/>
        <w:numPr>
          <w:ilvl w:val="0"/>
          <w:numId w:val="21"/>
        </w:numPr>
        <w:tabs>
          <w:tab w:val="left" w:pos="362"/>
        </w:tabs>
        <w:spacing w:before="103" w:after="0" w:line="240" w:lineRule="auto"/>
        <w:ind w:left="361" w:right="0" w:hanging="244"/>
        <w:jc w:val="left"/>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w:t>
      </w:r>
    </w:p>
    <w:p w14:paraId="71ED1F47">
      <w:pPr>
        <w:pStyle w:val="11"/>
        <w:numPr>
          <w:ilvl w:val="1"/>
          <w:numId w:val="21"/>
        </w:numPr>
        <w:tabs>
          <w:tab w:val="left" w:pos="884"/>
        </w:tabs>
        <w:spacing w:before="122" w:after="0" w:line="240" w:lineRule="auto"/>
        <w:ind w:left="883" w:right="0" w:hanging="326"/>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发包人一般义务</w:t>
      </w:r>
    </w:p>
    <w:p w14:paraId="0C786E1C">
      <w:pPr>
        <w:pStyle w:val="5"/>
        <w:tabs>
          <w:tab w:val="left" w:pos="9078"/>
        </w:tabs>
        <w:ind w:left="557"/>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2.1.3</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发包人其他义务</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1353FAF5">
      <w:pPr>
        <w:pStyle w:val="11"/>
        <w:keepNext w:val="0"/>
        <w:keepLines w:val="0"/>
        <w:pageBreakBefore w:val="0"/>
        <w:widowControl w:val="0"/>
        <w:numPr>
          <w:numId w:val="0"/>
        </w:numPr>
        <w:tabs>
          <w:tab w:val="left" w:pos="884"/>
        </w:tabs>
        <w:kinsoku/>
        <w:wordWrap/>
        <w:overflowPunct/>
        <w:topLinePunct w:val="0"/>
        <w:autoSpaceDE w:val="0"/>
        <w:autoSpaceDN w:val="0"/>
        <w:bidi w:val="0"/>
        <w:adjustRightInd/>
        <w:snapToGrid/>
        <w:spacing w:before="0" w:after="0" w:line="320" w:lineRule="auto"/>
        <w:ind w:leftChars="0" w:right="0" w:rightChars="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2.2</w:t>
      </w:r>
      <w:r>
        <w:rPr>
          <w:rFonts w:hint="eastAsia" w:asciiTheme="minorEastAsia" w:hAnsiTheme="minorEastAsia" w:eastAsiaTheme="minorEastAsia" w:cstheme="minorEastAsia"/>
          <w:color w:val="231F20"/>
          <w:sz w:val="24"/>
          <w:szCs w:val="24"/>
        </w:rPr>
        <w:t>发包人代表发包人表：</w:t>
      </w:r>
    </w:p>
    <w:p w14:paraId="42E3C64D">
      <w:pPr>
        <w:pStyle w:val="5"/>
        <w:tabs>
          <w:tab w:val="left" w:pos="5599"/>
          <w:tab w:val="left" w:pos="5656"/>
        </w:tabs>
        <w:spacing w:before="26" w:line="319" w:lineRule="auto"/>
        <w:ind w:left="557" w:right="3526"/>
        <w:jc w:val="both"/>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xml:space="preserve">姓       </w:t>
      </w:r>
      <w:r>
        <w:rPr>
          <w:rFonts w:hint="eastAsia" w:asciiTheme="minorEastAsia" w:hAnsiTheme="minorEastAsia" w:eastAsiaTheme="minorEastAsia" w:cstheme="minorEastAsia"/>
          <w:color w:val="231F20"/>
          <w:spacing w:val="5"/>
          <w:sz w:val="24"/>
          <w:szCs w:val="24"/>
        </w:rPr>
        <w:t xml:space="preserve"> </w:t>
      </w:r>
      <w:r>
        <w:rPr>
          <w:rFonts w:hint="eastAsia" w:asciiTheme="minorEastAsia" w:hAnsiTheme="minorEastAsia" w:eastAsiaTheme="minorEastAsia" w:cstheme="minorEastAsia"/>
          <w:color w:val="231F20"/>
          <w:sz w:val="24"/>
          <w:szCs w:val="24"/>
        </w:rPr>
        <w:t>名</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身份证号</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职       </w:t>
      </w:r>
      <w:r>
        <w:rPr>
          <w:rFonts w:hint="eastAsia" w:asciiTheme="minorEastAsia" w:hAnsiTheme="minorEastAsia" w:eastAsiaTheme="minorEastAsia" w:cstheme="minorEastAsia"/>
          <w:color w:val="231F20"/>
          <w:spacing w:val="5"/>
          <w:sz w:val="24"/>
          <w:szCs w:val="24"/>
        </w:rPr>
        <w:t xml:space="preserve"> </w:t>
      </w:r>
      <w:r>
        <w:rPr>
          <w:rFonts w:hint="eastAsia" w:asciiTheme="minorEastAsia" w:hAnsiTheme="minorEastAsia" w:eastAsiaTheme="minorEastAsia" w:cstheme="minorEastAsia"/>
          <w:color w:val="231F20"/>
          <w:sz w:val="24"/>
          <w:szCs w:val="24"/>
        </w:rPr>
        <w:t>务</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联系电话</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电子信箱</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通信地址</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7B16209C">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ind w:firstLine="480" w:firstLineChars="200"/>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发包人对发包人代表的授权范围如下</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w:t>
      </w:r>
    </w:p>
    <w:p w14:paraId="4BF76A52">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发包人更换发包人代表的，应当提前</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天书面通知设计人。</w:t>
      </w:r>
    </w:p>
    <w:p w14:paraId="3CA61A58">
      <w:pPr>
        <w:pStyle w:val="11"/>
        <w:keepNext w:val="0"/>
        <w:keepLines w:val="0"/>
        <w:pageBreakBefore w:val="0"/>
        <w:widowControl w:val="0"/>
        <w:numPr>
          <w:numId w:val="0"/>
        </w:numPr>
        <w:tabs>
          <w:tab w:val="left" w:pos="884"/>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2.3</w:t>
      </w:r>
      <w:r>
        <w:rPr>
          <w:rFonts w:hint="eastAsia" w:asciiTheme="minorEastAsia" w:hAnsiTheme="minorEastAsia" w:eastAsiaTheme="minorEastAsia" w:cstheme="minorEastAsia"/>
          <w:color w:val="231F20"/>
          <w:sz w:val="24"/>
          <w:szCs w:val="24"/>
        </w:rPr>
        <w:t>发包人决定</w:t>
      </w:r>
    </w:p>
    <w:p w14:paraId="5E7B169F">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2.3.2 发包人应在</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rPr>
        <w:t xml:space="preserve"> 天内对设计人书面提出的事项作出书面决定。</w:t>
      </w:r>
    </w:p>
    <w:p w14:paraId="527B601D">
      <w:pPr>
        <w:pStyle w:val="11"/>
        <w:keepNext w:val="0"/>
        <w:keepLines w:val="0"/>
        <w:pageBreakBefore w:val="0"/>
        <w:widowControl w:val="0"/>
        <w:numPr>
          <w:numId w:val="0"/>
        </w:numPr>
        <w:tabs>
          <w:tab w:val="left" w:pos="362"/>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3.</w:t>
      </w:r>
      <w:r>
        <w:rPr>
          <w:rFonts w:hint="eastAsia" w:asciiTheme="minorEastAsia" w:hAnsiTheme="minorEastAsia" w:eastAsiaTheme="minorEastAsia" w:cstheme="minorEastAsia"/>
          <w:color w:val="231F20"/>
          <w:sz w:val="24"/>
          <w:szCs w:val="24"/>
        </w:rPr>
        <w:t>设计人</w:t>
      </w:r>
    </w:p>
    <w:p w14:paraId="65563EF6">
      <w:pPr>
        <w:pStyle w:val="11"/>
        <w:keepNext w:val="0"/>
        <w:keepLines w:val="0"/>
        <w:pageBreakBefore w:val="0"/>
        <w:widowControl w:val="0"/>
        <w:numPr>
          <w:numId w:val="0"/>
        </w:numPr>
        <w:tabs>
          <w:tab w:val="left" w:pos="884"/>
        </w:tabs>
        <w:kinsoku/>
        <w:wordWrap/>
        <w:overflowPunct/>
        <w:topLinePunct w:val="0"/>
        <w:autoSpaceDE w:val="0"/>
        <w:autoSpaceDN w:val="0"/>
        <w:bidi w:val="0"/>
        <w:adjustRightInd w:val="0"/>
        <w:snapToGrid w:val="0"/>
        <w:spacing w:before="0" w:after="0" w:line="320" w:lineRule="auto"/>
        <w:ind w:leftChars="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3.1</w:t>
      </w:r>
      <w:r>
        <w:rPr>
          <w:rFonts w:hint="eastAsia" w:asciiTheme="minorEastAsia" w:hAnsiTheme="minorEastAsia" w:eastAsiaTheme="minorEastAsia" w:cstheme="minorEastAsia"/>
          <w:color w:val="231F20"/>
          <w:sz w:val="24"/>
          <w:szCs w:val="24"/>
        </w:rPr>
        <w:t>设计人一般义务</w:t>
      </w:r>
    </w:p>
    <w:p w14:paraId="074F98C0">
      <w:pPr>
        <w:keepNext w:val="0"/>
        <w:keepLines w:val="0"/>
        <w:pageBreakBefore w:val="0"/>
        <w:widowControl w:val="0"/>
        <w:kinsoku/>
        <w:wordWrap/>
        <w:overflowPunct/>
        <w:topLinePunct w:val="0"/>
        <w:autoSpaceDE w:val="0"/>
        <w:autoSpaceDN w:val="0"/>
        <w:bidi w:val="0"/>
        <w:adjustRightInd w:val="0"/>
        <w:snapToGrid w:val="0"/>
        <w:spacing w:before="0" w:after="0" w:line="320" w:lineRule="auto"/>
        <w:ind w:left="0" w:leftChars="0" w:right="0" w:firstLine="480" w:firstLineChars="200"/>
        <w:jc w:val="left"/>
        <w:textAlignment w:val="auto"/>
        <w:rPr>
          <w:rFonts w:hint="eastAsia" w:asciiTheme="minorEastAsia" w:hAnsiTheme="minorEastAsia" w:eastAsiaTheme="minorEastAsia" w:cstheme="minorEastAsia"/>
          <w:sz w:val="24"/>
          <w:szCs w:val="24"/>
        </w:rPr>
        <w:sectPr>
          <w:footerReference r:id="rId9" w:type="default"/>
          <w:footerReference r:id="rId10" w:type="even"/>
          <w:pgSz w:w="11910" w:h="16840"/>
          <w:pgMar w:top="1580" w:right="1200" w:bottom="1020" w:left="1300" w:header="0" w:footer="832" w:gutter="0"/>
          <w:pgNumType w:fmt="decimal"/>
          <w:cols w:space="720" w:num="1"/>
        </w:sectPr>
      </w:pPr>
    </w:p>
    <w:p w14:paraId="7B0D72BD">
      <w:pPr>
        <w:pStyle w:val="5"/>
        <w:keepNext w:val="0"/>
        <w:keepLines w:val="0"/>
        <w:pageBreakBefore w:val="0"/>
        <w:widowControl w:val="0"/>
        <w:tabs>
          <w:tab w:val="left" w:pos="3221"/>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3.1.1</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设计人</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rPr>
        <w:t>需 / 不需）配合发包人办理有关许可、批准或备案手续。</w:t>
      </w:r>
    </w:p>
    <w:p w14:paraId="05661960">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3.1.3</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设计人其他义务</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765ACC73">
      <w:pPr>
        <w:pStyle w:val="11"/>
        <w:keepNext w:val="0"/>
        <w:keepLines w:val="0"/>
        <w:pageBreakBefore w:val="0"/>
        <w:widowControl w:val="0"/>
        <w:numPr>
          <w:ilvl w:val="1"/>
          <w:numId w:val="24"/>
        </w:numPr>
        <w:tabs>
          <w:tab w:val="left" w:pos="884"/>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项目负责人</w:t>
      </w:r>
    </w:p>
    <w:p w14:paraId="244E3CE7">
      <w:pPr>
        <w:pStyle w:val="11"/>
        <w:keepNext w:val="0"/>
        <w:keepLines w:val="0"/>
        <w:pageBreakBefore w:val="0"/>
        <w:widowControl w:val="0"/>
        <w:numPr>
          <w:ilvl w:val="2"/>
          <w:numId w:val="24"/>
        </w:numPr>
        <w:tabs>
          <w:tab w:val="left" w:pos="1048"/>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项目负责人</w:t>
      </w:r>
    </w:p>
    <w:p w14:paraId="35583ED5">
      <w:pPr>
        <w:pStyle w:val="5"/>
        <w:keepNext w:val="0"/>
        <w:keepLines w:val="0"/>
        <w:pageBreakBefore w:val="0"/>
        <w:widowControl w:val="0"/>
        <w:tabs>
          <w:tab w:val="left" w:pos="1217"/>
          <w:tab w:val="left" w:pos="5548"/>
          <w:tab w:val="left" w:pos="5602"/>
          <w:tab w:val="left" w:pos="5660"/>
          <w:tab w:val="left" w:pos="5714"/>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姓</w:t>
      </w:r>
      <w:r>
        <w:rPr>
          <w:rFonts w:hint="eastAsia" w:asciiTheme="minorEastAsia" w:hAnsiTheme="minorEastAsia" w:eastAsiaTheme="minorEastAsia" w:cstheme="minorEastAsia"/>
          <w:color w:val="231F20"/>
          <w:sz w:val="24"/>
          <w:szCs w:val="24"/>
        </w:rPr>
        <w:tab/>
      </w:r>
      <w:r>
        <w:rPr>
          <w:rFonts w:hint="eastAsia" w:asciiTheme="minorEastAsia" w:hAnsiTheme="minorEastAsia" w:eastAsiaTheme="minorEastAsia" w:cstheme="minorEastAsia"/>
          <w:color w:val="231F20"/>
          <w:sz w:val="24"/>
          <w:szCs w:val="24"/>
        </w:rPr>
        <w:t>名</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2958DE34">
      <w:pPr>
        <w:pStyle w:val="5"/>
        <w:keepNext w:val="0"/>
        <w:keepLines w:val="0"/>
        <w:pageBreakBefore w:val="0"/>
        <w:widowControl w:val="0"/>
        <w:tabs>
          <w:tab w:val="left" w:pos="1217"/>
          <w:tab w:val="left" w:pos="5548"/>
          <w:tab w:val="left" w:pos="5602"/>
          <w:tab w:val="left" w:pos="5660"/>
          <w:tab w:val="left" w:pos="5714"/>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执业资格及等级</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2EEF6C74">
      <w:pPr>
        <w:pStyle w:val="5"/>
        <w:keepNext w:val="0"/>
        <w:keepLines w:val="0"/>
        <w:pageBreakBefore w:val="0"/>
        <w:widowControl w:val="0"/>
        <w:tabs>
          <w:tab w:val="left" w:pos="1217"/>
          <w:tab w:val="left" w:pos="5548"/>
          <w:tab w:val="left" w:pos="5602"/>
          <w:tab w:val="left" w:pos="5660"/>
          <w:tab w:val="left" w:pos="5714"/>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注册证书号</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579EDDD7">
      <w:pPr>
        <w:pStyle w:val="5"/>
        <w:keepNext w:val="0"/>
        <w:keepLines w:val="0"/>
        <w:pageBreakBefore w:val="0"/>
        <w:widowControl w:val="0"/>
        <w:tabs>
          <w:tab w:val="left" w:pos="1217"/>
          <w:tab w:val="left" w:pos="5548"/>
          <w:tab w:val="left" w:pos="5602"/>
          <w:tab w:val="left" w:pos="5660"/>
          <w:tab w:val="left" w:pos="5714"/>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 xml:space="preserve"> 联系电话</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4DA7DF0D">
      <w:pPr>
        <w:pStyle w:val="5"/>
        <w:keepNext w:val="0"/>
        <w:keepLines w:val="0"/>
        <w:pageBreakBefore w:val="0"/>
        <w:widowControl w:val="0"/>
        <w:tabs>
          <w:tab w:val="left" w:pos="1217"/>
          <w:tab w:val="left" w:pos="5548"/>
          <w:tab w:val="left" w:pos="5602"/>
          <w:tab w:val="left" w:pos="5660"/>
          <w:tab w:val="left" w:pos="5714"/>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电子信箱</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 xml:space="preserve">； </w:t>
      </w:r>
    </w:p>
    <w:p w14:paraId="4590802E">
      <w:pPr>
        <w:pStyle w:val="5"/>
        <w:keepNext w:val="0"/>
        <w:keepLines w:val="0"/>
        <w:pageBreakBefore w:val="0"/>
        <w:widowControl w:val="0"/>
        <w:tabs>
          <w:tab w:val="left" w:pos="1217"/>
          <w:tab w:val="left" w:pos="5548"/>
          <w:tab w:val="left" w:pos="5602"/>
          <w:tab w:val="left" w:pos="5660"/>
          <w:tab w:val="left" w:pos="5714"/>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通信地址</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1AC38FEA">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设计人对项目负责人的授权范围如下</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6BE772AF">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4798F61B">
      <w:pPr>
        <w:pStyle w:val="11"/>
        <w:keepNext w:val="0"/>
        <w:keepLines w:val="0"/>
        <w:pageBreakBefore w:val="0"/>
        <w:widowControl w:val="0"/>
        <w:numPr>
          <w:ilvl w:val="2"/>
          <w:numId w:val="24"/>
        </w:numPr>
        <w:tabs>
          <w:tab w:val="left" w:pos="1048"/>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设计人更换项目负责人的，应提前</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pacing w:val="1"/>
          <w:sz w:val="24"/>
          <w:szCs w:val="24"/>
        </w:rPr>
        <w:t xml:space="preserve"> 天书面通知发包人。</w:t>
      </w:r>
    </w:p>
    <w:p w14:paraId="4E1A3002">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设计人擅自更换项目负责人的违约责任</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2F00E315">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7CD99464">
      <w:pPr>
        <w:pStyle w:val="11"/>
        <w:keepNext w:val="0"/>
        <w:keepLines w:val="0"/>
        <w:pageBreakBefore w:val="0"/>
        <w:widowControl w:val="0"/>
        <w:numPr>
          <w:ilvl w:val="2"/>
          <w:numId w:val="24"/>
        </w:numPr>
        <w:tabs>
          <w:tab w:val="left" w:pos="1048"/>
          <w:tab w:val="left" w:pos="4451"/>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设计人应在收到书面更换通知后</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天内更换项目负责人。</w:t>
      </w:r>
    </w:p>
    <w:p w14:paraId="750E1942">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设计人无正当理由拒绝更换项目负责人的违约责任</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450ED77F">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4EACD3A2">
      <w:pPr>
        <w:pStyle w:val="11"/>
        <w:keepNext w:val="0"/>
        <w:keepLines w:val="0"/>
        <w:pageBreakBefore w:val="0"/>
        <w:widowControl w:val="0"/>
        <w:numPr>
          <w:ilvl w:val="1"/>
          <w:numId w:val="24"/>
        </w:numPr>
        <w:tabs>
          <w:tab w:val="left" w:pos="884"/>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设计人人员</w:t>
      </w:r>
    </w:p>
    <w:p w14:paraId="4C7D50B5">
      <w:pPr>
        <w:pStyle w:val="11"/>
        <w:keepNext w:val="0"/>
        <w:keepLines w:val="0"/>
        <w:pageBreakBefore w:val="0"/>
        <w:widowControl w:val="0"/>
        <w:numPr>
          <w:ilvl w:val="2"/>
          <w:numId w:val="24"/>
        </w:numPr>
        <w:tabs>
          <w:tab w:val="left" w:pos="1048"/>
          <w:tab w:val="left" w:pos="6875"/>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设计人提交项目管理机构及人员安排报告的期限</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1812FB4E">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3.3.3 设计人无正当理由拒绝撤换主要设计人员的违约责任：</w:t>
      </w:r>
    </w:p>
    <w:p w14:paraId="772D2276">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4C67C6D2">
      <w:pPr>
        <w:pStyle w:val="11"/>
        <w:keepNext w:val="0"/>
        <w:keepLines w:val="0"/>
        <w:pageBreakBefore w:val="0"/>
        <w:widowControl w:val="0"/>
        <w:numPr>
          <w:ilvl w:val="1"/>
          <w:numId w:val="25"/>
        </w:numPr>
        <w:tabs>
          <w:tab w:val="left" w:pos="884"/>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设计分包</w:t>
      </w:r>
    </w:p>
    <w:p w14:paraId="65B734DD">
      <w:pPr>
        <w:pStyle w:val="11"/>
        <w:keepNext w:val="0"/>
        <w:keepLines w:val="0"/>
        <w:pageBreakBefore w:val="0"/>
        <w:widowControl w:val="0"/>
        <w:numPr>
          <w:ilvl w:val="2"/>
          <w:numId w:val="25"/>
        </w:numPr>
        <w:tabs>
          <w:tab w:val="left" w:pos="1048"/>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设计分包的一般约定</w:t>
      </w:r>
    </w:p>
    <w:p w14:paraId="59E1ABF8">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禁止设计分包的工程包括</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。主体结构、关键性工作的范围</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51F07FCC">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73D472C6">
      <w:pPr>
        <w:pStyle w:val="11"/>
        <w:keepNext w:val="0"/>
        <w:keepLines w:val="0"/>
        <w:pageBreakBefore w:val="0"/>
        <w:widowControl w:val="0"/>
        <w:numPr>
          <w:ilvl w:val="2"/>
          <w:numId w:val="25"/>
        </w:numPr>
        <w:tabs>
          <w:tab w:val="left" w:pos="1049"/>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设计分包的确定</w:t>
      </w:r>
    </w:p>
    <w:p w14:paraId="768AC368">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允许分包的专业工程包括</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751B07AA">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109F444A">
      <w:pPr>
        <w:keepNext w:val="0"/>
        <w:keepLines w:val="0"/>
        <w:pageBreakBefore w:val="0"/>
        <w:widowControl w:val="0"/>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sectPr>
          <w:pgSz w:w="11910" w:h="16840"/>
          <w:pgMar w:top="1580" w:right="1200" w:bottom="1020" w:left="1300" w:header="0" w:footer="832" w:gutter="0"/>
          <w:pgNumType w:fmt="decimal"/>
          <w:cols w:space="720" w:num="1"/>
        </w:sectPr>
      </w:pPr>
    </w:p>
    <w:p w14:paraId="3BEF4E58">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其他关于分包的约定</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3857804E">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5C035645">
      <w:pPr>
        <w:pStyle w:val="11"/>
        <w:keepNext w:val="0"/>
        <w:keepLines w:val="0"/>
        <w:pageBreakBefore w:val="0"/>
        <w:widowControl w:val="0"/>
        <w:numPr>
          <w:ilvl w:val="2"/>
          <w:numId w:val="25"/>
        </w:numPr>
        <w:tabs>
          <w:tab w:val="left" w:pos="1048"/>
          <w:tab w:val="left" w:pos="9188"/>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设计人向发包人提交有关分包人资料包括</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088D984F">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12B7B9CE">
      <w:pPr>
        <w:pStyle w:val="11"/>
        <w:keepNext w:val="0"/>
        <w:keepLines w:val="0"/>
        <w:pageBreakBefore w:val="0"/>
        <w:widowControl w:val="0"/>
        <w:numPr>
          <w:ilvl w:val="2"/>
          <w:numId w:val="25"/>
        </w:numPr>
        <w:tabs>
          <w:tab w:val="left" w:pos="1048"/>
          <w:tab w:val="left" w:pos="9188"/>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分包工程设计费支付方式</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7659FF2D">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373166CA">
      <w:pPr>
        <w:pStyle w:val="11"/>
        <w:keepNext w:val="0"/>
        <w:keepLines w:val="0"/>
        <w:pageBreakBefore w:val="0"/>
        <w:widowControl w:val="0"/>
        <w:numPr>
          <w:ilvl w:val="1"/>
          <w:numId w:val="25"/>
        </w:numPr>
        <w:tabs>
          <w:tab w:val="left" w:pos="884"/>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联合体</w:t>
      </w:r>
    </w:p>
    <w:p w14:paraId="531B09AB">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3.5.4</w:t>
      </w:r>
      <w:r>
        <w:rPr>
          <w:rFonts w:hint="eastAsia" w:asciiTheme="minorEastAsia" w:hAnsiTheme="minorEastAsia" w:eastAsiaTheme="minorEastAsia" w:cstheme="minorEastAsia"/>
          <w:color w:val="231F20"/>
          <w:spacing w:val="-5"/>
          <w:sz w:val="24"/>
          <w:szCs w:val="24"/>
        </w:rPr>
        <w:t xml:space="preserve"> </w:t>
      </w:r>
      <w:r>
        <w:rPr>
          <w:rFonts w:hint="eastAsia" w:asciiTheme="minorEastAsia" w:hAnsiTheme="minorEastAsia" w:eastAsiaTheme="minorEastAsia" w:cstheme="minorEastAsia"/>
          <w:color w:val="231F20"/>
          <w:sz w:val="24"/>
          <w:szCs w:val="24"/>
        </w:rPr>
        <w:t>发包人向联合体支付设计费用的方式</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39090504">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03B160AA">
      <w:pPr>
        <w:pStyle w:val="11"/>
        <w:keepNext w:val="0"/>
        <w:keepLines w:val="0"/>
        <w:pageBreakBefore w:val="0"/>
        <w:widowControl w:val="0"/>
        <w:numPr>
          <w:numId w:val="0"/>
        </w:numPr>
        <w:tabs>
          <w:tab w:val="left" w:pos="362"/>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5.</w:t>
      </w:r>
      <w:r>
        <w:rPr>
          <w:rFonts w:hint="eastAsia" w:asciiTheme="minorEastAsia" w:hAnsiTheme="minorEastAsia" w:eastAsiaTheme="minorEastAsia" w:cstheme="minorEastAsia"/>
          <w:color w:val="231F20"/>
          <w:sz w:val="24"/>
          <w:szCs w:val="24"/>
        </w:rPr>
        <w:t>工程设计要求</w:t>
      </w:r>
    </w:p>
    <w:p w14:paraId="28EB3D2A">
      <w:pPr>
        <w:pStyle w:val="11"/>
        <w:keepNext w:val="0"/>
        <w:keepLines w:val="0"/>
        <w:pageBreakBefore w:val="0"/>
        <w:widowControl w:val="0"/>
        <w:numPr>
          <w:ilvl w:val="1"/>
          <w:numId w:val="26"/>
        </w:numPr>
        <w:tabs>
          <w:tab w:val="left" w:pos="884"/>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工程设计一般要求</w:t>
      </w:r>
    </w:p>
    <w:p w14:paraId="04555CF5">
      <w:pPr>
        <w:pStyle w:val="11"/>
        <w:keepNext w:val="0"/>
        <w:keepLines w:val="0"/>
        <w:pageBreakBefore w:val="0"/>
        <w:widowControl w:val="0"/>
        <w:numPr>
          <w:ilvl w:val="3"/>
          <w:numId w:val="27"/>
        </w:numPr>
        <w:tabs>
          <w:tab w:val="left" w:pos="1211"/>
          <w:tab w:val="left" w:pos="9188"/>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工程设计的特殊标准或要求</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7385D9D0">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24F2BDCA">
      <w:pPr>
        <w:pStyle w:val="11"/>
        <w:keepNext w:val="0"/>
        <w:keepLines w:val="0"/>
        <w:pageBreakBefore w:val="0"/>
        <w:widowControl w:val="0"/>
        <w:numPr>
          <w:ilvl w:val="3"/>
          <w:numId w:val="27"/>
        </w:numPr>
        <w:tabs>
          <w:tab w:val="left" w:pos="1211"/>
          <w:tab w:val="left" w:pos="9078"/>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工程设计适用的技术标准</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284D769A">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5.1.2.4</w:t>
      </w:r>
      <w:r>
        <w:rPr>
          <w:rFonts w:hint="eastAsia" w:asciiTheme="minorEastAsia" w:hAnsiTheme="minorEastAsia" w:eastAsiaTheme="minorEastAsia" w:cstheme="minorEastAsia"/>
          <w:color w:val="231F20"/>
          <w:spacing w:val="-7"/>
          <w:sz w:val="24"/>
          <w:szCs w:val="24"/>
        </w:rPr>
        <w:t xml:space="preserve"> </w:t>
      </w:r>
      <w:r>
        <w:rPr>
          <w:rFonts w:hint="eastAsia" w:asciiTheme="minorEastAsia" w:hAnsiTheme="minorEastAsia" w:eastAsiaTheme="minorEastAsia" w:cstheme="minorEastAsia"/>
          <w:color w:val="231F20"/>
          <w:sz w:val="24"/>
          <w:szCs w:val="24"/>
        </w:rPr>
        <w:t>工程设计文件的主要技术指标控制值及比例</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3A311B0C">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0D30D19F">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5.3 工程设计文件的要求</w:t>
      </w:r>
    </w:p>
    <w:p w14:paraId="117B0080">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5.3.3</w:t>
      </w:r>
      <w:r>
        <w:rPr>
          <w:rFonts w:hint="eastAsia" w:asciiTheme="minorEastAsia" w:hAnsiTheme="minorEastAsia" w:eastAsiaTheme="minorEastAsia" w:cstheme="minorEastAsia"/>
          <w:color w:val="231F20"/>
          <w:spacing w:val="-5"/>
          <w:sz w:val="24"/>
          <w:szCs w:val="24"/>
        </w:rPr>
        <w:t xml:space="preserve"> </w:t>
      </w:r>
      <w:r>
        <w:rPr>
          <w:rFonts w:hint="eastAsia" w:asciiTheme="minorEastAsia" w:hAnsiTheme="minorEastAsia" w:eastAsiaTheme="minorEastAsia" w:cstheme="minorEastAsia"/>
          <w:color w:val="231F20"/>
          <w:sz w:val="24"/>
          <w:szCs w:val="24"/>
        </w:rPr>
        <w:t>工程设计文件深度规定</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24CD1A17">
      <w:pPr>
        <w:pStyle w:val="5"/>
        <w:keepNext w:val="0"/>
        <w:keepLines w:val="0"/>
        <w:pageBreakBefore w:val="0"/>
        <w:widowControl w:val="0"/>
        <w:tabs>
          <w:tab w:val="left" w:pos="896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5411FE55">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5.3.5</w:t>
      </w:r>
      <w:r>
        <w:rPr>
          <w:rFonts w:hint="eastAsia" w:asciiTheme="minorEastAsia" w:hAnsiTheme="minorEastAsia" w:eastAsiaTheme="minorEastAsia" w:cstheme="minorEastAsia"/>
          <w:color w:val="231F20"/>
          <w:spacing w:val="-5"/>
          <w:sz w:val="24"/>
          <w:szCs w:val="24"/>
        </w:rPr>
        <w:t xml:space="preserve"> </w:t>
      </w:r>
      <w:r>
        <w:rPr>
          <w:rFonts w:hint="eastAsia" w:asciiTheme="minorEastAsia" w:hAnsiTheme="minorEastAsia" w:eastAsiaTheme="minorEastAsia" w:cstheme="minorEastAsia"/>
          <w:color w:val="231F20"/>
          <w:sz w:val="24"/>
          <w:szCs w:val="24"/>
        </w:rPr>
        <w:t>建筑物及其功能设施的合理使用寿命年限</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45832C29">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655CE0D4">
      <w:pPr>
        <w:pStyle w:val="11"/>
        <w:keepNext w:val="0"/>
        <w:keepLines w:val="0"/>
        <w:pageBreakBefore w:val="0"/>
        <w:widowControl w:val="0"/>
        <w:numPr>
          <w:numId w:val="0"/>
        </w:numPr>
        <w:tabs>
          <w:tab w:val="left" w:pos="362"/>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6.</w:t>
      </w:r>
      <w:r>
        <w:rPr>
          <w:rFonts w:hint="eastAsia" w:asciiTheme="minorEastAsia" w:hAnsiTheme="minorEastAsia" w:eastAsiaTheme="minorEastAsia" w:cstheme="minorEastAsia"/>
          <w:color w:val="231F20"/>
          <w:sz w:val="24"/>
          <w:szCs w:val="24"/>
        </w:rPr>
        <w:t>工程设计进度与周期</w:t>
      </w:r>
    </w:p>
    <w:p w14:paraId="1AD80C37">
      <w:pPr>
        <w:pStyle w:val="11"/>
        <w:keepNext w:val="0"/>
        <w:keepLines w:val="0"/>
        <w:pageBreakBefore w:val="0"/>
        <w:widowControl w:val="0"/>
        <w:numPr>
          <w:numId w:val="0"/>
        </w:numPr>
        <w:tabs>
          <w:tab w:val="left" w:pos="884"/>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6.1</w:t>
      </w:r>
      <w:r>
        <w:rPr>
          <w:rFonts w:hint="eastAsia" w:asciiTheme="minorEastAsia" w:hAnsiTheme="minorEastAsia" w:eastAsiaTheme="minorEastAsia" w:cstheme="minorEastAsia"/>
          <w:color w:val="231F20"/>
          <w:sz w:val="24"/>
          <w:szCs w:val="24"/>
        </w:rPr>
        <w:t>工程设计进度计划</w:t>
      </w:r>
    </w:p>
    <w:p w14:paraId="4981A54E">
      <w:pPr>
        <w:pStyle w:val="11"/>
        <w:keepNext w:val="0"/>
        <w:keepLines w:val="0"/>
        <w:pageBreakBefore w:val="0"/>
        <w:widowControl w:val="0"/>
        <w:numPr>
          <w:numId w:val="0"/>
        </w:numPr>
        <w:tabs>
          <w:tab w:val="left" w:pos="104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6.1.1</w:t>
      </w:r>
      <w:r>
        <w:rPr>
          <w:rFonts w:hint="eastAsia" w:asciiTheme="minorEastAsia" w:hAnsiTheme="minorEastAsia" w:eastAsiaTheme="minorEastAsia" w:cstheme="minorEastAsia"/>
          <w:color w:val="231F20"/>
          <w:sz w:val="24"/>
          <w:szCs w:val="24"/>
        </w:rPr>
        <w:t>工程设计进度计划的编制</w:t>
      </w:r>
    </w:p>
    <w:p w14:paraId="0450444B">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合同当事人约定的工程设计进度计划提交的时间</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0E37AA2C">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u w:val="single" w:color="231F20"/>
          <w:lang w:eastAsia="zh-CN"/>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none" w:color="auto"/>
          <w:lang w:eastAsia="zh-CN"/>
        </w:rPr>
        <w:t>。</w:t>
      </w:r>
    </w:p>
    <w:p w14:paraId="4B9D8E82">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合同当事人约定的工程设计进度计划应包括的内容</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173C8B6B">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36269F4A">
      <w:pPr>
        <w:pStyle w:val="11"/>
        <w:keepNext w:val="0"/>
        <w:keepLines w:val="0"/>
        <w:pageBreakBefore w:val="0"/>
        <w:widowControl w:val="0"/>
        <w:numPr>
          <w:numId w:val="0"/>
        </w:numPr>
        <w:tabs>
          <w:tab w:val="left" w:pos="104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6.1.2</w:t>
      </w:r>
      <w:r>
        <w:rPr>
          <w:rFonts w:hint="eastAsia" w:asciiTheme="minorEastAsia" w:hAnsiTheme="minorEastAsia" w:eastAsiaTheme="minorEastAsia" w:cstheme="minorEastAsia"/>
          <w:color w:val="231F20"/>
          <w:sz w:val="24"/>
          <w:szCs w:val="24"/>
        </w:rPr>
        <w:t>工程设计进度计划的修订</w:t>
      </w:r>
    </w:p>
    <w:p w14:paraId="24480C25">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发包人在收到工程设计进度计划后确认或提出修改意见的期限</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21FEF6FE">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0DCDFB14">
      <w:pPr>
        <w:keepNext w:val="0"/>
        <w:keepLines w:val="0"/>
        <w:pageBreakBefore w:val="0"/>
        <w:widowControl w:val="0"/>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sectPr>
          <w:footerReference r:id="rId11" w:type="default"/>
          <w:footerReference r:id="rId12" w:type="even"/>
          <w:pgSz w:w="11910" w:h="16840"/>
          <w:pgMar w:top="1580" w:right="1200" w:bottom="1020" w:left="1300" w:header="0" w:footer="832" w:gutter="0"/>
          <w:pgNumType w:fmt="decimal"/>
          <w:cols w:space="720" w:num="1"/>
        </w:sectPr>
      </w:pPr>
    </w:p>
    <w:p w14:paraId="405FA76D">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6.3 工程设计进度延误</w:t>
      </w:r>
    </w:p>
    <w:p w14:paraId="6DB63DB3">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6.3.1 因发包人原因导致工程设计进度延误</w:t>
      </w:r>
    </w:p>
    <w:p w14:paraId="4DBB3859">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76"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pacing w:val="-1"/>
          <w:sz w:val="24"/>
          <w:szCs w:val="24"/>
        </w:rPr>
        <w:t>（</w:t>
      </w:r>
      <w:r>
        <w:rPr>
          <w:rFonts w:hint="eastAsia" w:asciiTheme="minorEastAsia" w:hAnsiTheme="minorEastAsia" w:eastAsiaTheme="minorEastAsia" w:cstheme="minorEastAsia"/>
          <w:color w:val="231F20"/>
          <w:spacing w:val="-45"/>
          <w:sz w:val="24"/>
          <w:szCs w:val="24"/>
        </w:rPr>
        <w:t xml:space="preserve"> </w:t>
      </w:r>
      <w:r>
        <w:rPr>
          <w:rFonts w:hint="eastAsia" w:asciiTheme="minorEastAsia" w:hAnsiTheme="minorEastAsia" w:eastAsiaTheme="minorEastAsia" w:cstheme="minorEastAsia"/>
          <w:color w:val="231F20"/>
          <w:spacing w:val="-1"/>
          <w:sz w:val="24"/>
          <w:szCs w:val="24"/>
        </w:rPr>
        <w:t>4）因发</w:t>
      </w:r>
      <w:r>
        <w:rPr>
          <w:rFonts w:hint="eastAsia" w:asciiTheme="minorEastAsia" w:hAnsiTheme="minorEastAsia" w:eastAsiaTheme="minorEastAsia" w:cstheme="minorEastAsia"/>
          <w:color w:val="231F20"/>
          <w:sz w:val="24"/>
          <w:szCs w:val="24"/>
        </w:rPr>
        <w:t>包人原因导致工程设计进度延误的其他情形</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7A60DC30">
      <w:pPr>
        <w:pStyle w:val="5"/>
        <w:keepNext w:val="0"/>
        <w:keepLines w:val="0"/>
        <w:pageBreakBefore w:val="0"/>
        <w:widowControl w:val="0"/>
        <w:tabs>
          <w:tab w:val="left" w:pos="4535"/>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lang w:eastAsia="zh-CN"/>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lang w:eastAsia="zh-CN"/>
        </w:rPr>
        <w:t>。</w:t>
      </w:r>
    </w:p>
    <w:p w14:paraId="66FEC018">
      <w:pPr>
        <w:pStyle w:val="5"/>
        <w:keepNext w:val="0"/>
        <w:keepLines w:val="0"/>
        <w:pageBreakBefore w:val="0"/>
        <w:widowControl w:val="0"/>
        <w:tabs>
          <w:tab w:val="left" w:pos="4535"/>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设计人应在发生进度延误的情形后</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天内向发包人发出要求延期的书面通知，在发生该情形后</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天内提交要求延期的详细说明。</w:t>
      </w:r>
    </w:p>
    <w:p w14:paraId="3DC61E00">
      <w:pPr>
        <w:pStyle w:val="5"/>
        <w:keepNext w:val="0"/>
        <w:keepLines w:val="0"/>
        <w:pageBreakBefore w:val="0"/>
        <w:widowControl w:val="0"/>
        <w:tabs>
          <w:tab w:val="left" w:pos="5999"/>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发包人收到设计人要求延期的详细说明后，应在</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天内进行审查并书面答复。</w:t>
      </w:r>
    </w:p>
    <w:p w14:paraId="494B6156">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6.5 提前交付工程设计文件</w:t>
      </w:r>
    </w:p>
    <w:p w14:paraId="6A4D7CD8">
      <w:pPr>
        <w:pStyle w:val="5"/>
        <w:keepNext w:val="0"/>
        <w:keepLines w:val="0"/>
        <w:pageBreakBefore w:val="0"/>
        <w:widowControl w:val="0"/>
        <w:tabs>
          <w:tab w:val="left" w:pos="5099"/>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6.5.2</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提前交付工程设计文件的奖励</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420E3E37">
      <w:pPr>
        <w:pStyle w:val="11"/>
        <w:keepNext w:val="0"/>
        <w:keepLines w:val="0"/>
        <w:pageBreakBefore w:val="0"/>
        <w:widowControl w:val="0"/>
        <w:numPr>
          <w:numId w:val="0"/>
        </w:numPr>
        <w:tabs>
          <w:tab w:val="left" w:pos="362"/>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7.</w:t>
      </w:r>
      <w:r>
        <w:rPr>
          <w:rFonts w:hint="eastAsia" w:asciiTheme="minorEastAsia" w:hAnsiTheme="minorEastAsia" w:eastAsiaTheme="minorEastAsia" w:cstheme="minorEastAsia"/>
          <w:color w:val="231F20"/>
          <w:sz w:val="24"/>
          <w:szCs w:val="24"/>
        </w:rPr>
        <w:t>工程设计文件交付</w:t>
      </w:r>
    </w:p>
    <w:p w14:paraId="5B322C3D">
      <w:pPr>
        <w:pStyle w:val="11"/>
        <w:keepNext w:val="0"/>
        <w:keepLines w:val="0"/>
        <w:pageBreakBefore w:val="0"/>
        <w:widowControl w:val="0"/>
        <w:numPr>
          <w:numId w:val="0"/>
        </w:numPr>
        <w:tabs>
          <w:tab w:val="left" w:pos="884"/>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7.1</w:t>
      </w:r>
      <w:r>
        <w:rPr>
          <w:rFonts w:hint="eastAsia" w:asciiTheme="minorEastAsia" w:hAnsiTheme="minorEastAsia" w:eastAsiaTheme="minorEastAsia" w:cstheme="minorEastAsia"/>
          <w:color w:val="231F20"/>
          <w:sz w:val="24"/>
          <w:szCs w:val="24"/>
        </w:rPr>
        <w:t>工程设计文件交付的内容</w:t>
      </w:r>
    </w:p>
    <w:p w14:paraId="0A814014">
      <w:pPr>
        <w:pStyle w:val="5"/>
        <w:keepNext w:val="0"/>
        <w:keepLines w:val="0"/>
        <w:pageBreakBefore w:val="0"/>
        <w:widowControl w:val="0"/>
        <w:tabs>
          <w:tab w:val="left" w:pos="896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7.1.2</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发包人要求设计人提交电子版设计文件的具体形式为</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12045F11">
      <w:pPr>
        <w:pStyle w:val="11"/>
        <w:keepNext w:val="0"/>
        <w:keepLines w:val="0"/>
        <w:pageBreakBefore w:val="0"/>
        <w:widowControl w:val="0"/>
        <w:numPr>
          <w:numId w:val="0"/>
        </w:numPr>
        <w:tabs>
          <w:tab w:val="left" w:pos="362"/>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8.</w:t>
      </w:r>
      <w:r>
        <w:rPr>
          <w:rFonts w:hint="eastAsia" w:asciiTheme="minorEastAsia" w:hAnsiTheme="minorEastAsia" w:eastAsiaTheme="minorEastAsia" w:cstheme="minorEastAsia"/>
          <w:color w:val="231F20"/>
          <w:sz w:val="24"/>
          <w:szCs w:val="24"/>
        </w:rPr>
        <w:t>工程设计文件审查</w:t>
      </w:r>
    </w:p>
    <w:p w14:paraId="749D23F3">
      <w:pPr>
        <w:pStyle w:val="11"/>
        <w:keepNext w:val="0"/>
        <w:keepLines w:val="0"/>
        <w:pageBreakBefore w:val="0"/>
        <w:widowControl w:val="0"/>
        <w:numPr>
          <w:numId w:val="0"/>
        </w:numPr>
        <w:tabs>
          <w:tab w:val="left" w:pos="884"/>
          <w:tab w:val="left" w:pos="5720"/>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8.1</w:t>
      </w:r>
      <w:r>
        <w:rPr>
          <w:rFonts w:hint="eastAsia" w:asciiTheme="minorEastAsia" w:hAnsiTheme="minorEastAsia" w:eastAsiaTheme="minorEastAsia" w:cstheme="minorEastAsia"/>
          <w:color w:val="231F20"/>
          <w:sz w:val="24"/>
          <w:szCs w:val="24"/>
        </w:rPr>
        <w:t>发包人对设计人的设计文件审查期限不超过</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w:t>
      </w:r>
    </w:p>
    <w:p w14:paraId="08C6ECCC">
      <w:pPr>
        <w:pStyle w:val="11"/>
        <w:keepNext w:val="0"/>
        <w:keepLines w:val="0"/>
        <w:pageBreakBefore w:val="0"/>
        <w:widowControl w:val="0"/>
        <w:numPr>
          <w:numId w:val="0"/>
        </w:numPr>
        <w:tabs>
          <w:tab w:val="left" w:pos="885"/>
          <w:tab w:val="left" w:pos="610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8.3</w:t>
      </w:r>
      <w:r>
        <w:rPr>
          <w:rFonts w:hint="eastAsia" w:asciiTheme="minorEastAsia" w:hAnsiTheme="minorEastAsia" w:eastAsiaTheme="minorEastAsia" w:cstheme="minorEastAsia"/>
          <w:color w:val="231F20"/>
          <w:sz w:val="24"/>
          <w:szCs w:val="24"/>
        </w:rPr>
        <w:t>发包人应在审查同意设计人的工程设计文件后在</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天内，向政府有关部门报送工程设计文件。</w:t>
      </w:r>
    </w:p>
    <w:p w14:paraId="5FF657EA">
      <w:pPr>
        <w:pStyle w:val="11"/>
        <w:keepNext w:val="0"/>
        <w:keepLines w:val="0"/>
        <w:pageBreakBefore w:val="0"/>
        <w:widowControl w:val="0"/>
        <w:numPr>
          <w:numId w:val="0"/>
        </w:numPr>
        <w:tabs>
          <w:tab w:val="left" w:pos="884"/>
          <w:tab w:val="left" w:pos="918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8.4</w:t>
      </w:r>
      <w:r>
        <w:rPr>
          <w:rFonts w:hint="eastAsia" w:asciiTheme="minorEastAsia" w:hAnsiTheme="minorEastAsia" w:eastAsiaTheme="minorEastAsia" w:cstheme="minorEastAsia"/>
          <w:color w:val="231F20"/>
          <w:sz w:val="24"/>
          <w:szCs w:val="24"/>
        </w:rPr>
        <w:t>工程设计审查形式及时间安排</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6E82C32F">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43E2B5BC">
      <w:pPr>
        <w:pStyle w:val="11"/>
        <w:keepNext w:val="0"/>
        <w:keepLines w:val="0"/>
        <w:pageBreakBefore w:val="0"/>
        <w:widowControl w:val="0"/>
        <w:numPr>
          <w:numId w:val="0"/>
        </w:numPr>
        <w:tabs>
          <w:tab w:val="left" w:pos="362"/>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9.</w:t>
      </w:r>
      <w:r>
        <w:rPr>
          <w:rFonts w:hint="eastAsia" w:asciiTheme="minorEastAsia" w:hAnsiTheme="minorEastAsia" w:eastAsiaTheme="minorEastAsia" w:cstheme="minorEastAsia"/>
          <w:color w:val="231F20"/>
          <w:sz w:val="24"/>
          <w:szCs w:val="24"/>
        </w:rPr>
        <w:t>施工现场配合服务</w:t>
      </w:r>
    </w:p>
    <w:p w14:paraId="716A0BC6">
      <w:pPr>
        <w:pStyle w:val="11"/>
        <w:keepNext w:val="0"/>
        <w:keepLines w:val="0"/>
        <w:pageBreakBefore w:val="0"/>
        <w:widowControl w:val="0"/>
        <w:numPr>
          <w:numId w:val="0"/>
        </w:numPr>
        <w:tabs>
          <w:tab w:val="left" w:pos="884"/>
          <w:tab w:val="left" w:pos="907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9.1</w:t>
      </w:r>
      <w:r>
        <w:rPr>
          <w:rFonts w:hint="eastAsia" w:asciiTheme="minorEastAsia" w:hAnsiTheme="minorEastAsia" w:eastAsiaTheme="minorEastAsia" w:cstheme="minorEastAsia"/>
          <w:color w:val="231F20"/>
          <w:sz w:val="24"/>
          <w:szCs w:val="24"/>
        </w:rPr>
        <w:t>发包人为设计人派赴现场的工作人员提供便利条件的内容包括</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057B4AB4">
      <w:pPr>
        <w:pStyle w:val="11"/>
        <w:keepNext w:val="0"/>
        <w:keepLines w:val="0"/>
        <w:pageBreakBefore w:val="0"/>
        <w:widowControl w:val="0"/>
        <w:numPr>
          <w:numId w:val="0"/>
        </w:numPr>
        <w:tabs>
          <w:tab w:val="left" w:pos="902"/>
          <w:tab w:val="left" w:pos="6986"/>
        </w:tabs>
        <w:kinsoku/>
        <w:wordWrap/>
        <w:overflowPunct/>
        <w:topLinePunct w:val="0"/>
        <w:autoSpaceDE w:val="0"/>
        <w:autoSpaceDN w:val="0"/>
        <w:bidi w:val="0"/>
        <w:adjustRightInd/>
        <w:snapToGrid/>
        <w:spacing w:before="0" w:after="0" w:line="320" w:lineRule="auto"/>
        <w:ind w:right="0" w:rightChars="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9.2</w:t>
      </w:r>
      <w:r>
        <w:rPr>
          <w:rFonts w:hint="eastAsia" w:asciiTheme="minorEastAsia" w:hAnsiTheme="minorEastAsia" w:eastAsiaTheme="minorEastAsia" w:cstheme="minorEastAsia"/>
          <w:color w:val="231F20"/>
          <w:sz w:val="24"/>
          <w:szCs w:val="24"/>
        </w:rPr>
        <w:t>设计人应当在交付施工图设计文件并经审查合格后</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时间内提供施工现场配合服务。</w:t>
      </w:r>
    </w:p>
    <w:p w14:paraId="33399EBC">
      <w:pPr>
        <w:pStyle w:val="11"/>
        <w:keepNext w:val="0"/>
        <w:keepLines w:val="0"/>
        <w:pageBreakBefore w:val="0"/>
        <w:widowControl w:val="0"/>
        <w:numPr>
          <w:numId w:val="0"/>
        </w:numPr>
        <w:tabs>
          <w:tab w:val="left" w:pos="484"/>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10.</w:t>
      </w:r>
      <w:r>
        <w:rPr>
          <w:rFonts w:hint="eastAsia" w:asciiTheme="minorEastAsia" w:hAnsiTheme="minorEastAsia" w:eastAsiaTheme="minorEastAsia" w:cstheme="minorEastAsia"/>
          <w:color w:val="231F20"/>
          <w:sz w:val="24"/>
          <w:szCs w:val="24"/>
        </w:rPr>
        <w:t>合同价款与支付</w:t>
      </w:r>
    </w:p>
    <w:p w14:paraId="4F37C40A">
      <w:pPr>
        <w:pStyle w:val="11"/>
        <w:keepNext w:val="0"/>
        <w:keepLines w:val="0"/>
        <w:pageBreakBefore w:val="0"/>
        <w:widowControl w:val="0"/>
        <w:numPr>
          <w:ilvl w:val="1"/>
          <w:numId w:val="28"/>
        </w:numPr>
        <w:tabs>
          <w:tab w:val="left" w:pos="993"/>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合同价格形式</w:t>
      </w:r>
    </w:p>
    <w:p w14:paraId="180E84D0">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1）单价合同</w:t>
      </w:r>
    </w:p>
    <w:p w14:paraId="0BADB434">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单价包含的风险范围</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70CB26CC">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u w:val="single" w:color="231F20"/>
          <w:lang w:eastAsia="zh-CN"/>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none" w:color="auto"/>
          <w:lang w:eastAsia="zh-CN"/>
        </w:rPr>
        <w:t>。</w:t>
      </w:r>
    </w:p>
    <w:p w14:paraId="1684B233">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风险费用的计算方法</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45596C87">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u w:val="single" w:color="231F20"/>
          <w:lang w:eastAsia="zh-CN"/>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none" w:color="auto"/>
          <w:lang w:eastAsia="zh-CN"/>
        </w:rPr>
        <w:t>。</w:t>
      </w:r>
    </w:p>
    <w:p w14:paraId="3E9F8FD4">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风险范围以外合同价格的调整方法</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2B0467F9">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64C9329E">
      <w:pPr>
        <w:keepNext w:val="0"/>
        <w:keepLines w:val="0"/>
        <w:pageBreakBefore w:val="0"/>
        <w:widowControl w:val="0"/>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sectPr>
          <w:pgSz w:w="11910" w:h="16840"/>
          <w:pgMar w:top="1580" w:right="1200" w:bottom="1020" w:left="1300" w:header="0" w:footer="832" w:gutter="0"/>
          <w:pgNumType w:fmt="decimal"/>
          <w:cols w:space="720" w:num="1"/>
        </w:sectPr>
      </w:pPr>
    </w:p>
    <w:p w14:paraId="1540953A">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 2）总价合同</w:t>
      </w:r>
    </w:p>
    <w:p w14:paraId="4FE665D0">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总价包含的风险范围</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2793CA57">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u w:val="single" w:color="231F20"/>
          <w:lang w:eastAsia="zh-CN"/>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none" w:color="auto"/>
          <w:lang w:eastAsia="zh-CN"/>
        </w:rPr>
        <w:t>。</w:t>
      </w:r>
    </w:p>
    <w:p w14:paraId="7CFB4FC4">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风险费用的计算方法</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298561D9">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u w:val="single" w:color="231F20"/>
          <w:lang w:eastAsia="zh-CN"/>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none" w:color="auto"/>
          <w:lang w:eastAsia="zh-CN"/>
        </w:rPr>
        <w:t>。</w:t>
      </w:r>
    </w:p>
    <w:p w14:paraId="300817B7">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风险范围以外合同价格的调整方法</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0D047DB4">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159E6A99">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pacing w:val="-35"/>
          <w:sz w:val="24"/>
          <w:szCs w:val="24"/>
        </w:rPr>
        <w:t xml:space="preserve"> </w:t>
      </w:r>
      <w:r>
        <w:rPr>
          <w:rFonts w:hint="eastAsia" w:asciiTheme="minorEastAsia" w:hAnsiTheme="minorEastAsia" w:eastAsiaTheme="minorEastAsia" w:cstheme="minorEastAsia"/>
          <w:color w:val="231F20"/>
          <w:sz w:val="24"/>
          <w:szCs w:val="24"/>
        </w:rPr>
        <w:t>3）其他价格形式</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38CA0166">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0CBBCCF3">
      <w:pPr>
        <w:pStyle w:val="11"/>
        <w:keepNext w:val="0"/>
        <w:keepLines w:val="0"/>
        <w:pageBreakBefore w:val="0"/>
        <w:widowControl w:val="0"/>
        <w:numPr>
          <w:ilvl w:val="1"/>
          <w:numId w:val="28"/>
        </w:numPr>
        <w:tabs>
          <w:tab w:val="left" w:pos="993"/>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定金或预付款</w:t>
      </w:r>
    </w:p>
    <w:p w14:paraId="36508DB2">
      <w:pPr>
        <w:pStyle w:val="11"/>
        <w:keepNext w:val="0"/>
        <w:keepLines w:val="0"/>
        <w:pageBreakBefore w:val="0"/>
        <w:widowControl w:val="0"/>
        <w:numPr>
          <w:ilvl w:val="2"/>
          <w:numId w:val="28"/>
        </w:numPr>
        <w:tabs>
          <w:tab w:val="left" w:pos="1157"/>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定金或预付款的比例</w:t>
      </w:r>
    </w:p>
    <w:p w14:paraId="163A5D67">
      <w:pPr>
        <w:pStyle w:val="5"/>
        <w:keepNext w:val="0"/>
        <w:keepLines w:val="0"/>
        <w:pageBreakBefore w:val="0"/>
        <w:widowControl w:val="0"/>
        <w:tabs>
          <w:tab w:val="left" w:pos="2415"/>
          <w:tab w:val="left" w:pos="4767"/>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定金的比</w:t>
      </w:r>
      <w:r>
        <w:rPr>
          <w:rFonts w:hint="eastAsia" w:asciiTheme="minorEastAsia" w:hAnsiTheme="minorEastAsia" w:eastAsiaTheme="minorEastAsia" w:cstheme="minorEastAsia"/>
          <w:color w:val="231F20"/>
          <w:spacing w:val="52"/>
          <w:sz w:val="24"/>
          <w:szCs w:val="24"/>
        </w:rPr>
        <w:t>例</w:t>
      </w:r>
      <w:r>
        <w:rPr>
          <w:rFonts w:hint="eastAsia" w:asciiTheme="minorEastAsia" w:hAnsiTheme="minorEastAsia" w:eastAsiaTheme="minorEastAsia" w:cstheme="minorEastAsia"/>
          <w:color w:val="231F20"/>
          <w:spacing w:val="52"/>
          <w:sz w:val="24"/>
          <w:szCs w:val="24"/>
          <w:u w:val="single" w:color="231F20"/>
        </w:rPr>
        <w:t xml:space="preserve"> </w:t>
      </w:r>
      <w:r>
        <w:rPr>
          <w:rFonts w:hint="eastAsia" w:asciiTheme="minorEastAsia" w:hAnsiTheme="minorEastAsia" w:eastAsiaTheme="minorEastAsia" w:cstheme="minorEastAsia"/>
          <w:color w:val="231F20"/>
          <w:spacing w:val="52"/>
          <w:sz w:val="24"/>
          <w:szCs w:val="24"/>
          <w:u w:val="single" w:color="231F20"/>
          <w:lang w:val="en-US" w:eastAsia="zh-CN"/>
        </w:rPr>
        <w:t xml:space="preserve">  </w:t>
      </w:r>
      <w:r>
        <w:rPr>
          <w:rFonts w:hint="eastAsia" w:asciiTheme="minorEastAsia" w:hAnsiTheme="minorEastAsia" w:eastAsiaTheme="minorEastAsia" w:cstheme="minorEastAsia"/>
          <w:color w:val="231F20"/>
          <w:spacing w:val="52"/>
          <w:sz w:val="24"/>
          <w:szCs w:val="24"/>
          <w:u w:val="single" w:color="231F20"/>
        </w:rPr>
        <w:tab/>
      </w:r>
      <w:r>
        <w:rPr>
          <w:rFonts w:hint="eastAsia" w:asciiTheme="minorEastAsia" w:hAnsiTheme="minorEastAsia" w:eastAsiaTheme="minorEastAsia" w:cstheme="minorEastAsia"/>
          <w:color w:val="231F20"/>
          <w:sz w:val="24"/>
          <w:szCs w:val="24"/>
        </w:rPr>
        <w:t>或预付款的比例</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42ECCA13">
      <w:pPr>
        <w:pStyle w:val="11"/>
        <w:keepNext w:val="0"/>
        <w:keepLines w:val="0"/>
        <w:pageBreakBefore w:val="0"/>
        <w:widowControl w:val="0"/>
        <w:numPr>
          <w:ilvl w:val="2"/>
          <w:numId w:val="28"/>
        </w:numPr>
        <w:tabs>
          <w:tab w:val="left" w:pos="1157"/>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定金或预付款的支付</w:t>
      </w:r>
    </w:p>
    <w:p w14:paraId="148A4F4F">
      <w:pPr>
        <w:pStyle w:val="5"/>
        <w:keepNext w:val="0"/>
        <w:keepLines w:val="0"/>
        <w:pageBreakBefore w:val="0"/>
        <w:widowControl w:val="0"/>
        <w:tabs>
          <w:tab w:val="left" w:pos="1102"/>
          <w:tab w:val="left" w:pos="4771"/>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定金或预付款的支付时间：</w:t>
      </w:r>
      <w:r>
        <w:rPr>
          <w:rFonts w:hint="eastAsia" w:asciiTheme="minorEastAsia" w:hAnsiTheme="minorEastAsia" w:eastAsiaTheme="minorEastAsia" w:cstheme="minorEastAsia"/>
          <w:color w:val="231F20"/>
          <w:sz w:val="24"/>
          <w:szCs w:val="24"/>
          <w:u w:val="single"/>
        </w:rPr>
        <w:tab/>
      </w:r>
      <w:r>
        <w:rPr>
          <w:rFonts w:hint="eastAsia" w:asciiTheme="minorEastAsia" w:hAnsiTheme="minorEastAsia" w:eastAsiaTheme="minorEastAsia" w:cstheme="minorEastAsia"/>
          <w:color w:val="231F20"/>
          <w:sz w:val="24"/>
          <w:szCs w:val="24"/>
        </w:rPr>
        <w:t>，但最迟应在开始设计通知载明的开始设计日期</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天前支付。</w:t>
      </w:r>
    </w:p>
    <w:p w14:paraId="552C6505">
      <w:pPr>
        <w:pStyle w:val="11"/>
        <w:keepNext w:val="0"/>
        <w:keepLines w:val="0"/>
        <w:pageBreakBefore w:val="0"/>
        <w:widowControl w:val="0"/>
        <w:numPr>
          <w:numId w:val="0"/>
        </w:numPr>
        <w:tabs>
          <w:tab w:val="left" w:pos="484"/>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11.</w:t>
      </w:r>
      <w:r>
        <w:rPr>
          <w:rFonts w:hint="eastAsia" w:asciiTheme="minorEastAsia" w:hAnsiTheme="minorEastAsia" w:eastAsiaTheme="minorEastAsia" w:cstheme="minorEastAsia"/>
          <w:color w:val="231F20"/>
          <w:sz w:val="24"/>
          <w:szCs w:val="24"/>
        </w:rPr>
        <w:t>工程设计变更与索赔</w:t>
      </w:r>
    </w:p>
    <w:p w14:paraId="311D1697">
      <w:pPr>
        <w:pStyle w:val="5"/>
        <w:keepNext w:val="0"/>
        <w:keepLines w:val="0"/>
        <w:pageBreakBefore w:val="0"/>
        <w:widowControl w:val="0"/>
        <w:tabs>
          <w:tab w:val="left" w:pos="896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11.5</w:t>
      </w:r>
      <w:r>
        <w:rPr>
          <w:rFonts w:hint="eastAsia" w:asciiTheme="minorEastAsia" w:hAnsiTheme="minorEastAsia" w:eastAsiaTheme="minorEastAsia" w:cstheme="minorEastAsia"/>
          <w:color w:val="231F20"/>
          <w:spacing w:val="8"/>
          <w:sz w:val="24"/>
          <w:szCs w:val="24"/>
        </w:rPr>
        <w:t xml:space="preserve"> </w:t>
      </w:r>
      <w:r>
        <w:rPr>
          <w:rFonts w:hint="eastAsia" w:asciiTheme="minorEastAsia" w:hAnsiTheme="minorEastAsia" w:eastAsiaTheme="minorEastAsia" w:cstheme="minorEastAsia"/>
          <w:color w:val="231F20"/>
          <w:sz w:val="24"/>
          <w:szCs w:val="24"/>
        </w:rPr>
        <w:t>设计人应于认为有理由提出增加合同价款或延长设计周期的要求事项发生后</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lang w:val="en-US" w:eastAsia="zh-CN"/>
        </w:rPr>
        <w:t xml:space="preserve"> </w:t>
      </w:r>
      <w:r>
        <w:rPr>
          <w:rFonts w:hint="eastAsia" w:asciiTheme="minorEastAsia" w:hAnsiTheme="minorEastAsia" w:eastAsiaTheme="minorEastAsia" w:cstheme="minorEastAsia"/>
          <w:color w:val="231F20"/>
          <w:sz w:val="24"/>
          <w:szCs w:val="24"/>
        </w:rPr>
        <w:t>内书面通知发包人。</w:t>
      </w:r>
    </w:p>
    <w:p w14:paraId="4ECEBEFF">
      <w:pPr>
        <w:pStyle w:val="5"/>
        <w:keepNext w:val="0"/>
        <w:keepLines w:val="0"/>
        <w:pageBreakBefore w:val="0"/>
        <w:widowControl w:val="0"/>
        <w:tabs>
          <w:tab w:val="left" w:pos="3633"/>
          <w:tab w:val="left" w:pos="4953"/>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设计人应在该事项发生后</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天内向发包人提供证明设计人要求的书面声明。</w:t>
      </w:r>
    </w:p>
    <w:p w14:paraId="4103F79A">
      <w:pPr>
        <w:pStyle w:val="5"/>
        <w:keepNext w:val="0"/>
        <w:keepLines w:val="0"/>
        <w:pageBreakBefore w:val="0"/>
        <w:widowControl w:val="0"/>
        <w:tabs>
          <w:tab w:val="left" w:pos="3633"/>
          <w:tab w:val="left" w:pos="4953"/>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发包人应在接到设计人书面声明后的</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天内，予以书面答复。</w:t>
      </w:r>
    </w:p>
    <w:p w14:paraId="24E29A5E">
      <w:pPr>
        <w:pStyle w:val="11"/>
        <w:keepNext w:val="0"/>
        <w:keepLines w:val="0"/>
        <w:pageBreakBefore w:val="0"/>
        <w:widowControl w:val="0"/>
        <w:numPr>
          <w:numId w:val="0"/>
        </w:numPr>
        <w:tabs>
          <w:tab w:val="left" w:pos="484"/>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12.</w:t>
      </w:r>
      <w:r>
        <w:rPr>
          <w:rFonts w:hint="eastAsia" w:asciiTheme="minorEastAsia" w:hAnsiTheme="minorEastAsia" w:eastAsiaTheme="minorEastAsia" w:cstheme="minorEastAsia"/>
          <w:color w:val="231F20"/>
          <w:sz w:val="24"/>
          <w:szCs w:val="24"/>
        </w:rPr>
        <w:t>专业责任与保险</w:t>
      </w:r>
    </w:p>
    <w:p w14:paraId="22A867FA">
      <w:pPr>
        <w:pStyle w:val="5"/>
        <w:keepNext w:val="0"/>
        <w:keepLines w:val="0"/>
        <w:pageBreakBefore w:val="0"/>
        <w:widowControl w:val="0"/>
        <w:tabs>
          <w:tab w:val="left" w:pos="2199"/>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12.2</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设计人</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rPr>
        <w:t>需 / 不需）有发包人认可的工程设计责任保险。</w:t>
      </w:r>
    </w:p>
    <w:p w14:paraId="0B8C3204">
      <w:pPr>
        <w:pStyle w:val="11"/>
        <w:keepNext w:val="0"/>
        <w:keepLines w:val="0"/>
        <w:pageBreakBefore w:val="0"/>
        <w:widowControl w:val="0"/>
        <w:numPr>
          <w:numId w:val="0"/>
        </w:numPr>
        <w:tabs>
          <w:tab w:val="left" w:pos="484"/>
        </w:tabs>
        <w:kinsoku/>
        <w:wordWrap/>
        <w:overflowPunct/>
        <w:topLinePunct w:val="0"/>
        <w:autoSpaceDE w:val="0"/>
        <w:autoSpaceDN w:val="0"/>
        <w:bidi w:val="0"/>
        <w:adjustRightInd/>
        <w:snapToGrid/>
        <w:spacing w:before="0" w:after="0" w:line="320" w:lineRule="auto"/>
        <w:ind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13.</w:t>
      </w:r>
      <w:r>
        <w:rPr>
          <w:rFonts w:hint="eastAsia" w:asciiTheme="minorEastAsia" w:hAnsiTheme="minorEastAsia" w:eastAsiaTheme="minorEastAsia" w:cstheme="minorEastAsia"/>
          <w:color w:val="231F20"/>
          <w:sz w:val="24"/>
          <w:szCs w:val="24"/>
        </w:rPr>
        <w:t>知识产权</w:t>
      </w:r>
    </w:p>
    <w:p w14:paraId="32846FCF">
      <w:pPr>
        <w:pStyle w:val="11"/>
        <w:keepNext w:val="0"/>
        <w:keepLines w:val="0"/>
        <w:pageBreakBefore w:val="0"/>
        <w:widowControl w:val="0"/>
        <w:numPr>
          <w:numId w:val="0"/>
        </w:numPr>
        <w:tabs>
          <w:tab w:val="left" w:pos="1012"/>
          <w:tab w:val="left" w:pos="9188"/>
        </w:tabs>
        <w:kinsoku/>
        <w:wordWrap/>
        <w:overflowPunct/>
        <w:topLinePunct w:val="0"/>
        <w:autoSpaceDE w:val="0"/>
        <w:autoSpaceDN w:val="0"/>
        <w:bidi w:val="0"/>
        <w:adjustRightInd/>
        <w:snapToGrid/>
        <w:spacing w:before="0" w:after="0" w:line="320" w:lineRule="auto"/>
        <w:ind w:right="0" w:rightChars="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13.1</w:t>
      </w:r>
      <w:r>
        <w:rPr>
          <w:rFonts w:hint="eastAsia" w:asciiTheme="minorEastAsia" w:hAnsiTheme="minorEastAsia" w:eastAsiaTheme="minorEastAsia" w:cstheme="minorEastAsia"/>
          <w:color w:val="231F20"/>
          <w:sz w:val="24"/>
          <w:szCs w:val="24"/>
        </w:rPr>
        <w:t>关于发包人提供给设计人的图纸、发包人为实施工程自行编制或委托编制的技术规格以及反映发包人关于合同要求或其他类似性质的文件的著作权的归属</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115DAAEC">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480" w:leftChars="218" w:right="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。关于发包人提供的上述文件的使用限制的要求</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2DF1256E">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6800E935">
      <w:pPr>
        <w:pStyle w:val="11"/>
        <w:keepNext w:val="0"/>
        <w:keepLines w:val="0"/>
        <w:pageBreakBefore w:val="0"/>
        <w:widowControl w:val="0"/>
        <w:numPr>
          <w:numId w:val="0"/>
        </w:numPr>
        <w:tabs>
          <w:tab w:val="left" w:pos="993"/>
          <w:tab w:val="left" w:pos="918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13.3</w:t>
      </w:r>
      <w:r>
        <w:rPr>
          <w:rFonts w:hint="eastAsia" w:asciiTheme="minorEastAsia" w:hAnsiTheme="minorEastAsia" w:eastAsiaTheme="minorEastAsia" w:cstheme="minorEastAsia"/>
          <w:color w:val="231F20"/>
          <w:sz w:val="24"/>
          <w:szCs w:val="24"/>
        </w:rPr>
        <w:t>关于设计人为实施工程所编制文件的著作权的归属</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36868D46">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480" w:leftChars="218" w:right="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。关于设计人提供的上述文件的使用限制的要求</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0747E03D">
      <w:pPr>
        <w:keepNext w:val="0"/>
        <w:keepLines w:val="0"/>
        <w:pageBreakBefore w:val="0"/>
        <w:widowControl w:val="0"/>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sectPr>
          <w:pgSz w:w="11910" w:h="16840"/>
          <w:pgMar w:top="1580" w:right="1200" w:bottom="1020" w:left="1300" w:header="0" w:footer="832" w:gutter="0"/>
          <w:pgNumType w:fmt="decimal"/>
          <w:cols w:space="720" w:num="1"/>
        </w:sectPr>
      </w:pPr>
    </w:p>
    <w:p w14:paraId="40E6731B">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38AA0D53">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960" w:firstLineChars="4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13.5</w:t>
      </w:r>
      <w:r>
        <w:rPr>
          <w:rFonts w:hint="eastAsia" w:asciiTheme="minorEastAsia" w:hAnsiTheme="minorEastAsia" w:eastAsiaTheme="minorEastAsia" w:cstheme="minorEastAsia"/>
          <w:color w:val="231F20"/>
          <w:spacing w:val="-4"/>
          <w:sz w:val="24"/>
          <w:szCs w:val="24"/>
        </w:rPr>
        <w:t xml:space="preserve"> </w:t>
      </w:r>
      <w:r>
        <w:rPr>
          <w:rFonts w:hint="eastAsia" w:asciiTheme="minorEastAsia" w:hAnsiTheme="minorEastAsia" w:eastAsiaTheme="minorEastAsia" w:cstheme="minorEastAsia"/>
          <w:color w:val="231F20"/>
          <w:sz w:val="24"/>
          <w:szCs w:val="24"/>
        </w:rPr>
        <w:t>设计人在设计过程中所采用的专利、专有技术的使用费的承担方式</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179E0F12">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2E29C075">
      <w:pPr>
        <w:pStyle w:val="11"/>
        <w:keepNext w:val="0"/>
        <w:keepLines w:val="0"/>
        <w:pageBreakBefore w:val="0"/>
        <w:widowControl w:val="0"/>
        <w:numPr>
          <w:numId w:val="0"/>
        </w:numPr>
        <w:tabs>
          <w:tab w:val="left" w:pos="484"/>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w:t>
      </w:r>
      <w:r>
        <w:rPr>
          <w:rFonts w:hint="eastAsia" w:asciiTheme="minorEastAsia" w:hAnsiTheme="minorEastAsia" w:eastAsiaTheme="minorEastAsia" w:cstheme="minorEastAsia"/>
          <w:color w:val="231F20"/>
          <w:sz w:val="24"/>
          <w:szCs w:val="24"/>
        </w:rPr>
        <w:t>违约责任</w:t>
      </w:r>
    </w:p>
    <w:p w14:paraId="28C2C246">
      <w:pPr>
        <w:pStyle w:val="11"/>
        <w:keepNext w:val="0"/>
        <w:keepLines w:val="0"/>
        <w:pageBreakBefore w:val="0"/>
        <w:widowControl w:val="0"/>
        <w:numPr>
          <w:numId w:val="0"/>
        </w:numPr>
        <w:tabs>
          <w:tab w:val="left" w:pos="993"/>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14.1</w:t>
      </w:r>
      <w:r>
        <w:rPr>
          <w:rFonts w:hint="eastAsia" w:asciiTheme="minorEastAsia" w:hAnsiTheme="minorEastAsia" w:eastAsiaTheme="minorEastAsia" w:cstheme="minorEastAsia"/>
          <w:color w:val="231F20"/>
          <w:sz w:val="24"/>
          <w:szCs w:val="24"/>
        </w:rPr>
        <w:t>发包人违约责任</w:t>
      </w:r>
    </w:p>
    <w:p w14:paraId="1684C81C">
      <w:pPr>
        <w:pStyle w:val="11"/>
        <w:keepNext w:val="0"/>
        <w:keepLines w:val="0"/>
        <w:pageBreakBefore w:val="0"/>
        <w:widowControl w:val="0"/>
        <w:numPr>
          <w:numId w:val="0"/>
        </w:numPr>
        <w:tabs>
          <w:tab w:val="left" w:pos="1157"/>
          <w:tab w:val="left" w:pos="6417"/>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14.1.1</w:t>
      </w:r>
      <w:r>
        <w:rPr>
          <w:rFonts w:hint="eastAsia" w:asciiTheme="minorEastAsia" w:hAnsiTheme="minorEastAsia" w:eastAsiaTheme="minorEastAsia" w:cstheme="minorEastAsia"/>
          <w:color w:val="231F20"/>
          <w:sz w:val="24"/>
          <w:szCs w:val="24"/>
        </w:rPr>
        <w:t>发包人支付设计人的违约金</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3AC63BD8">
      <w:pPr>
        <w:pStyle w:val="11"/>
        <w:keepNext w:val="0"/>
        <w:keepLines w:val="0"/>
        <w:pageBreakBefore w:val="0"/>
        <w:widowControl w:val="0"/>
        <w:numPr>
          <w:numId w:val="0"/>
        </w:numPr>
        <w:tabs>
          <w:tab w:val="left" w:pos="1157"/>
          <w:tab w:val="left" w:pos="907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14.1.2</w:t>
      </w:r>
      <w:r>
        <w:rPr>
          <w:rFonts w:hint="eastAsia" w:asciiTheme="minorEastAsia" w:hAnsiTheme="minorEastAsia" w:eastAsiaTheme="minorEastAsia" w:cstheme="minorEastAsia"/>
          <w:color w:val="231F20"/>
          <w:sz w:val="24"/>
          <w:szCs w:val="24"/>
        </w:rPr>
        <w:t>发包人逾期支付设计费的违约金</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31CFE4B8">
      <w:pPr>
        <w:pStyle w:val="11"/>
        <w:keepNext w:val="0"/>
        <w:keepLines w:val="0"/>
        <w:pageBreakBefore w:val="0"/>
        <w:widowControl w:val="0"/>
        <w:numPr>
          <w:numId w:val="0"/>
        </w:numPr>
        <w:tabs>
          <w:tab w:val="left" w:pos="993"/>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14.2</w:t>
      </w:r>
      <w:r>
        <w:rPr>
          <w:rFonts w:hint="eastAsia" w:asciiTheme="minorEastAsia" w:hAnsiTheme="minorEastAsia" w:eastAsiaTheme="minorEastAsia" w:cstheme="minorEastAsia"/>
          <w:color w:val="231F20"/>
          <w:sz w:val="24"/>
          <w:szCs w:val="24"/>
        </w:rPr>
        <w:t>设计人违约责任</w:t>
      </w:r>
    </w:p>
    <w:p w14:paraId="0CBE6045">
      <w:pPr>
        <w:pStyle w:val="11"/>
        <w:keepNext w:val="0"/>
        <w:keepLines w:val="0"/>
        <w:pageBreakBefore w:val="0"/>
        <w:widowControl w:val="0"/>
        <w:numPr>
          <w:numId w:val="0"/>
        </w:numPr>
        <w:tabs>
          <w:tab w:val="left" w:pos="1157"/>
          <w:tab w:val="left" w:pos="907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14.2.1</w:t>
      </w:r>
      <w:r>
        <w:rPr>
          <w:rFonts w:hint="eastAsia" w:asciiTheme="minorEastAsia" w:hAnsiTheme="minorEastAsia" w:eastAsiaTheme="minorEastAsia" w:cstheme="minorEastAsia"/>
          <w:color w:val="231F20"/>
          <w:sz w:val="24"/>
          <w:szCs w:val="24"/>
        </w:rPr>
        <w:t>设计人支付发包人的违约金</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48779BF8">
      <w:pPr>
        <w:pStyle w:val="11"/>
        <w:keepNext w:val="0"/>
        <w:keepLines w:val="0"/>
        <w:pageBreakBefore w:val="0"/>
        <w:widowControl w:val="0"/>
        <w:numPr>
          <w:numId w:val="0"/>
        </w:numPr>
        <w:tabs>
          <w:tab w:val="left" w:pos="1157"/>
          <w:tab w:val="left" w:pos="918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14.2.2</w:t>
      </w:r>
      <w:r>
        <w:rPr>
          <w:rFonts w:hint="eastAsia" w:asciiTheme="minorEastAsia" w:hAnsiTheme="minorEastAsia" w:eastAsiaTheme="minorEastAsia" w:cstheme="minorEastAsia"/>
          <w:color w:val="231F20"/>
          <w:sz w:val="24"/>
          <w:szCs w:val="24"/>
        </w:rPr>
        <w:t>设计人逾期交付工程设计文件的违约金</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1BB34A84">
      <w:pPr>
        <w:pStyle w:val="5"/>
        <w:keepNext w:val="0"/>
        <w:keepLines w:val="0"/>
        <w:pageBreakBefore w:val="0"/>
        <w:widowControl w:val="0"/>
        <w:tabs>
          <w:tab w:val="left" w:pos="9078"/>
          <w:tab w:val="left" w:pos="9188"/>
        </w:tabs>
        <w:kinsoku/>
        <w:wordWrap/>
        <w:overflowPunct/>
        <w:topLinePunct w:val="0"/>
        <w:autoSpaceDE w:val="0"/>
        <w:autoSpaceDN w:val="0"/>
        <w:bidi w:val="0"/>
        <w:adjustRightInd/>
        <w:snapToGrid/>
        <w:spacing w:before="0" w:line="320" w:lineRule="auto"/>
        <w:ind w:left="480" w:leftChars="218" w:right="0" w:firstLine="0" w:firstLine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。设计人逾期交付工程设计文件的违约金的上限</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u w:val="single" w:color="231F20"/>
        </w:rPr>
        <w:tab/>
      </w:r>
    </w:p>
    <w:p w14:paraId="76CA53B2">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32EA1E96">
      <w:pPr>
        <w:pStyle w:val="11"/>
        <w:keepNext w:val="0"/>
        <w:keepLines w:val="0"/>
        <w:pageBreakBefore w:val="0"/>
        <w:widowControl w:val="0"/>
        <w:numPr>
          <w:numId w:val="0"/>
        </w:numPr>
        <w:tabs>
          <w:tab w:val="left" w:pos="1157"/>
          <w:tab w:val="left" w:pos="918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14.2.3</w:t>
      </w:r>
      <w:r>
        <w:rPr>
          <w:rFonts w:hint="eastAsia" w:asciiTheme="minorEastAsia" w:hAnsiTheme="minorEastAsia" w:eastAsiaTheme="minorEastAsia" w:cstheme="minorEastAsia"/>
          <w:color w:val="231F20"/>
          <w:sz w:val="24"/>
          <w:szCs w:val="24"/>
        </w:rPr>
        <w:t>设计人设计文件不合格的损失赔偿金的上限</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6CB3FC5A">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05959CBC">
      <w:pPr>
        <w:pStyle w:val="11"/>
        <w:keepNext w:val="0"/>
        <w:keepLines w:val="0"/>
        <w:pageBreakBefore w:val="0"/>
        <w:widowControl w:val="0"/>
        <w:numPr>
          <w:numId w:val="0"/>
        </w:numPr>
        <w:tabs>
          <w:tab w:val="left" w:pos="1157"/>
          <w:tab w:val="left" w:pos="918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14.2.4</w:t>
      </w:r>
      <w:r>
        <w:rPr>
          <w:rFonts w:hint="eastAsia" w:asciiTheme="minorEastAsia" w:hAnsiTheme="minorEastAsia" w:eastAsiaTheme="minorEastAsia" w:cstheme="minorEastAsia"/>
          <w:color w:val="231F20"/>
          <w:sz w:val="24"/>
          <w:szCs w:val="24"/>
        </w:rPr>
        <w:t>设计人工程设计文件超出主要技术指标控制值比例的违约责任</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14B9B508">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48466720">
      <w:pPr>
        <w:pStyle w:val="11"/>
        <w:keepNext w:val="0"/>
        <w:keepLines w:val="0"/>
        <w:pageBreakBefore w:val="0"/>
        <w:widowControl w:val="0"/>
        <w:numPr>
          <w:numId w:val="0"/>
        </w:numPr>
        <w:tabs>
          <w:tab w:val="left" w:pos="1157"/>
          <w:tab w:val="left" w:pos="9188"/>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14.2.5</w:t>
      </w:r>
      <w:r>
        <w:rPr>
          <w:rFonts w:hint="eastAsia" w:asciiTheme="minorEastAsia" w:hAnsiTheme="minorEastAsia" w:eastAsiaTheme="minorEastAsia" w:cstheme="minorEastAsia"/>
          <w:color w:val="231F20"/>
          <w:sz w:val="24"/>
          <w:szCs w:val="24"/>
        </w:rPr>
        <w:t>设计人未经发包人同意擅自对工程设计进行分包的违约责任</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2CB6CE3E">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62A23892">
      <w:pPr>
        <w:pStyle w:val="11"/>
        <w:keepNext w:val="0"/>
        <w:keepLines w:val="0"/>
        <w:pageBreakBefore w:val="0"/>
        <w:widowControl w:val="0"/>
        <w:numPr>
          <w:numId w:val="0"/>
        </w:numPr>
        <w:tabs>
          <w:tab w:val="left" w:pos="484"/>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15.</w:t>
      </w:r>
      <w:r>
        <w:rPr>
          <w:rFonts w:hint="eastAsia" w:asciiTheme="minorEastAsia" w:hAnsiTheme="minorEastAsia" w:eastAsiaTheme="minorEastAsia" w:cstheme="minorEastAsia"/>
          <w:color w:val="231F20"/>
          <w:sz w:val="24"/>
          <w:szCs w:val="24"/>
        </w:rPr>
        <w:t>不可抗力</w:t>
      </w:r>
    </w:p>
    <w:p w14:paraId="6E7D1C5A">
      <w:pPr>
        <w:pStyle w:val="11"/>
        <w:keepNext w:val="0"/>
        <w:keepLines w:val="0"/>
        <w:pageBreakBefore w:val="0"/>
        <w:widowControl w:val="0"/>
        <w:numPr>
          <w:numId w:val="0"/>
        </w:numPr>
        <w:tabs>
          <w:tab w:val="left" w:pos="993"/>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15.1</w:t>
      </w:r>
      <w:r>
        <w:rPr>
          <w:rFonts w:hint="eastAsia" w:asciiTheme="minorEastAsia" w:hAnsiTheme="minorEastAsia" w:eastAsiaTheme="minorEastAsia" w:cstheme="minorEastAsia"/>
          <w:color w:val="231F20"/>
          <w:sz w:val="24"/>
          <w:szCs w:val="24"/>
        </w:rPr>
        <w:t>不可抗力的确认</w:t>
      </w:r>
    </w:p>
    <w:p w14:paraId="185C08DE">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960" w:firstLineChars="4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除通用合同条款约定的不可抗力事件之外，视为不可抗力的其他情形</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59078274">
      <w:pPr>
        <w:pStyle w:val="11"/>
        <w:keepNext w:val="0"/>
        <w:keepLines w:val="0"/>
        <w:pageBreakBefore w:val="0"/>
        <w:widowControl w:val="0"/>
        <w:numPr>
          <w:numId w:val="0"/>
        </w:numPr>
        <w:tabs>
          <w:tab w:val="left" w:pos="484"/>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16.</w:t>
      </w:r>
      <w:r>
        <w:rPr>
          <w:rFonts w:hint="eastAsia" w:asciiTheme="minorEastAsia" w:hAnsiTheme="minorEastAsia" w:eastAsiaTheme="minorEastAsia" w:cstheme="minorEastAsia"/>
          <w:color w:val="231F20"/>
          <w:sz w:val="24"/>
          <w:szCs w:val="24"/>
        </w:rPr>
        <w:t>合同解除</w:t>
      </w:r>
    </w:p>
    <w:p w14:paraId="5F14451D">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16.2 有下列情形之一的，可以解除合同：</w:t>
      </w:r>
    </w:p>
    <w:p w14:paraId="4BACDEB1">
      <w:pPr>
        <w:pStyle w:val="5"/>
        <w:keepNext w:val="0"/>
        <w:keepLines w:val="0"/>
        <w:pageBreakBefore w:val="0"/>
        <w:widowControl w:val="0"/>
        <w:tabs>
          <w:tab w:val="left" w:pos="4702"/>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pacing w:val="-29"/>
          <w:sz w:val="24"/>
          <w:szCs w:val="24"/>
        </w:rPr>
        <w:t xml:space="preserve"> </w:t>
      </w:r>
      <w:r>
        <w:rPr>
          <w:rFonts w:hint="eastAsia" w:asciiTheme="minorEastAsia" w:hAnsiTheme="minorEastAsia" w:eastAsiaTheme="minorEastAsia" w:cstheme="minorEastAsia"/>
          <w:color w:val="231F20"/>
          <w:sz w:val="24"/>
          <w:szCs w:val="24"/>
        </w:rPr>
        <w:t>3）暂停设计期限已连续超过</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w:t>
      </w:r>
    </w:p>
    <w:p w14:paraId="3CCECBEA">
      <w:pPr>
        <w:pStyle w:val="5"/>
        <w:keepNext w:val="0"/>
        <w:keepLines w:val="0"/>
        <w:pageBreakBefore w:val="0"/>
        <w:widowControl w:val="0"/>
        <w:tabs>
          <w:tab w:val="left" w:pos="6323"/>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16.4</w:t>
      </w:r>
      <w:r>
        <w:rPr>
          <w:rFonts w:hint="eastAsia" w:asciiTheme="minorEastAsia" w:hAnsiTheme="minorEastAsia" w:eastAsiaTheme="minorEastAsia" w:cstheme="minorEastAsia"/>
          <w:color w:val="231F20"/>
          <w:spacing w:val="-2"/>
          <w:sz w:val="24"/>
          <w:szCs w:val="24"/>
        </w:rPr>
        <w:t xml:space="preserve"> </w:t>
      </w:r>
      <w:r>
        <w:rPr>
          <w:rFonts w:hint="eastAsia" w:asciiTheme="minorEastAsia" w:hAnsiTheme="minorEastAsia" w:eastAsiaTheme="minorEastAsia" w:cstheme="minorEastAsia"/>
          <w:color w:val="231F20"/>
          <w:sz w:val="24"/>
          <w:szCs w:val="24"/>
        </w:rPr>
        <w:t>发包人向设计人支付已完工作设计费的期限为</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天内。</w:t>
      </w:r>
    </w:p>
    <w:p w14:paraId="65669F7A">
      <w:pPr>
        <w:pStyle w:val="11"/>
        <w:keepNext w:val="0"/>
        <w:keepLines w:val="0"/>
        <w:pageBreakBefore w:val="0"/>
        <w:widowControl w:val="0"/>
        <w:numPr>
          <w:numId w:val="0"/>
        </w:numPr>
        <w:tabs>
          <w:tab w:val="left" w:pos="484"/>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17.</w:t>
      </w:r>
      <w:r>
        <w:rPr>
          <w:rFonts w:hint="eastAsia" w:asciiTheme="minorEastAsia" w:hAnsiTheme="minorEastAsia" w:eastAsiaTheme="minorEastAsia" w:cstheme="minorEastAsia"/>
          <w:color w:val="231F20"/>
          <w:sz w:val="24"/>
          <w:szCs w:val="24"/>
        </w:rPr>
        <w:t>争议解决</w:t>
      </w:r>
    </w:p>
    <w:p w14:paraId="07FAA8CF">
      <w:pPr>
        <w:pStyle w:val="11"/>
        <w:keepNext w:val="0"/>
        <w:keepLines w:val="0"/>
        <w:pageBreakBefore w:val="0"/>
        <w:widowControl w:val="0"/>
        <w:numPr>
          <w:ilvl w:val="1"/>
          <w:numId w:val="29"/>
        </w:numPr>
        <w:tabs>
          <w:tab w:val="left" w:pos="993"/>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争议评审</w:t>
      </w:r>
    </w:p>
    <w:p w14:paraId="4547BB12">
      <w:pPr>
        <w:pStyle w:val="5"/>
        <w:keepNext w:val="0"/>
        <w:keepLines w:val="0"/>
        <w:pageBreakBefore w:val="0"/>
        <w:widowControl w:val="0"/>
        <w:tabs>
          <w:tab w:val="left" w:pos="918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合同当事人是否同意将工程争议提交争议评审小组决定</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283B2F91">
      <w:pPr>
        <w:pStyle w:val="5"/>
        <w:keepNext w:val="0"/>
        <w:keepLines w:val="0"/>
        <w:pageBreakBefore w:val="0"/>
        <w:widowControl w:val="0"/>
        <w:tabs>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5B8B3BCC">
      <w:pPr>
        <w:pStyle w:val="11"/>
        <w:keepNext w:val="0"/>
        <w:keepLines w:val="0"/>
        <w:pageBreakBefore w:val="0"/>
        <w:widowControl w:val="0"/>
        <w:numPr>
          <w:ilvl w:val="2"/>
          <w:numId w:val="29"/>
        </w:numPr>
        <w:tabs>
          <w:tab w:val="left" w:pos="1157"/>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争议评审小组的确定</w:t>
      </w:r>
    </w:p>
    <w:p w14:paraId="211E53B3">
      <w:pPr>
        <w:keepNext w:val="0"/>
        <w:keepLines w:val="0"/>
        <w:pageBreakBefore w:val="0"/>
        <w:widowControl w:val="0"/>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sectPr>
          <w:pgSz w:w="11910" w:h="16840"/>
          <w:pgMar w:top="1580" w:right="1200" w:bottom="1020" w:left="1300" w:header="0" w:footer="832" w:gutter="0"/>
          <w:pgNumType w:fmt="decimal"/>
          <w:cols w:space="720" w:num="1"/>
        </w:sectPr>
      </w:pPr>
    </w:p>
    <w:p w14:paraId="30E3FE31">
      <w:pPr>
        <w:pStyle w:val="5"/>
        <w:keepNext w:val="0"/>
        <w:keepLines w:val="0"/>
        <w:pageBreakBefore w:val="0"/>
        <w:widowControl w:val="0"/>
        <w:tabs>
          <w:tab w:val="left" w:pos="4545"/>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u w:val="single" w:color="231F20"/>
        </w:rPr>
      </w:pPr>
      <w:r>
        <w:rPr>
          <w:rFonts w:hint="eastAsia" w:asciiTheme="minorEastAsia" w:hAnsiTheme="minorEastAsia" w:eastAsiaTheme="minorEastAsia" w:cstheme="minorEastAsia"/>
          <w:color w:val="231F20"/>
          <w:sz w:val="24"/>
          <w:szCs w:val="24"/>
        </w:rPr>
        <w:t>争议评审小组成员的确定</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p>
    <w:p w14:paraId="57BAFA7B">
      <w:pPr>
        <w:pStyle w:val="5"/>
        <w:keepNext w:val="0"/>
        <w:keepLines w:val="0"/>
        <w:pageBreakBefore w:val="0"/>
        <w:widowControl w:val="0"/>
        <w:tabs>
          <w:tab w:val="left" w:pos="4545"/>
          <w:tab w:val="left" w:pos="907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选定争议评审员的期限</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1435D783">
      <w:pPr>
        <w:pStyle w:val="5"/>
        <w:keepNext w:val="0"/>
        <w:keepLines w:val="0"/>
        <w:pageBreakBefore w:val="0"/>
        <w:widowControl w:val="0"/>
        <w:tabs>
          <w:tab w:val="left" w:pos="4430"/>
          <w:tab w:val="left" w:pos="4769"/>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color w:val="231F20"/>
          <w:sz w:val="24"/>
          <w:szCs w:val="24"/>
        </w:rPr>
      </w:pPr>
      <w:r>
        <w:rPr>
          <w:rFonts w:hint="eastAsia" w:asciiTheme="minorEastAsia" w:hAnsiTheme="minorEastAsia" w:eastAsiaTheme="minorEastAsia" w:cstheme="minorEastAsia"/>
          <w:color w:val="231F20"/>
          <w:sz w:val="24"/>
          <w:szCs w:val="24"/>
        </w:rPr>
        <w:t>评审所发生的费用承担方式</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17CD167A">
      <w:pPr>
        <w:pStyle w:val="5"/>
        <w:keepNext w:val="0"/>
        <w:keepLines w:val="0"/>
        <w:pageBreakBefore w:val="0"/>
        <w:widowControl w:val="0"/>
        <w:tabs>
          <w:tab w:val="left" w:pos="4430"/>
          <w:tab w:val="left" w:pos="4769"/>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其他事项的约定</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51B24A07">
      <w:pPr>
        <w:pStyle w:val="11"/>
        <w:keepNext w:val="0"/>
        <w:keepLines w:val="0"/>
        <w:pageBreakBefore w:val="0"/>
        <w:widowControl w:val="0"/>
        <w:numPr>
          <w:ilvl w:val="2"/>
          <w:numId w:val="29"/>
        </w:numPr>
        <w:tabs>
          <w:tab w:val="left" w:pos="1157"/>
        </w:tabs>
        <w:kinsoku/>
        <w:wordWrap/>
        <w:overflowPunct/>
        <w:topLinePunct w:val="0"/>
        <w:autoSpaceDE w:val="0"/>
        <w:autoSpaceDN w:val="0"/>
        <w:bidi w:val="0"/>
        <w:adjustRightInd/>
        <w:snapToGrid/>
        <w:spacing w:before="0" w:after="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争议评审小组的决定</w:t>
      </w:r>
    </w:p>
    <w:p w14:paraId="1DB57F81">
      <w:pPr>
        <w:pStyle w:val="5"/>
        <w:keepNext w:val="0"/>
        <w:keepLines w:val="0"/>
        <w:pageBreakBefore w:val="0"/>
        <w:widowControl w:val="0"/>
        <w:tabs>
          <w:tab w:val="left" w:pos="4934"/>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合同当事人关于本事项的约定</w:t>
      </w:r>
      <w:r>
        <w:rPr>
          <w:rFonts w:hint="eastAsia" w:asciiTheme="minorEastAsia" w:hAnsiTheme="minorEastAsia" w:eastAsiaTheme="minorEastAsia" w:cstheme="minorEastAsia"/>
          <w:color w:val="231F20"/>
          <w:sz w:val="24"/>
          <w:szCs w:val="24"/>
          <w:u w:val="single" w:color="231F20"/>
        </w:rPr>
        <w:t>：</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w:t>
      </w:r>
    </w:p>
    <w:p w14:paraId="5857A849">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17.4 仲裁或诉讼</w:t>
      </w:r>
    </w:p>
    <w:p w14:paraId="29B54185">
      <w:pPr>
        <w:pStyle w:val="5"/>
        <w:keepNext w:val="0"/>
        <w:keepLines w:val="0"/>
        <w:pageBreakBefore w:val="0"/>
        <w:widowControl w:val="0"/>
        <w:tabs>
          <w:tab w:val="left" w:pos="5227"/>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因合同及合同有关事项发生的争议，按下列第</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种方式解决：</w:t>
      </w:r>
    </w:p>
    <w:p w14:paraId="483560BB">
      <w:pPr>
        <w:pStyle w:val="5"/>
        <w:keepNext w:val="0"/>
        <w:keepLines w:val="0"/>
        <w:pageBreakBefore w:val="0"/>
        <w:widowControl w:val="0"/>
        <w:tabs>
          <w:tab w:val="left" w:pos="3480"/>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pacing w:val="-28"/>
          <w:sz w:val="24"/>
          <w:szCs w:val="24"/>
        </w:rPr>
        <w:t xml:space="preserve"> </w:t>
      </w:r>
      <w:r>
        <w:rPr>
          <w:rFonts w:hint="eastAsia" w:asciiTheme="minorEastAsia" w:hAnsiTheme="minorEastAsia" w:eastAsiaTheme="minorEastAsia" w:cstheme="minorEastAsia"/>
          <w:color w:val="231F20"/>
          <w:sz w:val="24"/>
          <w:szCs w:val="24"/>
        </w:rPr>
        <w:t>1）向</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仲裁委员会申请仲裁；</w:t>
      </w:r>
    </w:p>
    <w:p w14:paraId="0968E781">
      <w:pPr>
        <w:pStyle w:val="5"/>
        <w:keepNext w:val="0"/>
        <w:keepLines w:val="0"/>
        <w:pageBreakBefore w:val="0"/>
        <w:widowControl w:val="0"/>
        <w:tabs>
          <w:tab w:val="left" w:pos="2820"/>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rPr>
        <w:t>（</w:t>
      </w:r>
      <w:r>
        <w:rPr>
          <w:rFonts w:hint="eastAsia" w:asciiTheme="minorEastAsia" w:hAnsiTheme="minorEastAsia" w:eastAsiaTheme="minorEastAsia" w:cstheme="minorEastAsia"/>
          <w:color w:val="231F20"/>
          <w:spacing w:val="-28"/>
          <w:sz w:val="24"/>
          <w:szCs w:val="24"/>
        </w:rPr>
        <w:t xml:space="preserve"> </w:t>
      </w:r>
      <w:r>
        <w:rPr>
          <w:rFonts w:hint="eastAsia" w:asciiTheme="minorEastAsia" w:hAnsiTheme="minorEastAsia" w:eastAsiaTheme="minorEastAsia" w:cstheme="minorEastAsia"/>
          <w:color w:val="231F20"/>
          <w:sz w:val="24"/>
          <w:szCs w:val="24"/>
        </w:rPr>
        <w:t>2）向</w:t>
      </w: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sz w:val="24"/>
          <w:szCs w:val="24"/>
        </w:rPr>
        <w:t>人民法院起诉。</w:t>
      </w:r>
    </w:p>
    <w:p w14:paraId="0464E563">
      <w:pPr>
        <w:pStyle w:val="11"/>
        <w:keepNext w:val="0"/>
        <w:keepLines w:val="0"/>
        <w:pageBreakBefore w:val="0"/>
        <w:widowControl w:val="0"/>
        <w:numPr>
          <w:numId w:val="0"/>
        </w:numPr>
        <w:tabs>
          <w:tab w:val="left" w:pos="484"/>
        </w:tabs>
        <w:kinsoku/>
        <w:wordWrap/>
        <w:overflowPunct/>
        <w:topLinePunct w:val="0"/>
        <w:autoSpaceDE w:val="0"/>
        <w:autoSpaceDN w:val="0"/>
        <w:bidi w:val="0"/>
        <w:adjustRightInd/>
        <w:snapToGrid/>
        <w:spacing w:before="0" w:after="0" w:line="320" w:lineRule="auto"/>
        <w:ind w:leftChars="200" w:right="0" w:rightChars="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color w:val="231F20"/>
          <w:sz w:val="24"/>
          <w:szCs w:val="24"/>
          <w:lang w:val="en-US" w:eastAsia="zh-CN"/>
        </w:rPr>
        <w:t>18.</w:t>
      </w:r>
      <w:r>
        <w:rPr>
          <w:rFonts w:hint="eastAsia" w:asciiTheme="minorEastAsia" w:hAnsiTheme="minorEastAsia" w:eastAsiaTheme="minorEastAsia" w:cstheme="minorEastAsia"/>
          <w:color w:val="231F20"/>
          <w:sz w:val="24"/>
          <w:szCs w:val="24"/>
        </w:rPr>
        <w:t>其他（</w:t>
      </w:r>
      <w:r>
        <w:rPr>
          <w:rFonts w:hint="eastAsia" w:asciiTheme="minorEastAsia" w:hAnsiTheme="minorEastAsia" w:eastAsiaTheme="minorEastAsia" w:cstheme="minorEastAsia"/>
          <w:color w:val="231F20"/>
          <w:spacing w:val="-4"/>
          <w:sz w:val="24"/>
          <w:szCs w:val="24"/>
        </w:rPr>
        <w:t>如果没有，填“无”</w:t>
      </w:r>
      <w:r>
        <w:rPr>
          <w:rFonts w:hint="eastAsia" w:asciiTheme="minorEastAsia" w:hAnsiTheme="minorEastAsia" w:eastAsiaTheme="minorEastAsia" w:cstheme="minorEastAsia"/>
          <w:color w:val="231F20"/>
          <w:spacing w:val="-28"/>
          <w:sz w:val="24"/>
          <w:szCs w:val="24"/>
        </w:rPr>
        <w:t>）</w:t>
      </w:r>
    </w:p>
    <w:p w14:paraId="52056124">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mc:AlternateContent>
          <mc:Choice Requires="wps">
            <w:drawing>
              <wp:anchor distT="0" distB="0" distL="0" distR="0" simplePos="0" relativeHeight="251660288" behindDoc="0" locked="0" layoutInCell="1" allowOverlap="1">
                <wp:simplePos x="0" y="0"/>
                <wp:positionH relativeFrom="page">
                  <wp:posOffset>1179195</wp:posOffset>
                </wp:positionH>
                <wp:positionV relativeFrom="paragraph">
                  <wp:posOffset>283210</wp:posOffset>
                </wp:positionV>
                <wp:extent cx="5480050" cy="0"/>
                <wp:effectExtent l="0" t="4445" r="0" b="5080"/>
                <wp:wrapTopAndBottom/>
                <wp:docPr id="2" name="直线 4"/>
                <wp:cNvGraphicFramePr/>
                <a:graphic xmlns:a="http://schemas.openxmlformats.org/drawingml/2006/main">
                  <a:graphicData uri="http://schemas.microsoft.com/office/word/2010/wordprocessingShape">
                    <wps:wsp>
                      <wps:cNvSpPr/>
                      <wps:spPr>
                        <a:xfrm>
                          <a:off x="0" y="0"/>
                          <a:ext cx="5480050" cy="0"/>
                        </a:xfrm>
                        <a:prstGeom prst="line">
                          <a:avLst/>
                        </a:prstGeom>
                        <a:ln w="3594" cap="flat" cmpd="sng">
                          <a:solidFill>
                            <a:srgbClr val="231F20"/>
                          </a:solidFill>
                          <a:prstDash val="solid"/>
                          <a:headEnd type="none" w="med" len="med"/>
                          <a:tailEnd type="none" w="med" len="med"/>
                        </a:ln>
                      </wps:spPr>
                      <wps:bodyPr upright="1"/>
                    </wps:wsp>
                  </a:graphicData>
                </a:graphic>
              </wp:anchor>
            </w:drawing>
          </mc:Choice>
          <mc:Fallback>
            <w:pict>
              <v:line id="直线 4" o:spid="_x0000_s1026" o:spt="20" style="position:absolute;left:0pt;margin-left:92.85pt;margin-top:22.3pt;height:0pt;width:431.5pt;mso-position-horizontal-relative:page;mso-wrap-distance-bottom:0pt;mso-wrap-distance-top:0pt;z-index:251660288;mso-width-relative:page;mso-height-relative:page;" filled="f" stroked="t" coordsize="21600,21600" o:gfxdata="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3zOq&#10;7tgAAAAKAQAADwAAAAAAAAABACAAAAAiAAAAZHJzL2Rvd25yZXYueG1sUEsBAhQAFAAAAAgAh07i&#10;QCtvIjvpAQAA2wMAAA4AAAAAAAAAAQAgAAAAJwEAAGRycy9lMm9Eb2MueG1sUEsFBgAAAAAGAAYA&#10;WQEAAIIFAAAAAA==&#10;">
                <v:fill on="f" focussize="0,0"/>
                <v:stroke weight="0.282992125984252pt" color="#231F20" joinstyle="round"/>
                <v:imagedata o:title=""/>
                <o:lock v:ext="edit" aspectratio="f"/>
                <w10:wrap type="topAndBottom"/>
              </v:line>
            </w:pict>
          </mc:Fallback>
        </mc:AlternateContent>
      </w:r>
    </w:p>
    <w:p w14:paraId="04B03534">
      <w:pPr>
        <w:pStyle w:val="5"/>
        <w:keepNext w:val="0"/>
        <w:keepLines w:val="0"/>
        <w:pageBreakBefore w:val="0"/>
        <w:widowControl w:val="0"/>
        <w:tabs>
          <w:tab w:val="left" w:pos="8968"/>
        </w:tabs>
        <w:kinsoku/>
        <w:wordWrap/>
        <w:overflowPunct/>
        <w:topLinePunct w:val="0"/>
        <w:autoSpaceDE w:val="0"/>
        <w:autoSpaceDN w:val="0"/>
        <w:bidi w:val="0"/>
        <w:adjustRightInd/>
        <w:snapToGrid/>
        <w:spacing w:before="0" w:line="320" w:lineRule="auto"/>
        <w:ind w:left="0" w:right="0" w:firstLine="480" w:firstLineChars="200"/>
        <w:jc w:val="left"/>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sz w:val="24"/>
          <w:szCs w:val="24"/>
          <w:u w:val="single" w:color="231F20"/>
        </w:rPr>
        <w:t xml:space="preserve"> </w:t>
      </w:r>
      <w:r>
        <w:rPr>
          <w:rFonts w:hint="eastAsia" w:asciiTheme="minorEastAsia" w:hAnsiTheme="minorEastAsia" w:eastAsiaTheme="minorEastAsia" w:cstheme="minorEastAsia"/>
          <w:color w:val="231F20"/>
          <w:sz w:val="24"/>
          <w:szCs w:val="24"/>
          <w:u w:val="single" w:color="231F20"/>
        </w:rPr>
        <w:tab/>
      </w:r>
      <w:r>
        <w:rPr>
          <w:rFonts w:hint="eastAsia" w:asciiTheme="minorEastAsia" w:hAnsiTheme="minorEastAsia" w:eastAsiaTheme="minorEastAsia" w:cstheme="minorEastAsia"/>
          <w:color w:val="231F20"/>
        </w:rPr>
        <w:t>。</w:t>
      </w:r>
    </w:p>
    <w:p w14:paraId="1E8324E6">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720" w:firstLineChars="200"/>
        <w:jc w:val="left"/>
        <w:textAlignment w:val="auto"/>
        <w:rPr>
          <w:rFonts w:hint="eastAsia" w:asciiTheme="minorEastAsia" w:hAnsiTheme="minorEastAsia" w:eastAsiaTheme="minorEastAsia" w:cstheme="minorEastAsia"/>
          <w:sz w:val="36"/>
        </w:rPr>
      </w:pPr>
    </w:p>
    <w:p w14:paraId="727F2446">
      <w:pPr>
        <w:pStyle w:val="5"/>
        <w:spacing w:before="0"/>
        <w:ind w:left="557"/>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附件</w:t>
      </w:r>
    </w:p>
    <w:p w14:paraId="60A7C62F">
      <w:pPr>
        <w:pStyle w:val="5"/>
        <w:keepNext w:val="0"/>
        <w:keepLines w:val="0"/>
        <w:pageBreakBefore w:val="0"/>
        <w:widowControl w:val="0"/>
        <w:kinsoku/>
        <w:wordWrap/>
        <w:overflowPunct/>
        <w:topLinePunct w:val="0"/>
        <w:autoSpaceDE w:val="0"/>
        <w:autoSpaceDN w:val="0"/>
        <w:bidi w:val="0"/>
        <w:adjustRightInd/>
        <w:snapToGrid/>
        <w:spacing w:before="0"/>
        <w:ind w:left="0" w:right="0" w:firstLine="44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附件 1 ：工程设计范围、阶段与服务内容</w:t>
      </w:r>
    </w:p>
    <w:p w14:paraId="57EF1966">
      <w:pPr>
        <w:pStyle w:val="5"/>
        <w:keepNext w:val="0"/>
        <w:keepLines w:val="0"/>
        <w:pageBreakBefore w:val="0"/>
        <w:widowControl w:val="0"/>
        <w:kinsoku/>
        <w:wordWrap/>
        <w:overflowPunct/>
        <w:topLinePunct w:val="0"/>
        <w:autoSpaceDE w:val="0"/>
        <w:autoSpaceDN w:val="0"/>
        <w:bidi w:val="0"/>
        <w:adjustRightInd/>
        <w:snapToGrid/>
        <w:spacing w:before="0" w:line="319" w:lineRule="auto"/>
        <w:ind w:left="0" w:right="0" w:firstLine="440" w:firstLineChars="200"/>
        <w:textAlignment w:val="auto"/>
        <w:rPr>
          <w:rFonts w:hint="eastAsia" w:asciiTheme="minorEastAsia" w:hAnsiTheme="minorEastAsia" w:eastAsiaTheme="minorEastAsia" w:cstheme="minorEastAsia"/>
          <w:color w:val="231F20"/>
        </w:rPr>
      </w:pPr>
      <w:r>
        <w:rPr>
          <w:rFonts w:hint="eastAsia" w:asciiTheme="minorEastAsia" w:hAnsiTheme="minorEastAsia" w:eastAsiaTheme="minorEastAsia" w:cstheme="minorEastAsia"/>
          <w:color w:val="231F20"/>
        </w:rPr>
        <w:t>附件 2 ：发包人向设计人提交的有关资料及文件一览表</w:t>
      </w:r>
    </w:p>
    <w:p w14:paraId="58C63070">
      <w:pPr>
        <w:pStyle w:val="5"/>
        <w:keepNext w:val="0"/>
        <w:keepLines w:val="0"/>
        <w:pageBreakBefore w:val="0"/>
        <w:widowControl w:val="0"/>
        <w:kinsoku/>
        <w:wordWrap/>
        <w:overflowPunct/>
        <w:topLinePunct w:val="0"/>
        <w:autoSpaceDE w:val="0"/>
        <w:autoSpaceDN w:val="0"/>
        <w:bidi w:val="0"/>
        <w:adjustRightInd/>
        <w:snapToGrid/>
        <w:spacing w:before="0" w:line="319" w:lineRule="auto"/>
        <w:ind w:left="0" w:right="0" w:firstLine="44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附件 3 ：设计人向发包人交付的工程设计文件目录</w:t>
      </w:r>
    </w:p>
    <w:p w14:paraId="52BF58F2">
      <w:pPr>
        <w:pStyle w:val="5"/>
        <w:keepNext w:val="0"/>
        <w:keepLines w:val="0"/>
        <w:pageBreakBefore w:val="0"/>
        <w:widowControl w:val="0"/>
        <w:kinsoku/>
        <w:wordWrap/>
        <w:overflowPunct/>
        <w:topLinePunct w:val="0"/>
        <w:autoSpaceDE w:val="0"/>
        <w:autoSpaceDN w:val="0"/>
        <w:bidi w:val="0"/>
        <w:adjustRightInd/>
        <w:snapToGrid/>
        <w:spacing w:before="0" w:line="319" w:lineRule="auto"/>
        <w:ind w:left="0" w:right="0" w:firstLine="440" w:firstLineChars="200"/>
        <w:textAlignment w:val="auto"/>
        <w:rPr>
          <w:rFonts w:hint="eastAsia" w:asciiTheme="minorEastAsia" w:hAnsiTheme="minorEastAsia" w:eastAsiaTheme="minorEastAsia" w:cstheme="minorEastAsia"/>
          <w:color w:val="231F20"/>
        </w:rPr>
      </w:pPr>
      <w:r>
        <w:rPr>
          <w:rFonts w:hint="eastAsia" w:asciiTheme="minorEastAsia" w:hAnsiTheme="minorEastAsia" w:eastAsiaTheme="minorEastAsia" w:cstheme="minorEastAsia"/>
          <w:color w:val="231F20"/>
        </w:rPr>
        <w:t>附件 4 ：设计人主要设计人员</w:t>
      </w:r>
      <w:r>
        <w:rPr>
          <w:rFonts w:hint="eastAsia" w:asciiTheme="minorEastAsia" w:hAnsiTheme="minorEastAsia" w:eastAsiaTheme="minorEastAsia" w:cstheme="minorEastAsia"/>
          <w:color w:val="231F20"/>
          <w:lang w:val="en-US" w:eastAsia="zh-CN"/>
        </w:rPr>
        <w:t>表</w:t>
      </w:r>
    </w:p>
    <w:p w14:paraId="7858E31D">
      <w:pPr>
        <w:pStyle w:val="5"/>
        <w:keepNext w:val="0"/>
        <w:keepLines w:val="0"/>
        <w:pageBreakBefore w:val="0"/>
        <w:widowControl w:val="0"/>
        <w:kinsoku/>
        <w:wordWrap/>
        <w:overflowPunct/>
        <w:topLinePunct w:val="0"/>
        <w:autoSpaceDE w:val="0"/>
        <w:autoSpaceDN w:val="0"/>
        <w:bidi w:val="0"/>
        <w:adjustRightInd/>
        <w:snapToGrid/>
        <w:spacing w:before="0" w:line="319" w:lineRule="auto"/>
        <w:ind w:left="0" w:right="0" w:firstLine="440" w:firstLineChars="200"/>
        <w:textAlignment w:val="auto"/>
        <w:rPr>
          <w:rFonts w:hint="eastAsia" w:asciiTheme="minorEastAsia" w:hAnsiTheme="minorEastAsia" w:eastAsiaTheme="minorEastAsia" w:cstheme="minorEastAsia"/>
        </w:rPr>
      </w:pPr>
      <w:r>
        <w:rPr>
          <w:rFonts w:hint="eastAsia" w:asciiTheme="minorEastAsia" w:hAnsiTheme="minorEastAsia" w:eastAsiaTheme="minorEastAsia" w:cstheme="minorEastAsia"/>
          <w:color w:val="231F20"/>
        </w:rPr>
        <w:t>附件 5 ：设计进度表</w:t>
      </w:r>
    </w:p>
    <w:p w14:paraId="32BFB9CC">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40" w:firstLineChars="200"/>
        <w:textAlignment w:val="auto"/>
        <w:rPr>
          <w:rFonts w:hint="eastAsia" w:asciiTheme="minorEastAsia" w:hAnsiTheme="minorEastAsia" w:eastAsiaTheme="minorEastAsia" w:cstheme="minorEastAsia"/>
          <w:color w:val="231F20"/>
        </w:rPr>
      </w:pPr>
      <w:r>
        <w:rPr>
          <w:rFonts w:hint="eastAsia" w:asciiTheme="minorEastAsia" w:hAnsiTheme="minorEastAsia" w:eastAsiaTheme="minorEastAsia" w:cstheme="minorEastAsia"/>
          <w:color w:val="231F20"/>
        </w:rPr>
        <w:t>附件 6 ：设计费明细及支付方式</w:t>
      </w:r>
    </w:p>
    <w:p w14:paraId="2C0EEB2E">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40" w:firstLineChars="200"/>
        <w:textAlignment w:val="auto"/>
        <w:rPr>
          <w:rFonts w:hint="eastAsia" w:asciiTheme="minorEastAsia" w:hAnsiTheme="minorEastAsia" w:eastAsiaTheme="minorEastAsia" w:cstheme="minorEastAsia"/>
          <w:color w:val="231F20"/>
        </w:rPr>
      </w:pPr>
      <w:r>
        <w:rPr>
          <w:rFonts w:hint="eastAsia" w:asciiTheme="minorEastAsia" w:hAnsiTheme="minorEastAsia" w:eastAsiaTheme="minorEastAsia" w:cstheme="minorEastAsia"/>
          <w:color w:val="231F20"/>
        </w:rPr>
        <w:t>附件 7 ：设计变更计费依据和</w:t>
      </w:r>
      <w:r>
        <w:rPr>
          <w:rFonts w:hint="eastAsia" w:asciiTheme="minorEastAsia" w:hAnsiTheme="minorEastAsia" w:eastAsiaTheme="minorEastAsia" w:cstheme="minorEastAsia"/>
          <w:color w:val="231F20"/>
          <w:lang w:val="en-US" w:eastAsia="zh-CN"/>
        </w:rPr>
        <w:t>方</w:t>
      </w:r>
      <w:r>
        <w:rPr>
          <w:rFonts w:hint="eastAsia" w:asciiTheme="minorEastAsia" w:hAnsiTheme="minorEastAsia" w:eastAsiaTheme="minorEastAsia" w:cstheme="minorEastAsia"/>
          <w:color w:val="231F20"/>
        </w:rPr>
        <w:t>法</w:t>
      </w:r>
    </w:p>
    <w:p w14:paraId="01652833">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leftChars="0" w:right="0" w:firstLine="0" w:firstLineChars="0"/>
        <w:textAlignment w:val="auto"/>
        <w:rPr>
          <w:rFonts w:hint="eastAsia" w:asciiTheme="minorEastAsia" w:hAnsiTheme="minorEastAsia" w:eastAsiaTheme="minorEastAsia" w:cstheme="minorEastAsia"/>
          <w:color w:val="231F20"/>
        </w:rPr>
      </w:pPr>
    </w:p>
    <w:p w14:paraId="4C38D8D9">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40" w:firstLineChars="200"/>
        <w:textAlignment w:val="auto"/>
        <w:rPr>
          <w:rFonts w:hint="eastAsia" w:asciiTheme="minorEastAsia" w:hAnsiTheme="minorEastAsia" w:eastAsiaTheme="minorEastAsia" w:cstheme="minorEastAsia"/>
          <w:color w:val="231F20"/>
        </w:rPr>
      </w:pPr>
    </w:p>
    <w:p w14:paraId="3F44D42C">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40" w:firstLineChars="200"/>
        <w:textAlignment w:val="auto"/>
        <w:rPr>
          <w:rFonts w:hint="eastAsia" w:asciiTheme="minorEastAsia" w:hAnsiTheme="minorEastAsia" w:eastAsiaTheme="minorEastAsia" w:cstheme="minorEastAsia"/>
          <w:color w:val="231F20"/>
        </w:rPr>
      </w:pPr>
    </w:p>
    <w:p w14:paraId="41A6CBF1">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40" w:firstLineChars="200"/>
        <w:textAlignment w:val="auto"/>
        <w:rPr>
          <w:rFonts w:hint="eastAsia" w:asciiTheme="minorEastAsia" w:hAnsiTheme="minorEastAsia" w:eastAsiaTheme="minorEastAsia" w:cstheme="minorEastAsia"/>
          <w:color w:val="231F20"/>
        </w:rPr>
      </w:pPr>
    </w:p>
    <w:p w14:paraId="096E0510">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40" w:firstLineChars="200"/>
        <w:textAlignment w:val="auto"/>
        <w:rPr>
          <w:rFonts w:hint="eastAsia" w:asciiTheme="minorEastAsia" w:hAnsiTheme="minorEastAsia" w:eastAsiaTheme="minorEastAsia" w:cstheme="minorEastAsia"/>
          <w:color w:val="231F20"/>
        </w:rPr>
      </w:pPr>
    </w:p>
    <w:p w14:paraId="58EDFFB6">
      <w:pPr>
        <w:pStyle w:val="5"/>
        <w:keepNext w:val="0"/>
        <w:keepLines w:val="0"/>
        <w:pageBreakBefore w:val="0"/>
        <w:widowControl w:val="0"/>
        <w:kinsoku/>
        <w:wordWrap/>
        <w:overflowPunct/>
        <w:topLinePunct w:val="0"/>
        <w:autoSpaceDE w:val="0"/>
        <w:autoSpaceDN w:val="0"/>
        <w:bidi w:val="0"/>
        <w:adjustRightInd/>
        <w:snapToGrid/>
        <w:spacing w:before="0" w:line="320" w:lineRule="auto"/>
        <w:ind w:left="0" w:right="0" w:firstLine="440" w:firstLineChars="200"/>
        <w:textAlignment w:val="auto"/>
        <w:rPr>
          <w:rFonts w:hint="eastAsia" w:asciiTheme="minorEastAsia" w:hAnsiTheme="minorEastAsia" w:eastAsiaTheme="minorEastAsia" w:cstheme="minorEastAsia"/>
          <w:color w:val="231F20"/>
        </w:rPr>
        <w:sectPr>
          <w:pgSz w:w="11910" w:h="16840"/>
          <w:pgMar w:top="1580" w:right="1200" w:bottom="1020" w:left="1300" w:header="0" w:footer="832" w:gutter="0"/>
          <w:pgNumType w:fmt="decimal"/>
          <w:cols w:space="720" w:num="1"/>
        </w:sectPr>
      </w:pPr>
    </w:p>
    <w:p w14:paraId="17772E54">
      <w:pPr>
        <w:pStyle w:val="3"/>
        <w:ind w:left="0" w:leftChars="0" w:firstLine="0" w:firstLineChars="0"/>
        <w:rPr>
          <w:rFonts w:hint="eastAsia" w:asciiTheme="minorEastAsia" w:hAnsiTheme="minorEastAsia" w:eastAsiaTheme="minorEastAsia" w:cstheme="minorEastAsia"/>
        </w:rPr>
      </w:pPr>
    </w:p>
    <w:sectPr>
      <w:footerReference r:id="rId13" w:type="default"/>
      <w:footerReference r:id="rId14" w:type="even"/>
      <w:pgSz w:w="11910" w:h="16840"/>
      <w:pgMar w:top="1580" w:right="1300" w:bottom="1020" w:left="1680" w:header="0" w:footer="832" w:gutter="0"/>
      <w:pgNumType w:fmt="decimal"/>
      <w:cols w:equalWidth="0" w:num="2">
        <w:col w:w="1125" w:space="1541"/>
        <w:col w:w="6264"/>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0"/>
    <w:family w:val="swiss"/>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方正书宋_GBK">
    <w:altName w:val="微软雅黑"/>
    <w:panose1 w:val="00000000000000000000"/>
    <w:charset w:val="86"/>
    <w:family w:val="script"/>
    <w:pitch w:val="default"/>
    <w:sig w:usb0="00000000" w:usb1="00000000" w:usb2="00000000" w:usb3="00000000" w:csb0="00000000" w:csb1="00000000"/>
  </w:font>
  <w:font w:name="方正黑体_GBK">
    <w:altName w:val="微软雅黑"/>
    <w:panose1 w:val="00000000000000000000"/>
    <w:charset w:val="86"/>
    <w:family w:val="script"/>
    <w:pitch w:val="default"/>
    <w:sig w:usb0="00000000" w:usb1="00000000" w:usb2="00000000" w:usb3="00000000" w:csb0="00000000" w:csb1="00000000"/>
  </w:font>
  <w:font w:name="方正小标宋_GBK">
    <w:altName w:val="微软雅黑"/>
    <w:panose1 w:val="00000000000000000000"/>
    <w:charset w:val="86"/>
    <w:family w:val="script"/>
    <w:pitch w:val="default"/>
    <w:sig w:usb0="00000000" w:usb1="00000000" w:usb2="00000000" w:usb3="00000000" w:csb0="00000000" w:csb1="00000000"/>
  </w:font>
  <w:font w:name="方正楷体_GBK">
    <w:altName w:val="微软雅黑"/>
    <w:panose1 w:val="00000000000000000000"/>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KSOF4C539D17">
    <w:panose1 w:val="020B0503020204020204"/>
    <w:charset w:val="86"/>
    <w:family w:val="auto"/>
    <w:pitch w:val="default"/>
    <w:sig w:usb0="00000001" w:usb1="00000000" w:usb2="00000000" w:usb3="00000000" w:csb0="00040001" w:csb1="00000000"/>
  </w:font>
  <w:font w:name="KSOFF21A05E0">
    <w:panose1 w:val="020B0503020204020204"/>
    <w:charset w:val="86"/>
    <w:family w:val="auto"/>
    <w:pitch w:val="default"/>
    <w:sig w:usb0="00000001" w:usb1="00000000" w:usb2="00000000" w:usb3="00000000" w:csb0="00040001" w:csb1="00000000"/>
  </w:font>
  <w:font w:name="KSOFEC83043A">
    <w:panose1 w:val="020B0503020204020204"/>
    <w:charset w:val="86"/>
    <w:family w:val="auto"/>
    <w:pitch w:val="default"/>
    <w:sig w:usb0="00000001" w:usb1="00000000" w:usb2="00000000" w:usb3="00000000" w:csb0="00040001" w:csb1="00000000"/>
  </w:font>
  <w:font w:name="KSOF8080F95D">
    <w:panose1 w:val="020B0503020204020204"/>
    <w:charset w:val="86"/>
    <w:family w:val="auto"/>
    <w:pitch w:val="default"/>
    <w:sig w:usb0="00000001" w:usb1="00000000" w:usb2="00000000" w:usb3="00000000" w:csb0="00040001" w:csb1="00000000"/>
  </w:font>
  <w:font w:name="方正书宋_GBK">
    <w:altName w:val="微软雅黑"/>
    <w:panose1 w:val="00000000000000000000"/>
    <w:charset w:val="00"/>
    <w:family w:val="auto"/>
    <w:pitch w:val="default"/>
    <w:sig w:usb0="00000000" w:usb1="00000000" w:usb2="00000000" w:usb3="00000000" w:csb0="00000000" w:csb1="00000000"/>
  </w:font>
  <w:font w:name="方正黑体_GBK">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7F55B1D">
    <w:pPr>
      <w:pStyle w:val="5"/>
      <w:spacing w:before="0" w:line="14" w:lineRule="auto"/>
      <w:ind w:left="0"/>
      <w:rPr>
        <w:sz w:val="20"/>
      </w:rPr>
    </w:pPr>
    <w:r>
      <w:rPr>
        <w:sz w:val="20"/>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34316E5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ApVbcAgAAJA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vwKVW3AIAACQGAAAOAAAAAAAAAAEAIAAAAB8BAABkcnMvZTJvRG9jLnhtbFBLBQYA&#10;AAAABgAGAFkBAABtBgAAAAA=&#10;">
              <v:fill on="f" focussize="0,0"/>
              <v:stroke on="f" weight="0.5pt"/>
              <v:imagedata o:title=""/>
              <o:lock v:ext="edit" aspectratio="f"/>
              <v:textbox inset="0mm,0mm,0mm,0mm" style="mso-fit-shape-to-text:t;">
                <w:txbxContent>
                  <w:p w14:paraId="34316E5C">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046831E">
    <w:pPr>
      <w:pStyle w:val="5"/>
      <w:spacing w:before="0" w:line="14" w:lineRule="auto"/>
      <w:ind w:left="0"/>
      <w:rPr>
        <w:sz w:val="20"/>
      </w:rPr>
    </w:pPr>
    <w:r>
      <w:rPr>
        <w:sz w:val="20"/>
      </w:rPr>
      <mc:AlternateContent>
        <mc:Choice Requires="wps">
          <w:drawing>
            <wp:anchor distT="0" distB="0" distL="114300" distR="114300" simplePos="0" relativeHeight="25167155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238D523">
                          <w:pPr>
                            <w:pStyle w:val="6"/>
                          </w:pPr>
                          <w:r>
                            <w:t xml:space="preserve">第 </w:t>
                          </w:r>
                          <w:r>
                            <w:fldChar w:fldCharType="begin"/>
                          </w:r>
                          <w:r>
                            <w:instrText xml:space="preserve"> PAGE  \* MERGEFORMAT </w:instrText>
                          </w:r>
                          <w:r>
                            <w:fldChar w:fldCharType="separate"/>
                          </w:r>
                          <w:r>
                            <w:t>32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155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ze1J90CAAAmBgAADgAAAAAAAAABACAAAAAfAQAAZHJzL2Uyb0RvYy54bWxQSwUG&#10;AAAAAAYABgBZAQAAbgYAAAAA&#10;">
              <v:fill on="f" focussize="0,0"/>
              <v:stroke on="f" weight="0.5pt"/>
              <v:imagedata o:title=""/>
              <o:lock v:ext="edit" aspectratio="f"/>
              <v:textbox inset="0mm,0mm,0mm,0mm" style="mso-fit-shape-to-text:t;">
                <w:txbxContent>
                  <w:p w14:paraId="0238D523">
                    <w:pPr>
                      <w:pStyle w:val="6"/>
                    </w:pPr>
                    <w:r>
                      <w:t xml:space="preserve">第 </w:t>
                    </w:r>
                    <w:r>
                      <w:fldChar w:fldCharType="begin"/>
                    </w:r>
                    <w:r>
                      <w:instrText xml:space="preserve"> PAGE  \* MERGEFORMAT </w:instrText>
                    </w:r>
                    <w:r>
                      <w:fldChar w:fldCharType="separate"/>
                    </w:r>
                    <w:r>
                      <w:t>32</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4940FE">
    <w:pPr>
      <w:pStyle w:val="5"/>
      <w:spacing w:before="0" w:line="14" w:lineRule="auto"/>
      <w:ind w:left="0"/>
      <w:rPr>
        <w:sz w:val="20"/>
      </w:rPr>
    </w:pPr>
    <w:r>
      <w:rPr>
        <w:sz w:val="22"/>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418384F">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Ci6pUg3AIAACQGAAAOAAAAAAAAAAEAIAAAAB8BAABkcnMvZTJvRG9jLnhtbFBLBQYA&#10;AAAABgAGAFkBAABtBgAAAAA=&#10;">
              <v:fill on="f" focussize="0,0"/>
              <v:stroke on="f" weight="0.5pt"/>
              <v:imagedata o:title=""/>
              <o:lock v:ext="edit" aspectratio="f"/>
              <v:textbox inset="0mm,0mm,0mm,0mm" style="mso-fit-shape-to-text:t;">
                <w:txbxContent>
                  <w:p w14:paraId="5418384F">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874395</wp:posOffset>
              </wp:positionH>
              <wp:positionV relativeFrom="page">
                <wp:posOffset>10023475</wp:posOffset>
              </wp:positionV>
              <wp:extent cx="114300" cy="166370"/>
              <wp:effectExtent l="0" t="0" r="0" b="0"/>
              <wp:wrapNone/>
              <wp:docPr id="3" name="文本框 2"/>
              <wp:cNvGraphicFramePr/>
              <a:graphic xmlns:a="http://schemas.openxmlformats.org/drawingml/2006/main">
                <a:graphicData uri="http://schemas.microsoft.com/office/word/2010/wordprocessingShape">
                  <wps:wsp>
                    <wps:cNvSpPr txBox="1"/>
                    <wps:spPr>
                      <a:xfrm>
                        <a:off x="0" y="0"/>
                        <a:ext cx="114300" cy="166370"/>
                      </a:xfrm>
                      <a:prstGeom prst="rect">
                        <a:avLst/>
                      </a:prstGeom>
                      <a:noFill/>
                      <a:ln>
                        <a:noFill/>
                      </a:ln>
                    </wps:spPr>
                    <wps:txbx>
                      <w:txbxContent>
                        <w:p w14:paraId="379E3BE6">
                          <w:pPr>
                            <w:spacing w:before="11"/>
                            <w:ind w:right="0"/>
                            <w:jc w:val="left"/>
                            <w:rPr>
                              <w:rFonts w:ascii="Times New Roman"/>
                              <w:sz w:val="20"/>
                            </w:rPr>
                          </w:pPr>
                        </w:p>
                      </w:txbxContent>
                    </wps:txbx>
                    <wps:bodyPr lIns="0" tIns="0" rIns="0" bIns="0" upright="1"/>
                  </wps:wsp>
                </a:graphicData>
              </a:graphic>
            </wp:anchor>
          </w:drawing>
        </mc:Choice>
        <mc:Fallback>
          <w:pict>
            <v:shape id="文本框 2" o:spid="_x0000_s1026" o:spt="202" type="#_x0000_t202" style="position:absolute;left:0pt;margin-left:68.85pt;margin-top:789.25pt;height:13.1pt;width:9pt;mso-position-horizontal-relative:page;mso-position-vertical-relative:page;z-index:-251655168;mso-width-relative:page;mso-height-relative:page;" filled="f" stroked="f" coordsize="21600,21600" o:gfxdata="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mQ3mbtoAAAANAQAADwAAAAAAAAABACAAAAAiAAAAZHJzL2Rvd25yZXYueG1sUEsB&#10;AhQAFAAAAAgAh07iQKOp3p+6AQAAcQMAAA4AAAAAAAAAAQAgAAAAKQEAAGRycy9lMm9Eb2MueG1s&#10;UEsFBgAAAAAGAAYAWQEAAFUFAAAAAA==&#10;">
              <v:fill on="f" focussize="0,0"/>
              <v:stroke on="f"/>
              <v:imagedata o:title=""/>
              <o:lock v:ext="edit" aspectratio="f"/>
              <v:textbox inset="0mm,0mm,0mm,0mm">
                <w:txbxContent>
                  <w:p w14:paraId="379E3BE6">
                    <w:pPr>
                      <w:spacing w:before="11"/>
                      <w:ind w:right="0"/>
                      <w:jc w:val="left"/>
                      <w:rPr>
                        <w:rFonts w:ascii="Times New Roman"/>
                        <w:sz w:val="20"/>
                      </w:rPr>
                    </w:pP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C2008E6">
    <w:pPr>
      <w:pStyle w:val="5"/>
      <w:spacing w:before="0" w:line="14" w:lineRule="auto"/>
      <w:ind w:left="0"/>
      <w:rPr>
        <w:sz w:val="20"/>
      </w:rPr>
    </w:pPr>
    <w:r>
      <w:rPr>
        <w:sz w:val="20"/>
      </w:rPr>
      <mc:AlternateContent>
        <mc:Choice Requires="wps">
          <w:drawing>
            <wp:anchor distT="0" distB="0" distL="114300" distR="114300" simplePos="0" relativeHeight="251664384" behindDoc="0" locked="0" layoutInCell="1" allowOverlap="1">
              <wp:simplePos x="0" y="0"/>
              <wp:positionH relativeFrom="margin">
                <wp:align>center</wp:align>
              </wp:positionH>
              <wp:positionV relativeFrom="paragraph">
                <wp:posOffset>0</wp:posOffset>
              </wp:positionV>
              <wp:extent cx="1828800" cy="1828800"/>
              <wp:effectExtent l="0" t="0" r="0" b="0"/>
              <wp:wrapNone/>
              <wp:docPr id="10"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8DBBA35">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438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OH7cf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E4ftx90CAAAmBgAADgAAAAAAAAABACAAAAAfAQAAZHJzL2Uyb0RvYy54bWxQSwUG&#10;AAAAAAYABgBZAQAAbgYAAAAA&#10;">
              <v:fill on="f" focussize="0,0"/>
              <v:stroke on="f" weight="0.5pt"/>
              <v:imagedata o:title=""/>
              <o:lock v:ext="edit" aspectratio="f"/>
              <v:textbox inset="0mm,0mm,0mm,0mm" style="mso-fit-shape-to-text:t;">
                <w:txbxContent>
                  <w:p w14:paraId="58DBBA35">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4C5901">
    <w:pPr>
      <w:pStyle w:val="5"/>
      <w:spacing w:before="0" w:line="14" w:lineRule="auto"/>
      <w:ind w:left="0"/>
      <w:rPr>
        <w:sz w:val="20"/>
      </w:rPr>
    </w:pPr>
    <w:r>
      <w:rPr>
        <w:sz w:val="20"/>
      </w:rPr>
      <mc:AlternateContent>
        <mc:Choice Requires="wps">
          <w:drawing>
            <wp:anchor distT="0" distB="0" distL="114300" distR="114300" simplePos="0" relativeHeight="251665408" behindDoc="0" locked="0" layoutInCell="1" allowOverlap="1">
              <wp:simplePos x="0" y="0"/>
              <wp:positionH relativeFrom="margin">
                <wp:align>center</wp:align>
              </wp:positionH>
              <wp:positionV relativeFrom="paragraph">
                <wp:posOffset>0</wp:posOffset>
              </wp:positionV>
              <wp:extent cx="1828800" cy="1828800"/>
              <wp:effectExtent l="0" t="0" r="0" b="0"/>
              <wp:wrapNone/>
              <wp:docPr id="11" name="文本框 1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ED68C8C">
                          <w:pPr>
                            <w:pStyle w:val="6"/>
                          </w:pPr>
                          <w:r>
                            <w:t xml:space="preserve">第 </w:t>
                          </w:r>
                          <w:r>
                            <w:fldChar w:fldCharType="begin"/>
                          </w:r>
                          <w:r>
                            <w:instrText xml:space="preserve"> PAGE  \* MERGEFORMAT </w:instrText>
                          </w:r>
                          <w:r>
                            <w:fldChar w:fldCharType="separate"/>
                          </w:r>
                          <w:r>
                            <w:t>24</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540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RbjTbd0CAAAmBgAADgAAAAAAAAABACAAAAAfAQAAZHJzL2Uyb0RvYy54bWxQSwUG&#10;AAAAAAYABgBZAQAAbgYAAAAA&#10;">
              <v:fill on="f" focussize="0,0"/>
              <v:stroke on="f" weight="0.5pt"/>
              <v:imagedata o:title=""/>
              <o:lock v:ext="edit" aspectratio="f"/>
              <v:textbox inset="0mm,0mm,0mm,0mm" style="mso-fit-shape-to-text:t;">
                <w:txbxContent>
                  <w:p w14:paraId="6ED68C8C">
                    <w:pPr>
                      <w:pStyle w:val="6"/>
                    </w:pPr>
                    <w:r>
                      <w:t xml:space="preserve">第 </w:t>
                    </w:r>
                    <w:r>
                      <w:fldChar w:fldCharType="begin"/>
                    </w:r>
                    <w:r>
                      <w:instrText xml:space="preserve"> PAGE  \* MERGEFORMAT </w:instrText>
                    </w:r>
                    <w:r>
                      <w:fldChar w:fldCharType="separate"/>
                    </w:r>
                    <w:r>
                      <w:t>24</w:t>
                    </w:r>
                    <w:r>
                      <w:fldChar w:fldCharType="end"/>
                    </w:r>
                    <w:r>
                      <w:t xml:space="preserve"> 页</w:t>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4312B">
    <w:pPr>
      <w:pStyle w:val="5"/>
      <w:spacing w:before="0" w:line="14" w:lineRule="auto"/>
      <w:ind w:left="0"/>
      <w:rPr>
        <w:sz w:val="20"/>
      </w:rPr>
    </w:pPr>
    <w:r>
      <w:rPr>
        <w:sz w:val="22"/>
      </w:rPr>
      <mc:AlternateContent>
        <mc:Choice Requires="wps">
          <w:drawing>
            <wp:anchor distT="0" distB="0" distL="114300" distR="114300" simplePos="0" relativeHeight="251666432" behindDoc="0" locked="0" layoutInCell="1" allowOverlap="1">
              <wp:simplePos x="0" y="0"/>
              <wp:positionH relativeFrom="margin">
                <wp:align>center</wp:align>
              </wp:positionH>
              <wp:positionV relativeFrom="paragraph">
                <wp:posOffset>0</wp:posOffset>
              </wp:positionV>
              <wp:extent cx="1828800" cy="1828800"/>
              <wp:effectExtent l="0" t="0" r="0" b="0"/>
              <wp:wrapNone/>
              <wp:docPr id="12" name="文本框 1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6CA737A">
                          <w:pPr>
                            <w:pStyle w:val="6"/>
                          </w:pPr>
                          <w:r>
                            <w:t xml:space="preserve">第 </w:t>
                          </w:r>
                          <w:r>
                            <w:fldChar w:fldCharType="begin"/>
                          </w:r>
                          <w:r>
                            <w:instrText xml:space="preserve"> PAGE  \* MERGEFORMAT </w:instrText>
                          </w:r>
                          <w:r>
                            <w:fldChar w:fldCharType="separate"/>
                          </w:r>
                          <w:r>
                            <w:t>25</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643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7/4Ej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B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v/gSN0CAAAmBgAADgAAAAAAAAABACAAAAAfAQAAZHJzL2Uyb0RvYy54bWxQSwUG&#10;AAAAAAYABgBZAQAAbgYAAAAA&#10;">
              <v:fill on="f" focussize="0,0"/>
              <v:stroke on="f" weight="0.5pt"/>
              <v:imagedata o:title=""/>
              <o:lock v:ext="edit" aspectratio="f"/>
              <v:textbox inset="0mm,0mm,0mm,0mm" style="mso-fit-shape-to-text:t;">
                <w:txbxContent>
                  <w:p w14:paraId="66CA737A">
                    <w:pPr>
                      <w:pStyle w:val="6"/>
                    </w:pPr>
                    <w:r>
                      <w:t xml:space="preserve">第 </w:t>
                    </w:r>
                    <w:r>
                      <w:fldChar w:fldCharType="begin"/>
                    </w:r>
                    <w:r>
                      <w:instrText xml:space="preserve"> PAGE  \* MERGEFORMAT </w:instrText>
                    </w:r>
                    <w:r>
                      <w:fldChar w:fldCharType="separate"/>
                    </w:r>
                    <w:r>
                      <w:t>25</w:t>
                    </w:r>
                    <w:r>
                      <w:fldChar w:fldCharType="end"/>
                    </w:r>
                    <w:r>
                      <w:t xml:space="preserve"> 页</w:t>
                    </w: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6507480</wp:posOffset>
              </wp:positionH>
              <wp:positionV relativeFrom="page">
                <wp:posOffset>10023475</wp:posOffset>
              </wp:positionV>
              <wp:extent cx="177800" cy="166370"/>
              <wp:effectExtent l="0" t="0" r="0" b="0"/>
              <wp:wrapNone/>
              <wp:docPr id="5" name="文本框 12"/>
              <wp:cNvGraphicFramePr/>
              <a:graphic xmlns:a="http://schemas.openxmlformats.org/drawingml/2006/main">
                <a:graphicData uri="http://schemas.microsoft.com/office/word/2010/wordprocessingShape">
                  <wps:wsp>
                    <wps:cNvSpPr txBox="1"/>
                    <wps:spPr>
                      <a:xfrm>
                        <a:off x="0" y="0"/>
                        <a:ext cx="177800" cy="166370"/>
                      </a:xfrm>
                      <a:prstGeom prst="rect">
                        <a:avLst/>
                      </a:prstGeom>
                      <a:noFill/>
                      <a:ln>
                        <a:noFill/>
                      </a:ln>
                    </wps:spPr>
                    <wps:txbx>
                      <w:txbxContent>
                        <w:p w14:paraId="7B4B2F82">
                          <w:pPr>
                            <w:spacing w:before="11"/>
                            <w:ind w:right="0"/>
                            <w:jc w:val="left"/>
                            <w:rPr>
                              <w:rFonts w:ascii="Times New Roman"/>
                              <w:sz w:val="20"/>
                            </w:rPr>
                          </w:pPr>
                        </w:p>
                      </w:txbxContent>
                    </wps:txbx>
                    <wps:bodyPr lIns="0" tIns="0" rIns="0" bIns="0" upright="1"/>
                  </wps:wsp>
                </a:graphicData>
              </a:graphic>
            </wp:anchor>
          </w:drawing>
        </mc:Choice>
        <mc:Fallback>
          <w:pict>
            <v:shape id="文本框 12" o:spid="_x0000_s1026" o:spt="202" type="#_x0000_t202" style="position:absolute;left:0pt;margin-left:512.4pt;margin-top:789.25pt;height:13.1pt;width:14pt;mso-position-horizontal-relative:page;mso-position-vertical-relative:page;z-index:-251655168;mso-width-relative:page;mso-height-relative:page;" filled="f" stroked="f" coordsize="21600,21600" o:gfxdata="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GucczLbAAAADwEAAA8AAAAAAAAAAQAgAAAAIgAAAGRycy9kb3ducmV2LnhtbFBL&#10;AQIUABQAAAAIAIdO4kBQIn61ugEAAHIDAAAOAAAAAAAAAAEAIAAAACoBAABkcnMvZTJvRG9jLnht&#10;bFBLBQYAAAAABgAGAFkBAABWBQAAAAA=&#10;">
              <v:fill on="f" focussize="0,0"/>
              <v:stroke on="f"/>
              <v:imagedata o:title=""/>
              <o:lock v:ext="edit" aspectratio="f"/>
              <v:textbox inset="0mm,0mm,0mm,0mm">
                <w:txbxContent>
                  <w:p w14:paraId="7B4B2F82">
                    <w:pPr>
                      <w:spacing w:before="11"/>
                      <w:ind w:right="0"/>
                      <w:jc w:val="left"/>
                      <w:rPr>
                        <w:rFonts w:ascii="Times New Roman"/>
                        <w:sz w:val="20"/>
                      </w:rPr>
                    </w:pPr>
                  </w:p>
                </w:txbxContent>
              </v:textbox>
            </v:shape>
          </w:pict>
        </mc:Fallback>
      </mc:AlternateConten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EFC4CF">
    <w:pPr>
      <w:pStyle w:val="5"/>
      <w:spacing w:before="0" w:line="14" w:lineRule="auto"/>
      <w:ind w:left="0"/>
      <w:rPr>
        <w:sz w:val="20"/>
      </w:rPr>
    </w:pPr>
    <w:r>
      <w:rPr>
        <w:sz w:val="22"/>
      </w:rPr>
      <mc:AlternateContent>
        <mc:Choice Requires="wps">
          <w:drawing>
            <wp:anchor distT="0" distB="0" distL="114300" distR="114300" simplePos="0" relativeHeight="251667456" behindDoc="0" locked="0" layoutInCell="1" allowOverlap="1">
              <wp:simplePos x="0" y="0"/>
              <wp:positionH relativeFrom="margin">
                <wp:align>center</wp:align>
              </wp:positionH>
              <wp:positionV relativeFrom="paragraph">
                <wp:posOffset>0</wp:posOffset>
              </wp:positionV>
              <wp:extent cx="1828800" cy="1828800"/>
              <wp:effectExtent l="0" t="0" r="0" b="0"/>
              <wp:wrapNone/>
              <wp:docPr id="13" name="文本框 1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8905261">
                          <w:pPr>
                            <w:pStyle w:val="6"/>
                          </w:pPr>
                          <w:r>
                            <w:t xml:space="preserve">第 </w:t>
                          </w:r>
                          <w:r>
                            <w:fldChar w:fldCharType="begin"/>
                          </w:r>
                          <w:r>
                            <w:instrText xml:space="preserve"> PAGE  \* MERGEFORMAT </w:instrText>
                          </w:r>
                          <w:r>
                            <w:fldChar w:fldCharType="separate"/>
                          </w:r>
                          <w:r>
                            <w:t>26</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745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">
              <v:fill on="f" focussize="0,0"/>
              <v:stroke on="f" weight="0.5pt"/>
              <v:imagedata o:title=""/>
              <o:lock v:ext="edit" aspectratio="f"/>
              <v:textbox inset="0mm,0mm,0mm,0mm" style="mso-fit-shape-to-text:t;">
                <w:txbxContent>
                  <w:p w14:paraId="08905261">
                    <w:pPr>
                      <w:pStyle w:val="6"/>
                    </w:pPr>
                    <w:r>
                      <w:t xml:space="preserve">第 </w:t>
                    </w:r>
                    <w:r>
                      <w:fldChar w:fldCharType="begin"/>
                    </w:r>
                    <w:r>
                      <w:instrText xml:space="preserve"> PAGE  \* MERGEFORMAT </w:instrText>
                    </w:r>
                    <w:r>
                      <w:fldChar w:fldCharType="separate"/>
                    </w:r>
                    <w:r>
                      <w:t>26</w:t>
                    </w:r>
                    <w:r>
                      <w:fldChar w:fldCharType="end"/>
                    </w:r>
                    <w:r>
                      <w:t xml:space="preserve"> 页</w:t>
                    </w:r>
                  </w:p>
                </w:txbxContent>
              </v:textbox>
            </v:shape>
          </w:pict>
        </mc:Fallback>
      </mc:AlternateContent>
    </w:r>
    <w:r>
      <mc:AlternateContent>
        <mc:Choice Requires="wps">
          <w:drawing>
            <wp:anchor distT="0" distB="0" distL="114300" distR="114300" simplePos="0" relativeHeight="251661312" behindDoc="1" locked="0" layoutInCell="1" allowOverlap="1">
              <wp:simplePos x="0" y="0"/>
              <wp:positionH relativeFrom="page">
                <wp:posOffset>887095</wp:posOffset>
              </wp:positionH>
              <wp:positionV relativeFrom="page">
                <wp:posOffset>10023475</wp:posOffset>
              </wp:positionV>
              <wp:extent cx="152400" cy="166370"/>
              <wp:effectExtent l="0" t="0" r="0" b="0"/>
              <wp:wrapNone/>
              <wp:docPr id="4" name="文本框 11"/>
              <wp:cNvGraphicFramePr/>
              <a:graphic xmlns:a="http://schemas.openxmlformats.org/drawingml/2006/main">
                <a:graphicData uri="http://schemas.microsoft.com/office/word/2010/wordprocessingShape">
                  <wps:wsp>
                    <wps:cNvSpPr txBox="1"/>
                    <wps:spPr>
                      <a:xfrm>
                        <a:off x="0" y="0"/>
                        <a:ext cx="152400" cy="166370"/>
                      </a:xfrm>
                      <a:prstGeom prst="rect">
                        <a:avLst/>
                      </a:prstGeom>
                      <a:noFill/>
                      <a:ln>
                        <a:noFill/>
                      </a:ln>
                    </wps:spPr>
                    <wps:txbx>
                      <w:txbxContent>
                        <w:p w14:paraId="6D912B9D">
                          <w:pPr>
                            <w:spacing w:before="11"/>
                            <w:ind w:left="20" w:right="0" w:firstLine="0"/>
                            <w:jc w:val="left"/>
                            <w:rPr>
                              <w:rFonts w:ascii="Times New Roman"/>
                              <w:sz w:val="20"/>
                            </w:rPr>
                          </w:pPr>
                          <w:r>
                            <w:rPr>
                              <w:rFonts w:ascii="Times New Roman"/>
                              <w:color w:val="231F20"/>
                              <w:sz w:val="20"/>
                            </w:rPr>
                            <w:t>30</w:t>
                          </w:r>
                        </w:p>
                      </w:txbxContent>
                    </wps:txbx>
                    <wps:bodyPr lIns="0" tIns="0" rIns="0" bIns="0" upright="1"/>
                  </wps:wsp>
                </a:graphicData>
              </a:graphic>
            </wp:anchor>
          </w:drawing>
        </mc:Choice>
        <mc:Fallback>
          <w:pict>
            <v:shape id="文本框 11" o:spid="_x0000_s1026" o:spt="202" type="#_x0000_t202" style="position:absolute;left:0pt;margin-left:69.85pt;margin-top:789.25pt;height:13.1pt;width:12pt;mso-position-horizontal-relative:page;mso-position-vertical-relative:page;z-index:-251655168;mso-width-relative:page;mso-height-relative:page;" filled="f" stroked="f" coordsize="21600,21600" o:gfxdata="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As/VnA2QAAAA0BAAAPAAAAAAAAAAEAIAAAACIAAABkcnMvZG93bnJldi54bWxQSwEC&#10;FAAUAAAACACHTuJALt0loLoBAAByAwAADgAAAAAAAAABACAAAAAoAQAAZHJzL2Uyb0RvYy54bWxQ&#10;SwUGAAAAAAYABgBZAQAAVAUAAAAA&#10;">
              <v:fill on="f" focussize="0,0"/>
              <v:stroke on="f"/>
              <v:imagedata o:title=""/>
              <o:lock v:ext="edit" aspectratio="f"/>
              <v:textbox inset="0mm,0mm,0mm,0mm">
                <w:txbxContent>
                  <w:p w14:paraId="6D912B9D">
                    <w:pPr>
                      <w:spacing w:before="11"/>
                      <w:ind w:left="20" w:right="0" w:firstLine="0"/>
                      <w:jc w:val="left"/>
                      <w:rPr>
                        <w:rFonts w:ascii="Times New Roman"/>
                        <w:sz w:val="20"/>
                      </w:rPr>
                    </w:pPr>
                    <w:r>
                      <w:rPr>
                        <w:rFonts w:ascii="Times New Roman"/>
                        <w:color w:val="231F20"/>
                        <w:sz w:val="20"/>
                      </w:rPr>
                      <w:t>30</w:t>
                    </w:r>
                  </w:p>
                </w:txbxContent>
              </v:textbox>
            </v:shape>
          </w:pict>
        </mc:Fallback>
      </mc:AlternateConten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D750977">
    <w:pPr>
      <w:pStyle w:val="5"/>
      <w:spacing w:before="0" w:line="14" w:lineRule="auto"/>
      <w:ind w:left="0"/>
      <w:rPr>
        <w:sz w:val="20"/>
      </w:rPr>
    </w:pPr>
    <w:r>
      <w:rPr>
        <w:sz w:val="20"/>
      </w:rPr>
      <mc:AlternateContent>
        <mc:Choice Requires="wps">
          <w:drawing>
            <wp:anchor distT="0" distB="0" distL="114300" distR="114300" simplePos="0" relativeHeight="251668480" behindDoc="0" locked="0" layoutInCell="1" allowOverlap="1">
              <wp:simplePos x="0" y="0"/>
              <wp:positionH relativeFrom="margin">
                <wp:align>center</wp:align>
              </wp:positionH>
              <wp:positionV relativeFrom="paragraph">
                <wp:posOffset>0</wp:posOffset>
              </wp:positionV>
              <wp:extent cx="1828800" cy="1828800"/>
              <wp:effectExtent l="0" t="0" r="0" b="0"/>
              <wp:wrapNone/>
              <wp:docPr id="14" name="文本框 1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7EBD07DE">
                          <w:pPr>
                            <w:pStyle w:val="6"/>
                          </w:pPr>
                          <w:r>
                            <w:t xml:space="preserve">第 </w:t>
                          </w:r>
                          <w:r>
                            <w:fldChar w:fldCharType="begin"/>
                          </w:r>
                          <w:r>
                            <w:instrText xml:space="preserve"> PAGE  \* MERGEFORMAT </w:instrText>
                          </w:r>
                          <w:r>
                            <w:fldChar w:fldCharType="separate"/>
                          </w:r>
                          <w:r>
                            <w:t>33</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848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hwhgL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iHCGAt0CAAAmBgAADgAAAAAAAAABACAAAAAfAQAAZHJzL2Uyb0RvYy54bWxQSwUG&#10;AAAAAAYABgBZAQAAbgYAAAAA&#10;">
              <v:fill on="f" focussize="0,0"/>
              <v:stroke on="f" weight="0.5pt"/>
              <v:imagedata o:title=""/>
              <o:lock v:ext="edit" aspectratio="f"/>
              <v:textbox inset="0mm,0mm,0mm,0mm" style="mso-fit-shape-to-text:t;">
                <w:txbxContent>
                  <w:p w14:paraId="7EBD07DE">
                    <w:pPr>
                      <w:pStyle w:val="6"/>
                    </w:pPr>
                    <w:r>
                      <w:t xml:space="preserve">第 </w:t>
                    </w:r>
                    <w:r>
                      <w:fldChar w:fldCharType="begin"/>
                    </w:r>
                    <w:r>
                      <w:instrText xml:space="preserve"> PAGE  \* MERGEFORMAT </w:instrText>
                    </w:r>
                    <w:r>
                      <w:fldChar w:fldCharType="separate"/>
                    </w:r>
                    <w:r>
                      <w:t>33</w:t>
                    </w:r>
                    <w:r>
                      <w:fldChar w:fldCharType="end"/>
                    </w:r>
                    <w:r>
                      <w:t xml:space="preserve"> 页</w:t>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FA8477">
    <w:pPr>
      <w:pStyle w:val="5"/>
      <w:spacing w:before="0" w:line="14" w:lineRule="auto"/>
      <w:ind w:left="0"/>
      <w:rPr>
        <w:sz w:val="20"/>
      </w:rPr>
    </w:pPr>
    <w:r>
      <w:rPr>
        <w:sz w:val="20"/>
      </w:rPr>
      <mc:AlternateContent>
        <mc:Choice Requires="wps">
          <w:drawing>
            <wp:anchor distT="0" distB="0" distL="114300" distR="114300" simplePos="0" relativeHeight="251669504"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8F74D36">
                          <w:pPr>
                            <w:pStyle w:val="6"/>
                          </w:pPr>
                          <w:r>
                            <w:t xml:space="preserve">第 </w:t>
                          </w:r>
                          <w:r>
                            <w:fldChar w:fldCharType="begin"/>
                          </w:r>
                          <w:r>
                            <w:instrText xml:space="preserve"> PAGE  \* MERGEFORMAT </w:instrText>
                          </w:r>
                          <w:r>
                            <w:fldChar w:fldCharType="separate"/>
                          </w:r>
                          <w:r>
                            <w:t>28</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9504;mso-width-relative:page;mso-height-relative:page;" filled="f" stroked="f" coordsize="21600,21600" o:gfxdata="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">
              <v:fill on="f" focussize="0,0"/>
              <v:stroke on="f" weight="0.5pt"/>
              <v:imagedata o:title=""/>
              <o:lock v:ext="edit" aspectratio="f"/>
              <v:textbox inset="0mm,0mm,0mm,0mm" style="mso-fit-shape-to-text:t;">
                <w:txbxContent>
                  <w:p w14:paraId="48F74D36">
                    <w:pPr>
                      <w:pStyle w:val="6"/>
                    </w:pPr>
                    <w:r>
                      <w:t xml:space="preserve">第 </w:t>
                    </w:r>
                    <w:r>
                      <w:fldChar w:fldCharType="begin"/>
                    </w:r>
                    <w:r>
                      <w:instrText xml:space="preserve"> PAGE  \* MERGEFORMAT </w:instrText>
                    </w:r>
                    <w:r>
                      <w:fldChar w:fldCharType="separate"/>
                    </w:r>
                    <w:r>
                      <w:t>28</w:t>
                    </w:r>
                    <w:r>
                      <w:fldChar w:fldCharType="end"/>
                    </w:r>
                    <w:r>
                      <w:t xml:space="preserve"> 页</w:t>
                    </w:r>
                  </w:p>
                </w:txbxContent>
              </v:textbox>
            </v:shape>
          </w:pict>
        </mc:Fallback>
      </mc:AlternateContent>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D5BA53">
    <w:pPr>
      <w:pStyle w:val="5"/>
      <w:spacing w:before="0" w:line="14" w:lineRule="auto"/>
      <w:ind w:left="0"/>
      <w:rPr>
        <w:sz w:val="20"/>
      </w:rPr>
    </w:pPr>
    <w:r>
      <w:rPr>
        <w:sz w:val="20"/>
      </w:rPr>
      <mc:AlternateContent>
        <mc:Choice Requires="wps">
          <w:drawing>
            <wp:anchor distT="0" distB="0" distL="114300" distR="114300" simplePos="0" relativeHeight="25167052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53B1C6F6">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7052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Ii43dAgAAJg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ZQiLjd0CAAAmBgAADgAAAAAAAAABACAAAAAfAQAAZHJzL2Uyb0RvYy54bWxQSwUG&#10;AAAAAAYABgBZAQAAbgYAAAAA&#10;">
              <v:fill on="f" focussize="0,0"/>
              <v:stroke on="f" weight="0.5pt"/>
              <v:imagedata o:title=""/>
              <o:lock v:ext="edit" aspectratio="f"/>
              <v:textbox inset="0mm,0mm,0mm,0mm" style="mso-fit-shape-to-text:t;">
                <w:txbxContent>
                  <w:p w14:paraId="53B1C6F6">
                    <w:pPr>
                      <w:pStyle w:val="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61FADE"/>
    <w:multiLevelType w:val="multilevel"/>
    <w:tmpl w:val="8461FADE"/>
    <w:lvl w:ilvl="0" w:tentative="0">
      <w:start w:val="3"/>
      <w:numFmt w:val="decimal"/>
      <w:lvlText w:val="%1"/>
      <w:lvlJc w:val="left"/>
      <w:pPr>
        <w:ind w:left="883" w:hanging="327"/>
        <w:jc w:val="left"/>
      </w:pPr>
      <w:rPr>
        <w:rFonts w:hint="default"/>
      </w:rPr>
    </w:lvl>
    <w:lvl w:ilvl="1" w:tentative="0">
      <w:start w:val="4"/>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899" w:hanging="490"/>
      </w:pPr>
      <w:rPr>
        <w:rFonts w:hint="default"/>
      </w:rPr>
    </w:lvl>
    <w:lvl w:ilvl="4" w:tentative="0">
      <w:start w:val="0"/>
      <w:numFmt w:val="bullet"/>
      <w:lvlText w:val="•"/>
      <w:lvlJc w:val="left"/>
      <w:pPr>
        <w:ind w:left="3828" w:hanging="490"/>
      </w:pPr>
      <w:rPr>
        <w:rFonts w:hint="default"/>
      </w:rPr>
    </w:lvl>
    <w:lvl w:ilvl="5" w:tentative="0">
      <w:start w:val="0"/>
      <w:numFmt w:val="bullet"/>
      <w:lvlText w:val="•"/>
      <w:lvlJc w:val="left"/>
      <w:pPr>
        <w:ind w:left="4758" w:hanging="490"/>
      </w:pPr>
      <w:rPr>
        <w:rFonts w:hint="default"/>
      </w:rPr>
    </w:lvl>
    <w:lvl w:ilvl="6" w:tentative="0">
      <w:start w:val="0"/>
      <w:numFmt w:val="bullet"/>
      <w:lvlText w:val="•"/>
      <w:lvlJc w:val="left"/>
      <w:pPr>
        <w:ind w:left="5687" w:hanging="490"/>
      </w:pPr>
      <w:rPr>
        <w:rFonts w:hint="default"/>
      </w:rPr>
    </w:lvl>
    <w:lvl w:ilvl="7" w:tentative="0">
      <w:start w:val="0"/>
      <w:numFmt w:val="bullet"/>
      <w:lvlText w:val="•"/>
      <w:lvlJc w:val="left"/>
      <w:pPr>
        <w:ind w:left="6617" w:hanging="490"/>
      </w:pPr>
      <w:rPr>
        <w:rFonts w:hint="default"/>
      </w:rPr>
    </w:lvl>
    <w:lvl w:ilvl="8" w:tentative="0">
      <w:start w:val="0"/>
      <w:numFmt w:val="bullet"/>
      <w:lvlText w:val="•"/>
      <w:lvlJc w:val="left"/>
      <w:pPr>
        <w:ind w:left="7546" w:hanging="490"/>
      </w:pPr>
      <w:rPr>
        <w:rFonts w:hint="default"/>
      </w:rPr>
    </w:lvl>
  </w:abstractNum>
  <w:abstractNum w:abstractNumId="1">
    <w:nsid w:val="9239341B"/>
    <w:multiLevelType w:val="multilevel"/>
    <w:tmpl w:val="9239341B"/>
    <w:lvl w:ilvl="0" w:tentative="0">
      <w:start w:val="1"/>
      <w:numFmt w:val="decimal"/>
      <w:lvlText w:val="%1"/>
      <w:lvlJc w:val="left"/>
      <w:pPr>
        <w:ind w:left="1047" w:hanging="490"/>
        <w:jc w:val="left"/>
      </w:pPr>
      <w:rPr>
        <w:rFonts w:hint="default"/>
      </w:rPr>
    </w:lvl>
    <w:lvl w:ilvl="1" w:tentative="0">
      <w:start w:val="1"/>
      <w:numFmt w:val="decimal"/>
      <w:lvlText w:val="%1.%2"/>
      <w:lvlJc w:val="left"/>
      <w:pPr>
        <w:ind w:left="1047" w:hanging="490"/>
        <w:jc w:val="left"/>
      </w:pPr>
      <w:rPr>
        <w:rFonts w:hint="default"/>
      </w:rPr>
    </w:lvl>
    <w:lvl w:ilvl="2" w:tentative="0">
      <w:start w:val="2"/>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1"/>
      <w:numFmt w:val="decimal"/>
      <w:lvlText w:val="%1.%2.%3.%4"/>
      <w:lvlJc w:val="left"/>
      <w:pPr>
        <w:ind w:left="117" w:hanging="653"/>
        <w:jc w:val="left"/>
      </w:pPr>
      <w:rPr>
        <w:rFonts w:hint="default" w:ascii="方正书宋_GBK" w:hAnsi="方正书宋_GBK" w:eastAsia="方正书宋_GBK" w:cs="方正书宋_GBK"/>
        <w:color w:val="231F20"/>
        <w:spacing w:val="-1"/>
        <w:w w:val="100"/>
        <w:sz w:val="22"/>
        <w:szCs w:val="22"/>
      </w:rPr>
    </w:lvl>
    <w:lvl w:ilvl="4" w:tentative="0">
      <w:start w:val="0"/>
      <w:numFmt w:val="bullet"/>
      <w:lvlText w:val="•"/>
      <w:lvlJc w:val="left"/>
      <w:pPr>
        <w:ind w:left="3828" w:hanging="653"/>
      </w:pPr>
      <w:rPr>
        <w:rFonts w:hint="default"/>
      </w:rPr>
    </w:lvl>
    <w:lvl w:ilvl="5" w:tentative="0">
      <w:start w:val="0"/>
      <w:numFmt w:val="bullet"/>
      <w:lvlText w:val="•"/>
      <w:lvlJc w:val="left"/>
      <w:pPr>
        <w:ind w:left="4758" w:hanging="653"/>
      </w:pPr>
      <w:rPr>
        <w:rFonts w:hint="default"/>
      </w:rPr>
    </w:lvl>
    <w:lvl w:ilvl="6" w:tentative="0">
      <w:start w:val="0"/>
      <w:numFmt w:val="bullet"/>
      <w:lvlText w:val="•"/>
      <w:lvlJc w:val="left"/>
      <w:pPr>
        <w:ind w:left="5687" w:hanging="653"/>
      </w:pPr>
      <w:rPr>
        <w:rFonts w:hint="default"/>
      </w:rPr>
    </w:lvl>
    <w:lvl w:ilvl="7" w:tentative="0">
      <w:start w:val="0"/>
      <w:numFmt w:val="bullet"/>
      <w:lvlText w:val="•"/>
      <w:lvlJc w:val="left"/>
      <w:pPr>
        <w:ind w:left="6617" w:hanging="653"/>
      </w:pPr>
      <w:rPr>
        <w:rFonts w:hint="default"/>
      </w:rPr>
    </w:lvl>
    <w:lvl w:ilvl="8" w:tentative="0">
      <w:start w:val="0"/>
      <w:numFmt w:val="bullet"/>
      <w:lvlText w:val="•"/>
      <w:lvlJc w:val="left"/>
      <w:pPr>
        <w:ind w:left="7546" w:hanging="653"/>
      </w:pPr>
      <w:rPr>
        <w:rFonts w:hint="default"/>
      </w:rPr>
    </w:lvl>
  </w:abstractNum>
  <w:abstractNum w:abstractNumId="2">
    <w:nsid w:val="9C8AC8EF"/>
    <w:multiLevelType w:val="multilevel"/>
    <w:tmpl w:val="9C8AC8EF"/>
    <w:lvl w:ilvl="0" w:tentative="0">
      <w:start w:val="5"/>
      <w:numFmt w:val="decimal"/>
      <w:lvlText w:val="%1"/>
      <w:lvlJc w:val="left"/>
      <w:pPr>
        <w:ind w:left="883" w:hanging="327"/>
        <w:jc w:val="left"/>
      </w:pPr>
      <w:rPr>
        <w:rFonts w:hint="default"/>
      </w:rPr>
    </w:lvl>
    <w:lvl w:ilvl="1" w:tentative="0">
      <w:start w:val="2"/>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073" w:hanging="490"/>
      </w:pPr>
      <w:rPr>
        <w:rFonts w:hint="default"/>
      </w:rPr>
    </w:lvl>
    <w:lvl w:ilvl="4" w:tentative="0">
      <w:start w:val="0"/>
      <w:numFmt w:val="bullet"/>
      <w:lvlText w:val="•"/>
      <w:lvlJc w:val="left"/>
      <w:pPr>
        <w:ind w:left="3106" w:hanging="490"/>
      </w:pPr>
      <w:rPr>
        <w:rFonts w:hint="default"/>
      </w:rPr>
    </w:lvl>
    <w:lvl w:ilvl="5" w:tentative="0">
      <w:start w:val="0"/>
      <w:numFmt w:val="bullet"/>
      <w:lvlText w:val="•"/>
      <w:lvlJc w:val="left"/>
      <w:pPr>
        <w:ind w:left="4139" w:hanging="490"/>
      </w:pPr>
      <w:rPr>
        <w:rFonts w:hint="default"/>
      </w:rPr>
    </w:lvl>
    <w:lvl w:ilvl="6" w:tentative="0">
      <w:start w:val="0"/>
      <w:numFmt w:val="bullet"/>
      <w:lvlText w:val="•"/>
      <w:lvlJc w:val="left"/>
      <w:pPr>
        <w:ind w:left="5172" w:hanging="490"/>
      </w:pPr>
      <w:rPr>
        <w:rFonts w:hint="default"/>
      </w:rPr>
    </w:lvl>
    <w:lvl w:ilvl="7" w:tentative="0">
      <w:start w:val="0"/>
      <w:numFmt w:val="bullet"/>
      <w:lvlText w:val="•"/>
      <w:lvlJc w:val="left"/>
      <w:pPr>
        <w:ind w:left="6205" w:hanging="490"/>
      </w:pPr>
      <w:rPr>
        <w:rFonts w:hint="default"/>
      </w:rPr>
    </w:lvl>
    <w:lvl w:ilvl="8" w:tentative="0">
      <w:start w:val="0"/>
      <w:numFmt w:val="bullet"/>
      <w:lvlText w:val="•"/>
      <w:lvlJc w:val="left"/>
      <w:pPr>
        <w:ind w:left="7239" w:hanging="490"/>
      </w:pPr>
      <w:rPr>
        <w:rFonts w:hint="default"/>
      </w:rPr>
    </w:lvl>
  </w:abstractNum>
  <w:abstractNum w:abstractNumId="3">
    <w:nsid w:val="B0F1ACD9"/>
    <w:multiLevelType w:val="multilevel"/>
    <w:tmpl w:val="B0F1ACD9"/>
    <w:lvl w:ilvl="0" w:tentative="0">
      <w:start w:val="10"/>
      <w:numFmt w:val="decimal"/>
      <w:lvlText w:val="%1"/>
      <w:lvlJc w:val="left"/>
      <w:pPr>
        <w:ind w:left="992" w:hanging="436"/>
        <w:jc w:val="left"/>
      </w:pPr>
      <w:rPr>
        <w:rFonts w:hint="default"/>
      </w:rPr>
    </w:lvl>
    <w:lvl w:ilvl="1" w:tentative="0">
      <w:start w:val="5"/>
      <w:numFmt w:val="decimal"/>
      <w:lvlText w:val="%1.%2"/>
      <w:lvlJc w:val="left"/>
      <w:pPr>
        <w:ind w:left="992" w:hanging="436"/>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17" w:hanging="620"/>
        <w:jc w:val="left"/>
      </w:pPr>
      <w:rPr>
        <w:rFonts w:hint="default" w:ascii="方正书宋_GBK" w:hAnsi="方正书宋_GBK" w:eastAsia="方正书宋_GBK" w:cs="方正书宋_GBK"/>
        <w:color w:val="231F20"/>
        <w:w w:val="100"/>
        <w:sz w:val="22"/>
        <w:szCs w:val="22"/>
      </w:rPr>
    </w:lvl>
    <w:lvl w:ilvl="3" w:tentative="0">
      <w:start w:val="0"/>
      <w:numFmt w:val="bullet"/>
      <w:lvlText w:val="•"/>
      <w:lvlJc w:val="left"/>
      <w:pPr>
        <w:ind w:left="2845" w:hanging="620"/>
      </w:pPr>
      <w:rPr>
        <w:rFonts w:hint="default"/>
      </w:rPr>
    </w:lvl>
    <w:lvl w:ilvl="4" w:tentative="0">
      <w:start w:val="0"/>
      <w:numFmt w:val="bullet"/>
      <w:lvlText w:val="•"/>
      <w:lvlJc w:val="left"/>
      <w:pPr>
        <w:ind w:left="3768" w:hanging="620"/>
      </w:pPr>
      <w:rPr>
        <w:rFonts w:hint="default"/>
      </w:rPr>
    </w:lvl>
    <w:lvl w:ilvl="5" w:tentative="0">
      <w:start w:val="0"/>
      <w:numFmt w:val="bullet"/>
      <w:lvlText w:val="•"/>
      <w:lvlJc w:val="left"/>
      <w:pPr>
        <w:ind w:left="4691" w:hanging="620"/>
      </w:pPr>
      <w:rPr>
        <w:rFonts w:hint="default"/>
      </w:rPr>
    </w:lvl>
    <w:lvl w:ilvl="6" w:tentative="0">
      <w:start w:val="0"/>
      <w:numFmt w:val="bullet"/>
      <w:lvlText w:val="•"/>
      <w:lvlJc w:val="left"/>
      <w:pPr>
        <w:ind w:left="5614" w:hanging="620"/>
      </w:pPr>
      <w:rPr>
        <w:rFonts w:hint="default"/>
      </w:rPr>
    </w:lvl>
    <w:lvl w:ilvl="7" w:tentative="0">
      <w:start w:val="0"/>
      <w:numFmt w:val="bullet"/>
      <w:lvlText w:val="•"/>
      <w:lvlJc w:val="left"/>
      <w:pPr>
        <w:ind w:left="6537" w:hanging="620"/>
      </w:pPr>
      <w:rPr>
        <w:rFonts w:hint="default"/>
      </w:rPr>
    </w:lvl>
    <w:lvl w:ilvl="8" w:tentative="0">
      <w:start w:val="0"/>
      <w:numFmt w:val="bullet"/>
      <w:lvlText w:val="•"/>
      <w:lvlJc w:val="left"/>
      <w:pPr>
        <w:ind w:left="7459" w:hanging="620"/>
      </w:pPr>
      <w:rPr>
        <w:rFonts w:hint="default"/>
      </w:rPr>
    </w:lvl>
  </w:abstractNum>
  <w:abstractNum w:abstractNumId="4">
    <w:nsid w:val="BE923771"/>
    <w:multiLevelType w:val="multilevel"/>
    <w:tmpl w:val="BE923771"/>
    <w:lvl w:ilvl="0" w:tentative="0">
      <w:start w:val="1"/>
      <w:numFmt w:val="decimal"/>
      <w:lvlText w:val="%1"/>
      <w:lvlJc w:val="left"/>
      <w:pPr>
        <w:ind w:left="883" w:hanging="327"/>
        <w:jc w:val="left"/>
      </w:pPr>
      <w:rPr>
        <w:rFonts w:hint="default"/>
      </w:rPr>
    </w:lvl>
    <w:lvl w:ilvl="1" w:tentative="0">
      <w:start w:val="3"/>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899" w:hanging="490"/>
      </w:pPr>
      <w:rPr>
        <w:rFonts w:hint="default"/>
      </w:rPr>
    </w:lvl>
    <w:lvl w:ilvl="4" w:tentative="0">
      <w:start w:val="0"/>
      <w:numFmt w:val="bullet"/>
      <w:lvlText w:val="•"/>
      <w:lvlJc w:val="left"/>
      <w:pPr>
        <w:ind w:left="3828" w:hanging="490"/>
      </w:pPr>
      <w:rPr>
        <w:rFonts w:hint="default"/>
      </w:rPr>
    </w:lvl>
    <w:lvl w:ilvl="5" w:tentative="0">
      <w:start w:val="0"/>
      <w:numFmt w:val="bullet"/>
      <w:lvlText w:val="•"/>
      <w:lvlJc w:val="left"/>
      <w:pPr>
        <w:ind w:left="4758" w:hanging="490"/>
      </w:pPr>
      <w:rPr>
        <w:rFonts w:hint="default"/>
      </w:rPr>
    </w:lvl>
    <w:lvl w:ilvl="6" w:tentative="0">
      <w:start w:val="0"/>
      <w:numFmt w:val="bullet"/>
      <w:lvlText w:val="•"/>
      <w:lvlJc w:val="left"/>
      <w:pPr>
        <w:ind w:left="5687" w:hanging="490"/>
      </w:pPr>
      <w:rPr>
        <w:rFonts w:hint="default"/>
      </w:rPr>
    </w:lvl>
    <w:lvl w:ilvl="7" w:tentative="0">
      <w:start w:val="0"/>
      <w:numFmt w:val="bullet"/>
      <w:lvlText w:val="•"/>
      <w:lvlJc w:val="left"/>
      <w:pPr>
        <w:ind w:left="6617" w:hanging="490"/>
      </w:pPr>
      <w:rPr>
        <w:rFonts w:hint="default"/>
      </w:rPr>
    </w:lvl>
    <w:lvl w:ilvl="8" w:tentative="0">
      <w:start w:val="0"/>
      <w:numFmt w:val="bullet"/>
      <w:lvlText w:val="•"/>
      <w:lvlJc w:val="left"/>
      <w:pPr>
        <w:ind w:left="7546" w:hanging="490"/>
      </w:pPr>
      <w:rPr>
        <w:rFonts w:hint="default"/>
      </w:rPr>
    </w:lvl>
  </w:abstractNum>
  <w:abstractNum w:abstractNumId="5">
    <w:nsid w:val="C8879AEF"/>
    <w:multiLevelType w:val="multilevel"/>
    <w:tmpl w:val="C8879AEF"/>
    <w:lvl w:ilvl="0" w:tentative="0">
      <w:start w:val="1"/>
      <w:numFmt w:val="decimal"/>
      <w:lvlText w:val="%1"/>
      <w:lvlJc w:val="left"/>
      <w:pPr>
        <w:ind w:left="1047" w:hanging="490"/>
        <w:jc w:val="left"/>
      </w:pPr>
      <w:rPr>
        <w:rFonts w:hint="default"/>
      </w:rPr>
    </w:lvl>
    <w:lvl w:ilvl="1" w:tentative="0">
      <w:start w:val="1"/>
      <w:numFmt w:val="decimal"/>
      <w:lvlText w:val="%1.%2"/>
      <w:lvlJc w:val="left"/>
      <w:pPr>
        <w:ind w:left="1047" w:hanging="490"/>
        <w:jc w:val="left"/>
      </w:pPr>
      <w:rPr>
        <w:rFonts w:hint="default"/>
      </w:rPr>
    </w:lvl>
    <w:lvl w:ilvl="2" w:tentative="0">
      <w:start w:val="5"/>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1"/>
      <w:numFmt w:val="decimal"/>
      <w:lvlText w:val="%1.%2.%3.%4"/>
      <w:lvlJc w:val="left"/>
      <w:pPr>
        <w:ind w:left="117" w:hanging="653"/>
        <w:jc w:val="left"/>
      </w:pPr>
      <w:rPr>
        <w:rFonts w:hint="default" w:ascii="方正书宋_GBK" w:hAnsi="方正书宋_GBK" w:eastAsia="方正书宋_GBK" w:cs="方正书宋_GBK"/>
        <w:color w:val="231F20"/>
        <w:spacing w:val="-1"/>
        <w:w w:val="100"/>
        <w:sz w:val="22"/>
        <w:szCs w:val="22"/>
      </w:rPr>
    </w:lvl>
    <w:lvl w:ilvl="4" w:tentative="0">
      <w:start w:val="0"/>
      <w:numFmt w:val="bullet"/>
      <w:lvlText w:val="•"/>
      <w:lvlJc w:val="left"/>
      <w:pPr>
        <w:ind w:left="3828" w:hanging="653"/>
      </w:pPr>
      <w:rPr>
        <w:rFonts w:hint="default"/>
      </w:rPr>
    </w:lvl>
    <w:lvl w:ilvl="5" w:tentative="0">
      <w:start w:val="0"/>
      <w:numFmt w:val="bullet"/>
      <w:lvlText w:val="•"/>
      <w:lvlJc w:val="left"/>
      <w:pPr>
        <w:ind w:left="4758" w:hanging="653"/>
      </w:pPr>
      <w:rPr>
        <w:rFonts w:hint="default"/>
      </w:rPr>
    </w:lvl>
    <w:lvl w:ilvl="6" w:tentative="0">
      <w:start w:val="0"/>
      <w:numFmt w:val="bullet"/>
      <w:lvlText w:val="•"/>
      <w:lvlJc w:val="left"/>
      <w:pPr>
        <w:ind w:left="5687" w:hanging="653"/>
      </w:pPr>
      <w:rPr>
        <w:rFonts w:hint="default"/>
      </w:rPr>
    </w:lvl>
    <w:lvl w:ilvl="7" w:tentative="0">
      <w:start w:val="0"/>
      <w:numFmt w:val="bullet"/>
      <w:lvlText w:val="•"/>
      <w:lvlJc w:val="left"/>
      <w:pPr>
        <w:ind w:left="6617" w:hanging="653"/>
      </w:pPr>
      <w:rPr>
        <w:rFonts w:hint="default"/>
      </w:rPr>
    </w:lvl>
    <w:lvl w:ilvl="8" w:tentative="0">
      <w:start w:val="0"/>
      <w:numFmt w:val="bullet"/>
      <w:lvlText w:val="•"/>
      <w:lvlJc w:val="left"/>
      <w:pPr>
        <w:ind w:left="7546" w:hanging="653"/>
      </w:pPr>
      <w:rPr>
        <w:rFonts w:hint="default"/>
      </w:rPr>
    </w:lvl>
  </w:abstractNum>
  <w:abstractNum w:abstractNumId="6">
    <w:nsid w:val="D7F9FE59"/>
    <w:multiLevelType w:val="multilevel"/>
    <w:tmpl w:val="D7F9FE59"/>
    <w:lvl w:ilvl="0" w:tentative="0">
      <w:start w:val="5"/>
      <w:numFmt w:val="decimal"/>
      <w:lvlText w:val="%1"/>
      <w:lvlJc w:val="left"/>
      <w:pPr>
        <w:ind w:left="1047" w:hanging="490"/>
        <w:jc w:val="left"/>
      </w:pPr>
      <w:rPr>
        <w:rFonts w:hint="default"/>
      </w:rPr>
    </w:lvl>
    <w:lvl w:ilvl="1" w:tentative="0">
      <w:start w:val="1"/>
      <w:numFmt w:val="decimal"/>
      <w:lvlText w:val="%1.%2"/>
      <w:lvlJc w:val="left"/>
      <w:pPr>
        <w:ind w:left="1047" w:hanging="490"/>
        <w:jc w:val="left"/>
      </w:pPr>
      <w:rPr>
        <w:rFonts w:hint="default"/>
      </w:rPr>
    </w:lvl>
    <w:lvl w:ilvl="2" w:tentative="0">
      <w:start w:val="2"/>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1"/>
      <w:numFmt w:val="decimal"/>
      <w:lvlText w:val="%1.%2.%3.%4"/>
      <w:lvlJc w:val="left"/>
      <w:pPr>
        <w:ind w:left="117" w:hanging="673"/>
        <w:jc w:val="left"/>
      </w:pPr>
      <w:rPr>
        <w:rFonts w:hint="default" w:ascii="方正书宋_GBK" w:hAnsi="方正书宋_GBK" w:eastAsia="方正书宋_GBK" w:cs="方正书宋_GBK"/>
        <w:color w:val="231F20"/>
        <w:spacing w:val="-1"/>
        <w:w w:val="100"/>
        <w:sz w:val="22"/>
        <w:szCs w:val="22"/>
      </w:rPr>
    </w:lvl>
    <w:lvl w:ilvl="4" w:tentative="0">
      <w:start w:val="0"/>
      <w:numFmt w:val="bullet"/>
      <w:lvlText w:val="•"/>
      <w:lvlJc w:val="left"/>
      <w:pPr>
        <w:ind w:left="3808" w:hanging="673"/>
      </w:pPr>
      <w:rPr>
        <w:rFonts w:hint="default"/>
      </w:rPr>
    </w:lvl>
    <w:lvl w:ilvl="5" w:tentative="0">
      <w:start w:val="0"/>
      <w:numFmt w:val="bullet"/>
      <w:lvlText w:val="•"/>
      <w:lvlJc w:val="left"/>
      <w:pPr>
        <w:ind w:left="4731" w:hanging="673"/>
      </w:pPr>
      <w:rPr>
        <w:rFonts w:hint="default"/>
      </w:rPr>
    </w:lvl>
    <w:lvl w:ilvl="6" w:tentative="0">
      <w:start w:val="0"/>
      <w:numFmt w:val="bullet"/>
      <w:lvlText w:val="•"/>
      <w:lvlJc w:val="left"/>
      <w:pPr>
        <w:ind w:left="5654" w:hanging="673"/>
      </w:pPr>
      <w:rPr>
        <w:rFonts w:hint="default"/>
      </w:rPr>
    </w:lvl>
    <w:lvl w:ilvl="7" w:tentative="0">
      <w:start w:val="0"/>
      <w:numFmt w:val="bullet"/>
      <w:lvlText w:val="•"/>
      <w:lvlJc w:val="left"/>
      <w:pPr>
        <w:ind w:left="6577" w:hanging="673"/>
      </w:pPr>
      <w:rPr>
        <w:rFonts w:hint="default"/>
      </w:rPr>
    </w:lvl>
    <w:lvl w:ilvl="8" w:tentative="0">
      <w:start w:val="0"/>
      <w:numFmt w:val="bullet"/>
      <w:lvlText w:val="•"/>
      <w:lvlJc w:val="left"/>
      <w:pPr>
        <w:ind w:left="7499" w:hanging="673"/>
      </w:pPr>
      <w:rPr>
        <w:rFonts w:hint="default"/>
      </w:rPr>
    </w:lvl>
  </w:abstractNum>
  <w:abstractNum w:abstractNumId="7">
    <w:nsid w:val="DCBA6B53"/>
    <w:multiLevelType w:val="multilevel"/>
    <w:tmpl w:val="DCBA6B53"/>
    <w:lvl w:ilvl="0" w:tentative="0">
      <w:start w:val="2"/>
      <w:numFmt w:val="decimal"/>
      <w:lvlText w:val="%1"/>
      <w:lvlJc w:val="left"/>
      <w:pPr>
        <w:ind w:left="883" w:hanging="327"/>
        <w:jc w:val="left"/>
      </w:pPr>
      <w:rPr>
        <w:rFonts w:hint="default"/>
      </w:rPr>
    </w:lvl>
    <w:lvl w:ilvl="1" w:tentative="0">
      <w:start w:val="2"/>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17" w:hanging="509"/>
        <w:jc w:val="left"/>
      </w:pPr>
      <w:rPr>
        <w:rFonts w:hint="default" w:ascii="方正书宋_GBK" w:hAnsi="方正书宋_GBK" w:eastAsia="方正书宋_GBK" w:cs="方正书宋_GBK"/>
        <w:color w:val="231F20"/>
        <w:w w:val="100"/>
        <w:sz w:val="22"/>
        <w:szCs w:val="22"/>
      </w:rPr>
    </w:lvl>
    <w:lvl w:ilvl="3" w:tentative="0">
      <w:start w:val="0"/>
      <w:numFmt w:val="bullet"/>
      <w:lvlText w:val="•"/>
      <w:lvlJc w:val="left"/>
      <w:pPr>
        <w:ind w:left="2774" w:hanging="509"/>
      </w:pPr>
      <w:rPr>
        <w:rFonts w:hint="default"/>
      </w:rPr>
    </w:lvl>
    <w:lvl w:ilvl="4" w:tentative="0">
      <w:start w:val="0"/>
      <w:numFmt w:val="bullet"/>
      <w:lvlText w:val="•"/>
      <w:lvlJc w:val="left"/>
      <w:pPr>
        <w:ind w:left="3721" w:hanging="509"/>
      </w:pPr>
      <w:rPr>
        <w:rFonts w:hint="default"/>
      </w:rPr>
    </w:lvl>
    <w:lvl w:ilvl="5" w:tentative="0">
      <w:start w:val="0"/>
      <w:numFmt w:val="bullet"/>
      <w:lvlText w:val="•"/>
      <w:lvlJc w:val="left"/>
      <w:pPr>
        <w:ind w:left="4669" w:hanging="509"/>
      </w:pPr>
      <w:rPr>
        <w:rFonts w:hint="default"/>
      </w:rPr>
    </w:lvl>
    <w:lvl w:ilvl="6" w:tentative="0">
      <w:start w:val="0"/>
      <w:numFmt w:val="bullet"/>
      <w:lvlText w:val="•"/>
      <w:lvlJc w:val="left"/>
      <w:pPr>
        <w:ind w:left="5616" w:hanging="509"/>
      </w:pPr>
      <w:rPr>
        <w:rFonts w:hint="default"/>
      </w:rPr>
    </w:lvl>
    <w:lvl w:ilvl="7" w:tentative="0">
      <w:start w:val="0"/>
      <w:numFmt w:val="bullet"/>
      <w:lvlText w:val="•"/>
      <w:lvlJc w:val="left"/>
      <w:pPr>
        <w:ind w:left="6563" w:hanging="509"/>
      </w:pPr>
      <w:rPr>
        <w:rFonts w:hint="default"/>
      </w:rPr>
    </w:lvl>
    <w:lvl w:ilvl="8" w:tentative="0">
      <w:start w:val="0"/>
      <w:numFmt w:val="bullet"/>
      <w:lvlText w:val="•"/>
      <w:lvlJc w:val="left"/>
      <w:pPr>
        <w:ind w:left="7510" w:hanging="509"/>
      </w:pPr>
      <w:rPr>
        <w:rFonts w:hint="default"/>
      </w:rPr>
    </w:lvl>
  </w:abstractNum>
  <w:abstractNum w:abstractNumId="8">
    <w:nsid w:val="F4B5D9F5"/>
    <w:multiLevelType w:val="multilevel"/>
    <w:tmpl w:val="F4B5D9F5"/>
    <w:lvl w:ilvl="0" w:tentative="0">
      <w:start w:val="1"/>
      <w:numFmt w:val="decimal"/>
      <w:lvlText w:val="%1"/>
      <w:lvlJc w:val="left"/>
      <w:pPr>
        <w:ind w:left="883" w:hanging="327"/>
        <w:jc w:val="left"/>
      </w:pPr>
      <w:rPr>
        <w:rFonts w:hint="default"/>
      </w:rPr>
    </w:lvl>
    <w:lvl w:ilvl="1" w:tentative="0">
      <w:start w:val="5"/>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17" w:hanging="491"/>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774" w:hanging="491"/>
      </w:pPr>
      <w:rPr>
        <w:rFonts w:hint="default"/>
      </w:rPr>
    </w:lvl>
    <w:lvl w:ilvl="4" w:tentative="0">
      <w:start w:val="0"/>
      <w:numFmt w:val="bullet"/>
      <w:lvlText w:val="•"/>
      <w:lvlJc w:val="left"/>
      <w:pPr>
        <w:ind w:left="3721" w:hanging="491"/>
      </w:pPr>
      <w:rPr>
        <w:rFonts w:hint="default"/>
      </w:rPr>
    </w:lvl>
    <w:lvl w:ilvl="5" w:tentative="0">
      <w:start w:val="0"/>
      <w:numFmt w:val="bullet"/>
      <w:lvlText w:val="•"/>
      <w:lvlJc w:val="left"/>
      <w:pPr>
        <w:ind w:left="4669" w:hanging="491"/>
      </w:pPr>
      <w:rPr>
        <w:rFonts w:hint="default"/>
      </w:rPr>
    </w:lvl>
    <w:lvl w:ilvl="6" w:tentative="0">
      <w:start w:val="0"/>
      <w:numFmt w:val="bullet"/>
      <w:lvlText w:val="•"/>
      <w:lvlJc w:val="left"/>
      <w:pPr>
        <w:ind w:left="5616" w:hanging="491"/>
      </w:pPr>
      <w:rPr>
        <w:rFonts w:hint="default"/>
      </w:rPr>
    </w:lvl>
    <w:lvl w:ilvl="7" w:tentative="0">
      <w:start w:val="0"/>
      <w:numFmt w:val="bullet"/>
      <w:lvlText w:val="•"/>
      <w:lvlJc w:val="left"/>
      <w:pPr>
        <w:ind w:left="6563" w:hanging="491"/>
      </w:pPr>
      <w:rPr>
        <w:rFonts w:hint="default"/>
      </w:rPr>
    </w:lvl>
    <w:lvl w:ilvl="8" w:tentative="0">
      <w:start w:val="0"/>
      <w:numFmt w:val="bullet"/>
      <w:lvlText w:val="•"/>
      <w:lvlJc w:val="left"/>
      <w:pPr>
        <w:ind w:left="7510" w:hanging="491"/>
      </w:pPr>
      <w:rPr>
        <w:rFonts w:hint="default"/>
      </w:rPr>
    </w:lvl>
  </w:abstractNum>
  <w:abstractNum w:abstractNumId="9">
    <w:nsid w:val="F7735DC9"/>
    <w:multiLevelType w:val="multilevel"/>
    <w:tmpl w:val="F7735DC9"/>
    <w:lvl w:ilvl="0" w:tentative="0">
      <w:start w:val="17"/>
      <w:numFmt w:val="decimal"/>
      <w:lvlText w:val="%1"/>
      <w:lvlJc w:val="left"/>
      <w:pPr>
        <w:ind w:left="992" w:hanging="436"/>
        <w:jc w:val="left"/>
      </w:pPr>
      <w:rPr>
        <w:rFonts w:hint="default"/>
      </w:rPr>
    </w:lvl>
    <w:lvl w:ilvl="1" w:tentative="0">
      <w:start w:val="3"/>
      <w:numFmt w:val="decimal"/>
      <w:lvlText w:val="%1.%2"/>
      <w:lvlJc w:val="left"/>
      <w:pPr>
        <w:ind w:left="992" w:hanging="436"/>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156" w:hanging="599"/>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992" w:hanging="599"/>
      </w:pPr>
      <w:rPr>
        <w:rFonts w:hint="default"/>
      </w:rPr>
    </w:lvl>
    <w:lvl w:ilvl="4" w:tentative="0">
      <w:start w:val="0"/>
      <w:numFmt w:val="bullet"/>
      <w:lvlText w:val="•"/>
      <w:lvlJc w:val="left"/>
      <w:pPr>
        <w:ind w:left="3908" w:hanging="599"/>
      </w:pPr>
      <w:rPr>
        <w:rFonts w:hint="default"/>
      </w:rPr>
    </w:lvl>
    <w:lvl w:ilvl="5" w:tentative="0">
      <w:start w:val="0"/>
      <w:numFmt w:val="bullet"/>
      <w:lvlText w:val="•"/>
      <w:lvlJc w:val="left"/>
      <w:pPr>
        <w:ind w:left="4824" w:hanging="599"/>
      </w:pPr>
      <w:rPr>
        <w:rFonts w:hint="default"/>
      </w:rPr>
    </w:lvl>
    <w:lvl w:ilvl="6" w:tentative="0">
      <w:start w:val="0"/>
      <w:numFmt w:val="bullet"/>
      <w:lvlText w:val="•"/>
      <w:lvlJc w:val="left"/>
      <w:pPr>
        <w:ind w:left="5740" w:hanging="599"/>
      </w:pPr>
      <w:rPr>
        <w:rFonts w:hint="default"/>
      </w:rPr>
    </w:lvl>
    <w:lvl w:ilvl="7" w:tentative="0">
      <w:start w:val="0"/>
      <w:numFmt w:val="bullet"/>
      <w:lvlText w:val="•"/>
      <w:lvlJc w:val="left"/>
      <w:pPr>
        <w:ind w:left="6657" w:hanging="599"/>
      </w:pPr>
      <w:rPr>
        <w:rFonts w:hint="default"/>
      </w:rPr>
    </w:lvl>
    <w:lvl w:ilvl="8" w:tentative="0">
      <w:start w:val="0"/>
      <w:numFmt w:val="bullet"/>
      <w:lvlText w:val="•"/>
      <w:lvlJc w:val="left"/>
      <w:pPr>
        <w:ind w:left="7573" w:hanging="599"/>
      </w:pPr>
      <w:rPr>
        <w:rFonts w:hint="default"/>
      </w:rPr>
    </w:lvl>
  </w:abstractNum>
  <w:abstractNum w:abstractNumId="10">
    <w:nsid w:val="0248C179"/>
    <w:multiLevelType w:val="multilevel"/>
    <w:tmpl w:val="0248C179"/>
    <w:lvl w:ilvl="0" w:tentative="0">
      <w:start w:val="1"/>
      <w:numFmt w:val="decimal"/>
      <w:lvlText w:val="%1."/>
      <w:lvlJc w:val="left"/>
      <w:pPr>
        <w:ind w:left="361" w:hanging="245"/>
        <w:jc w:val="left"/>
      </w:pPr>
      <w:rPr>
        <w:rFonts w:hint="default" w:ascii="方正黑体_GBK" w:hAnsi="方正黑体_GBK" w:eastAsia="方正黑体_GBK" w:cs="方正黑体_GBK"/>
        <w:color w:val="231F20"/>
        <w:w w:val="100"/>
        <w:sz w:val="22"/>
        <w:szCs w:val="22"/>
      </w:rPr>
    </w:lvl>
    <w:lvl w:ilvl="1" w:tentative="0">
      <w:start w:val="1"/>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1"/>
      <w:numFmt w:val="decimal"/>
      <w:lvlText w:val="%1.%2.%3.%4"/>
      <w:lvlJc w:val="left"/>
      <w:pPr>
        <w:ind w:left="117" w:hanging="674"/>
        <w:jc w:val="left"/>
      </w:pPr>
      <w:rPr>
        <w:rFonts w:hint="default" w:ascii="方正书宋_GBK" w:hAnsi="方正书宋_GBK" w:eastAsia="方正书宋_GBK" w:cs="方正书宋_GBK"/>
        <w:color w:val="231F20"/>
        <w:w w:val="100"/>
        <w:sz w:val="22"/>
        <w:szCs w:val="22"/>
      </w:rPr>
    </w:lvl>
    <w:lvl w:ilvl="4" w:tentative="0">
      <w:start w:val="0"/>
      <w:numFmt w:val="bullet"/>
      <w:lvlText w:val="•"/>
      <w:lvlJc w:val="left"/>
      <w:pPr>
        <w:ind w:left="1040" w:hanging="674"/>
      </w:pPr>
      <w:rPr>
        <w:rFonts w:hint="default"/>
      </w:rPr>
    </w:lvl>
    <w:lvl w:ilvl="5" w:tentative="0">
      <w:start w:val="0"/>
      <w:numFmt w:val="bullet"/>
      <w:lvlText w:val="•"/>
      <w:lvlJc w:val="left"/>
      <w:pPr>
        <w:ind w:left="1160" w:hanging="674"/>
      </w:pPr>
      <w:rPr>
        <w:rFonts w:hint="default"/>
      </w:rPr>
    </w:lvl>
    <w:lvl w:ilvl="6" w:tentative="0">
      <w:start w:val="0"/>
      <w:numFmt w:val="bullet"/>
      <w:lvlText w:val="•"/>
      <w:lvlJc w:val="left"/>
      <w:pPr>
        <w:ind w:left="2789" w:hanging="674"/>
      </w:pPr>
      <w:rPr>
        <w:rFonts w:hint="default"/>
      </w:rPr>
    </w:lvl>
    <w:lvl w:ilvl="7" w:tentative="0">
      <w:start w:val="0"/>
      <w:numFmt w:val="bullet"/>
      <w:lvlText w:val="•"/>
      <w:lvlJc w:val="left"/>
      <w:pPr>
        <w:ind w:left="4418" w:hanging="674"/>
      </w:pPr>
      <w:rPr>
        <w:rFonts w:hint="default"/>
      </w:rPr>
    </w:lvl>
    <w:lvl w:ilvl="8" w:tentative="0">
      <w:start w:val="0"/>
      <w:numFmt w:val="bullet"/>
      <w:lvlText w:val="•"/>
      <w:lvlJc w:val="left"/>
      <w:pPr>
        <w:ind w:left="6047" w:hanging="674"/>
      </w:pPr>
      <w:rPr>
        <w:rFonts w:hint="default"/>
      </w:rPr>
    </w:lvl>
  </w:abstractNum>
  <w:abstractNum w:abstractNumId="11">
    <w:nsid w:val="03D62ECE"/>
    <w:multiLevelType w:val="multilevel"/>
    <w:tmpl w:val="03D62ECE"/>
    <w:lvl w:ilvl="0" w:tentative="0">
      <w:start w:val="1"/>
      <w:numFmt w:val="decimal"/>
      <w:lvlText w:val="%1."/>
      <w:lvlJc w:val="left"/>
      <w:pPr>
        <w:ind w:left="557" w:hanging="219"/>
        <w:jc w:val="left"/>
      </w:pPr>
      <w:rPr>
        <w:rFonts w:hint="default" w:ascii="方正书宋_GBK" w:hAnsi="方正书宋_GBK" w:eastAsia="方正书宋_GBK" w:cs="方正书宋_GBK"/>
        <w:color w:val="231F20"/>
        <w:spacing w:val="-1"/>
        <w:w w:val="100"/>
        <w:sz w:val="22"/>
        <w:szCs w:val="22"/>
      </w:rPr>
    </w:lvl>
    <w:lvl w:ilvl="1" w:tentative="0">
      <w:start w:val="0"/>
      <w:numFmt w:val="bullet"/>
      <w:lvlText w:val="•"/>
      <w:lvlJc w:val="left"/>
      <w:pPr>
        <w:ind w:left="1444" w:hanging="219"/>
      </w:pPr>
      <w:rPr>
        <w:rFonts w:hint="default"/>
      </w:rPr>
    </w:lvl>
    <w:lvl w:ilvl="2" w:tentative="0">
      <w:start w:val="0"/>
      <w:numFmt w:val="bullet"/>
      <w:lvlText w:val="•"/>
      <w:lvlJc w:val="left"/>
      <w:pPr>
        <w:ind w:left="2329" w:hanging="219"/>
      </w:pPr>
      <w:rPr>
        <w:rFonts w:hint="default"/>
      </w:rPr>
    </w:lvl>
    <w:lvl w:ilvl="3" w:tentative="0">
      <w:start w:val="0"/>
      <w:numFmt w:val="bullet"/>
      <w:lvlText w:val="•"/>
      <w:lvlJc w:val="left"/>
      <w:pPr>
        <w:ind w:left="3213" w:hanging="219"/>
      </w:pPr>
      <w:rPr>
        <w:rFonts w:hint="default"/>
      </w:rPr>
    </w:lvl>
    <w:lvl w:ilvl="4" w:tentative="0">
      <w:start w:val="0"/>
      <w:numFmt w:val="bullet"/>
      <w:lvlText w:val="•"/>
      <w:lvlJc w:val="left"/>
      <w:pPr>
        <w:ind w:left="4098" w:hanging="219"/>
      </w:pPr>
      <w:rPr>
        <w:rFonts w:hint="default"/>
      </w:rPr>
    </w:lvl>
    <w:lvl w:ilvl="5" w:tentative="0">
      <w:start w:val="0"/>
      <w:numFmt w:val="bullet"/>
      <w:lvlText w:val="•"/>
      <w:lvlJc w:val="left"/>
      <w:pPr>
        <w:ind w:left="4982" w:hanging="219"/>
      </w:pPr>
      <w:rPr>
        <w:rFonts w:hint="default"/>
      </w:rPr>
    </w:lvl>
    <w:lvl w:ilvl="6" w:tentative="0">
      <w:start w:val="0"/>
      <w:numFmt w:val="bullet"/>
      <w:lvlText w:val="•"/>
      <w:lvlJc w:val="left"/>
      <w:pPr>
        <w:ind w:left="5867" w:hanging="219"/>
      </w:pPr>
      <w:rPr>
        <w:rFonts w:hint="default"/>
      </w:rPr>
    </w:lvl>
    <w:lvl w:ilvl="7" w:tentative="0">
      <w:start w:val="0"/>
      <w:numFmt w:val="bullet"/>
      <w:lvlText w:val="•"/>
      <w:lvlJc w:val="left"/>
      <w:pPr>
        <w:ind w:left="6751" w:hanging="219"/>
      </w:pPr>
      <w:rPr>
        <w:rFonts w:hint="default"/>
      </w:rPr>
    </w:lvl>
    <w:lvl w:ilvl="8" w:tentative="0">
      <w:start w:val="0"/>
      <w:numFmt w:val="bullet"/>
      <w:lvlText w:val="•"/>
      <w:lvlJc w:val="left"/>
      <w:pPr>
        <w:ind w:left="7636" w:hanging="219"/>
      </w:pPr>
      <w:rPr>
        <w:rFonts w:hint="default"/>
      </w:rPr>
    </w:lvl>
  </w:abstractNum>
  <w:abstractNum w:abstractNumId="12">
    <w:nsid w:val="0E640482"/>
    <w:multiLevelType w:val="multilevel"/>
    <w:tmpl w:val="0E640482"/>
    <w:lvl w:ilvl="0" w:tentative="0">
      <w:start w:val="7"/>
      <w:numFmt w:val="decimal"/>
      <w:lvlText w:val="%1"/>
      <w:lvlJc w:val="left"/>
      <w:pPr>
        <w:ind w:left="883" w:hanging="327"/>
        <w:jc w:val="left"/>
      </w:pPr>
      <w:rPr>
        <w:rFonts w:hint="default"/>
      </w:rPr>
    </w:lvl>
    <w:lvl w:ilvl="1" w:tentative="0">
      <w:start w:val="2"/>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0"/>
      <w:numFmt w:val="bullet"/>
      <w:lvlText w:val="•"/>
      <w:lvlJc w:val="left"/>
      <w:pPr>
        <w:ind w:left="2585" w:hanging="327"/>
      </w:pPr>
      <w:rPr>
        <w:rFonts w:hint="default"/>
      </w:rPr>
    </w:lvl>
    <w:lvl w:ilvl="3" w:tentative="0">
      <w:start w:val="0"/>
      <w:numFmt w:val="bullet"/>
      <w:lvlText w:val="•"/>
      <w:lvlJc w:val="left"/>
      <w:pPr>
        <w:ind w:left="3437" w:hanging="327"/>
      </w:pPr>
      <w:rPr>
        <w:rFonts w:hint="default"/>
      </w:rPr>
    </w:lvl>
    <w:lvl w:ilvl="4" w:tentative="0">
      <w:start w:val="0"/>
      <w:numFmt w:val="bullet"/>
      <w:lvlText w:val="•"/>
      <w:lvlJc w:val="left"/>
      <w:pPr>
        <w:ind w:left="4290" w:hanging="327"/>
      </w:pPr>
      <w:rPr>
        <w:rFonts w:hint="default"/>
      </w:rPr>
    </w:lvl>
    <w:lvl w:ilvl="5" w:tentative="0">
      <w:start w:val="0"/>
      <w:numFmt w:val="bullet"/>
      <w:lvlText w:val="•"/>
      <w:lvlJc w:val="left"/>
      <w:pPr>
        <w:ind w:left="5142" w:hanging="327"/>
      </w:pPr>
      <w:rPr>
        <w:rFonts w:hint="default"/>
      </w:rPr>
    </w:lvl>
    <w:lvl w:ilvl="6" w:tentative="0">
      <w:start w:val="0"/>
      <w:numFmt w:val="bullet"/>
      <w:lvlText w:val="•"/>
      <w:lvlJc w:val="left"/>
      <w:pPr>
        <w:ind w:left="5995" w:hanging="327"/>
      </w:pPr>
      <w:rPr>
        <w:rFonts w:hint="default"/>
      </w:rPr>
    </w:lvl>
    <w:lvl w:ilvl="7" w:tentative="0">
      <w:start w:val="0"/>
      <w:numFmt w:val="bullet"/>
      <w:lvlText w:val="•"/>
      <w:lvlJc w:val="left"/>
      <w:pPr>
        <w:ind w:left="6847" w:hanging="327"/>
      </w:pPr>
      <w:rPr>
        <w:rFonts w:hint="default"/>
      </w:rPr>
    </w:lvl>
    <w:lvl w:ilvl="8" w:tentative="0">
      <w:start w:val="0"/>
      <w:numFmt w:val="bullet"/>
      <w:lvlText w:val="•"/>
      <w:lvlJc w:val="left"/>
      <w:pPr>
        <w:ind w:left="7700" w:hanging="327"/>
      </w:pPr>
      <w:rPr>
        <w:rFonts w:hint="default"/>
      </w:rPr>
    </w:lvl>
  </w:abstractNum>
  <w:abstractNum w:abstractNumId="13">
    <w:nsid w:val="243FCF68"/>
    <w:multiLevelType w:val="multilevel"/>
    <w:tmpl w:val="243FCF68"/>
    <w:lvl w:ilvl="0" w:tentative="0">
      <w:start w:val="10"/>
      <w:numFmt w:val="decimal"/>
      <w:lvlText w:val="%1"/>
      <w:lvlJc w:val="left"/>
      <w:pPr>
        <w:ind w:left="992" w:hanging="436"/>
        <w:jc w:val="left"/>
      </w:pPr>
      <w:rPr>
        <w:rFonts w:hint="default"/>
      </w:rPr>
    </w:lvl>
    <w:lvl w:ilvl="1" w:tentative="0">
      <w:start w:val="2"/>
      <w:numFmt w:val="decimal"/>
      <w:lvlText w:val="%1.%2"/>
      <w:lvlJc w:val="left"/>
      <w:pPr>
        <w:ind w:left="992" w:hanging="436"/>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156" w:hanging="599"/>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992" w:hanging="599"/>
      </w:pPr>
      <w:rPr>
        <w:rFonts w:hint="default"/>
      </w:rPr>
    </w:lvl>
    <w:lvl w:ilvl="4" w:tentative="0">
      <w:start w:val="0"/>
      <w:numFmt w:val="bullet"/>
      <w:lvlText w:val="•"/>
      <w:lvlJc w:val="left"/>
      <w:pPr>
        <w:ind w:left="3908" w:hanging="599"/>
      </w:pPr>
      <w:rPr>
        <w:rFonts w:hint="default"/>
      </w:rPr>
    </w:lvl>
    <w:lvl w:ilvl="5" w:tentative="0">
      <w:start w:val="0"/>
      <w:numFmt w:val="bullet"/>
      <w:lvlText w:val="•"/>
      <w:lvlJc w:val="left"/>
      <w:pPr>
        <w:ind w:left="4824" w:hanging="599"/>
      </w:pPr>
      <w:rPr>
        <w:rFonts w:hint="default"/>
      </w:rPr>
    </w:lvl>
    <w:lvl w:ilvl="6" w:tentative="0">
      <w:start w:val="0"/>
      <w:numFmt w:val="bullet"/>
      <w:lvlText w:val="•"/>
      <w:lvlJc w:val="left"/>
      <w:pPr>
        <w:ind w:left="5740" w:hanging="599"/>
      </w:pPr>
      <w:rPr>
        <w:rFonts w:hint="default"/>
      </w:rPr>
    </w:lvl>
    <w:lvl w:ilvl="7" w:tentative="0">
      <w:start w:val="0"/>
      <w:numFmt w:val="bullet"/>
      <w:lvlText w:val="•"/>
      <w:lvlJc w:val="left"/>
      <w:pPr>
        <w:ind w:left="6657" w:hanging="599"/>
      </w:pPr>
      <w:rPr>
        <w:rFonts w:hint="default"/>
      </w:rPr>
    </w:lvl>
    <w:lvl w:ilvl="8" w:tentative="0">
      <w:start w:val="0"/>
      <w:numFmt w:val="bullet"/>
      <w:lvlText w:val="•"/>
      <w:lvlJc w:val="left"/>
      <w:pPr>
        <w:ind w:left="7573" w:hanging="599"/>
      </w:pPr>
      <w:rPr>
        <w:rFonts w:hint="default"/>
      </w:rPr>
    </w:lvl>
  </w:abstractNum>
  <w:abstractNum w:abstractNumId="14">
    <w:nsid w:val="2470EC97"/>
    <w:multiLevelType w:val="multilevel"/>
    <w:tmpl w:val="2470EC97"/>
    <w:lvl w:ilvl="0" w:tentative="0">
      <w:start w:val="1"/>
      <w:numFmt w:val="decimal"/>
      <w:lvlText w:val="%1"/>
      <w:lvlJc w:val="left"/>
      <w:pPr>
        <w:ind w:left="883" w:hanging="327"/>
        <w:jc w:val="left"/>
      </w:pPr>
      <w:rPr>
        <w:rFonts w:hint="default"/>
      </w:rPr>
    </w:lvl>
    <w:lvl w:ilvl="1" w:tentative="0">
      <w:start w:val="7"/>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0"/>
      <w:numFmt w:val="bullet"/>
      <w:lvlText w:val="•"/>
      <w:lvlJc w:val="left"/>
      <w:pPr>
        <w:ind w:left="2585" w:hanging="327"/>
      </w:pPr>
      <w:rPr>
        <w:rFonts w:hint="default"/>
      </w:rPr>
    </w:lvl>
    <w:lvl w:ilvl="3" w:tentative="0">
      <w:start w:val="0"/>
      <w:numFmt w:val="bullet"/>
      <w:lvlText w:val="•"/>
      <w:lvlJc w:val="left"/>
      <w:pPr>
        <w:ind w:left="3437" w:hanging="327"/>
      </w:pPr>
      <w:rPr>
        <w:rFonts w:hint="default"/>
      </w:rPr>
    </w:lvl>
    <w:lvl w:ilvl="4" w:tentative="0">
      <w:start w:val="0"/>
      <w:numFmt w:val="bullet"/>
      <w:lvlText w:val="•"/>
      <w:lvlJc w:val="left"/>
      <w:pPr>
        <w:ind w:left="4290" w:hanging="327"/>
      </w:pPr>
      <w:rPr>
        <w:rFonts w:hint="default"/>
      </w:rPr>
    </w:lvl>
    <w:lvl w:ilvl="5" w:tentative="0">
      <w:start w:val="0"/>
      <w:numFmt w:val="bullet"/>
      <w:lvlText w:val="•"/>
      <w:lvlJc w:val="left"/>
      <w:pPr>
        <w:ind w:left="5142" w:hanging="327"/>
      </w:pPr>
      <w:rPr>
        <w:rFonts w:hint="default"/>
      </w:rPr>
    </w:lvl>
    <w:lvl w:ilvl="6" w:tentative="0">
      <w:start w:val="0"/>
      <w:numFmt w:val="bullet"/>
      <w:lvlText w:val="•"/>
      <w:lvlJc w:val="left"/>
      <w:pPr>
        <w:ind w:left="5995" w:hanging="327"/>
      </w:pPr>
      <w:rPr>
        <w:rFonts w:hint="default"/>
      </w:rPr>
    </w:lvl>
    <w:lvl w:ilvl="7" w:tentative="0">
      <w:start w:val="0"/>
      <w:numFmt w:val="bullet"/>
      <w:lvlText w:val="•"/>
      <w:lvlJc w:val="left"/>
      <w:pPr>
        <w:ind w:left="6847" w:hanging="327"/>
      </w:pPr>
      <w:rPr>
        <w:rFonts w:hint="default"/>
      </w:rPr>
    </w:lvl>
    <w:lvl w:ilvl="8" w:tentative="0">
      <w:start w:val="0"/>
      <w:numFmt w:val="bullet"/>
      <w:lvlText w:val="•"/>
      <w:lvlJc w:val="left"/>
      <w:pPr>
        <w:ind w:left="7700" w:hanging="327"/>
      </w:pPr>
      <w:rPr>
        <w:rFonts w:hint="default"/>
      </w:rPr>
    </w:lvl>
  </w:abstractNum>
  <w:abstractNum w:abstractNumId="15">
    <w:nsid w:val="25B654F3"/>
    <w:multiLevelType w:val="multilevel"/>
    <w:tmpl w:val="25B654F3"/>
    <w:lvl w:ilvl="0" w:tentative="0">
      <w:start w:val="1"/>
      <w:numFmt w:val="decimal"/>
      <w:lvlText w:val="%1."/>
      <w:lvlJc w:val="left"/>
      <w:pPr>
        <w:ind w:left="775" w:hanging="219"/>
        <w:jc w:val="left"/>
      </w:pPr>
      <w:rPr>
        <w:rFonts w:hint="default" w:ascii="方正书宋_GBK" w:hAnsi="方正书宋_GBK" w:eastAsia="方正书宋_GBK" w:cs="方正书宋_GBK"/>
        <w:color w:val="231F20"/>
        <w:spacing w:val="-1"/>
        <w:w w:val="100"/>
        <w:sz w:val="22"/>
        <w:szCs w:val="22"/>
      </w:rPr>
    </w:lvl>
    <w:lvl w:ilvl="1" w:tentative="0">
      <w:start w:val="0"/>
      <w:numFmt w:val="bullet"/>
      <w:lvlText w:val="•"/>
      <w:lvlJc w:val="left"/>
      <w:pPr>
        <w:ind w:left="1642" w:hanging="219"/>
      </w:pPr>
      <w:rPr>
        <w:rFonts w:hint="default"/>
      </w:rPr>
    </w:lvl>
    <w:lvl w:ilvl="2" w:tentative="0">
      <w:start w:val="0"/>
      <w:numFmt w:val="bullet"/>
      <w:lvlText w:val="•"/>
      <w:lvlJc w:val="left"/>
      <w:pPr>
        <w:ind w:left="2505" w:hanging="219"/>
      </w:pPr>
      <w:rPr>
        <w:rFonts w:hint="default"/>
      </w:rPr>
    </w:lvl>
    <w:lvl w:ilvl="3" w:tentative="0">
      <w:start w:val="0"/>
      <w:numFmt w:val="bullet"/>
      <w:lvlText w:val="•"/>
      <w:lvlJc w:val="left"/>
      <w:pPr>
        <w:ind w:left="3367" w:hanging="219"/>
      </w:pPr>
      <w:rPr>
        <w:rFonts w:hint="default"/>
      </w:rPr>
    </w:lvl>
    <w:lvl w:ilvl="4" w:tentative="0">
      <w:start w:val="0"/>
      <w:numFmt w:val="bullet"/>
      <w:lvlText w:val="•"/>
      <w:lvlJc w:val="left"/>
      <w:pPr>
        <w:ind w:left="4230" w:hanging="219"/>
      </w:pPr>
      <w:rPr>
        <w:rFonts w:hint="default"/>
      </w:rPr>
    </w:lvl>
    <w:lvl w:ilvl="5" w:tentative="0">
      <w:start w:val="0"/>
      <w:numFmt w:val="bullet"/>
      <w:lvlText w:val="•"/>
      <w:lvlJc w:val="left"/>
      <w:pPr>
        <w:ind w:left="5092" w:hanging="219"/>
      </w:pPr>
      <w:rPr>
        <w:rFonts w:hint="default"/>
      </w:rPr>
    </w:lvl>
    <w:lvl w:ilvl="6" w:tentative="0">
      <w:start w:val="0"/>
      <w:numFmt w:val="bullet"/>
      <w:lvlText w:val="•"/>
      <w:lvlJc w:val="left"/>
      <w:pPr>
        <w:ind w:left="5955" w:hanging="219"/>
      </w:pPr>
      <w:rPr>
        <w:rFonts w:hint="default"/>
      </w:rPr>
    </w:lvl>
    <w:lvl w:ilvl="7" w:tentative="0">
      <w:start w:val="0"/>
      <w:numFmt w:val="bullet"/>
      <w:lvlText w:val="•"/>
      <w:lvlJc w:val="left"/>
      <w:pPr>
        <w:ind w:left="6817" w:hanging="219"/>
      </w:pPr>
      <w:rPr>
        <w:rFonts w:hint="default"/>
      </w:rPr>
    </w:lvl>
    <w:lvl w:ilvl="8" w:tentative="0">
      <w:start w:val="0"/>
      <w:numFmt w:val="bullet"/>
      <w:lvlText w:val="•"/>
      <w:lvlJc w:val="left"/>
      <w:pPr>
        <w:ind w:left="7680" w:hanging="219"/>
      </w:pPr>
      <w:rPr>
        <w:rFonts w:hint="default"/>
      </w:rPr>
    </w:lvl>
  </w:abstractNum>
  <w:abstractNum w:abstractNumId="16">
    <w:nsid w:val="2A8F537B"/>
    <w:multiLevelType w:val="multilevel"/>
    <w:tmpl w:val="2A8F537B"/>
    <w:lvl w:ilvl="0" w:tentative="0">
      <w:start w:val="1"/>
      <w:numFmt w:val="decimal"/>
      <w:lvlText w:val="%1"/>
      <w:lvlJc w:val="left"/>
      <w:pPr>
        <w:ind w:left="1047" w:hanging="490"/>
        <w:jc w:val="left"/>
      </w:pPr>
      <w:rPr>
        <w:rFonts w:hint="default"/>
      </w:rPr>
    </w:lvl>
    <w:lvl w:ilvl="1" w:tentative="0">
      <w:start w:val="1"/>
      <w:numFmt w:val="decimal"/>
      <w:lvlText w:val="%1.%2"/>
      <w:lvlJc w:val="left"/>
      <w:pPr>
        <w:ind w:left="1047" w:hanging="490"/>
        <w:jc w:val="left"/>
      </w:pPr>
      <w:rPr>
        <w:rFonts w:hint="default"/>
      </w:rPr>
    </w:lvl>
    <w:lvl w:ilvl="2" w:tentative="0">
      <w:start w:val="3"/>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1"/>
      <w:numFmt w:val="decimal"/>
      <w:lvlText w:val="%1.%2.%3.%4"/>
      <w:lvlJc w:val="left"/>
      <w:pPr>
        <w:ind w:left="117" w:hanging="674"/>
        <w:jc w:val="left"/>
      </w:pPr>
      <w:rPr>
        <w:rFonts w:hint="default" w:ascii="方正书宋_GBK" w:hAnsi="方正书宋_GBK" w:eastAsia="方正书宋_GBK" w:cs="方正书宋_GBK"/>
        <w:color w:val="231F20"/>
        <w:w w:val="100"/>
        <w:sz w:val="22"/>
        <w:szCs w:val="22"/>
      </w:rPr>
    </w:lvl>
    <w:lvl w:ilvl="4" w:tentative="0">
      <w:start w:val="0"/>
      <w:numFmt w:val="bullet"/>
      <w:lvlText w:val="•"/>
      <w:lvlJc w:val="left"/>
      <w:pPr>
        <w:ind w:left="3828" w:hanging="674"/>
      </w:pPr>
      <w:rPr>
        <w:rFonts w:hint="default"/>
      </w:rPr>
    </w:lvl>
    <w:lvl w:ilvl="5" w:tentative="0">
      <w:start w:val="0"/>
      <w:numFmt w:val="bullet"/>
      <w:lvlText w:val="•"/>
      <w:lvlJc w:val="left"/>
      <w:pPr>
        <w:ind w:left="4758" w:hanging="674"/>
      </w:pPr>
      <w:rPr>
        <w:rFonts w:hint="default"/>
      </w:rPr>
    </w:lvl>
    <w:lvl w:ilvl="6" w:tentative="0">
      <w:start w:val="0"/>
      <w:numFmt w:val="bullet"/>
      <w:lvlText w:val="•"/>
      <w:lvlJc w:val="left"/>
      <w:pPr>
        <w:ind w:left="5687" w:hanging="674"/>
      </w:pPr>
      <w:rPr>
        <w:rFonts w:hint="default"/>
      </w:rPr>
    </w:lvl>
    <w:lvl w:ilvl="7" w:tentative="0">
      <w:start w:val="0"/>
      <w:numFmt w:val="bullet"/>
      <w:lvlText w:val="•"/>
      <w:lvlJc w:val="left"/>
      <w:pPr>
        <w:ind w:left="6617" w:hanging="674"/>
      </w:pPr>
      <w:rPr>
        <w:rFonts w:hint="default"/>
      </w:rPr>
    </w:lvl>
    <w:lvl w:ilvl="8" w:tentative="0">
      <w:start w:val="0"/>
      <w:numFmt w:val="bullet"/>
      <w:lvlText w:val="•"/>
      <w:lvlJc w:val="left"/>
      <w:pPr>
        <w:ind w:left="7546" w:hanging="674"/>
      </w:pPr>
      <w:rPr>
        <w:rFonts w:hint="default"/>
      </w:rPr>
    </w:lvl>
  </w:abstractNum>
  <w:abstractNum w:abstractNumId="17">
    <w:nsid w:val="39A0D9AC"/>
    <w:multiLevelType w:val="multilevel"/>
    <w:tmpl w:val="39A0D9AC"/>
    <w:lvl w:ilvl="0" w:tentative="0">
      <w:start w:val="3"/>
      <w:numFmt w:val="decimal"/>
      <w:lvlText w:val="%1"/>
      <w:lvlJc w:val="left"/>
      <w:pPr>
        <w:ind w:left="883" w:hanging="327"/>
        <w:jc w:val="left"/>
      </w:pPr>
      <w:rPr>
        <w:rFonts w:hint="default"/>
      </w:rPr>
    </w:lvl>
    <w:lvl w:ilvl="1" w:tentative="0">
      <w:start w:val="2"/>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899" w:hanging="490"/>
      </w:pPr>
      <w:rPr>
        <w:rFonts w:hint="default"/>
      </w:rPr>
    </w:lvl>
    <w:lvl w:ilvl="4" w:tentative="0">
      <w:start w:val="0"/>
      <w:numFmt w:val="bullet"/>
      <w:lvlText w:val="•"/>
      <w:lvlJc w:val="left"/>
      <w:pPr>
        <w:ind w:left="3828" w:hanging="490"/>
      </w:pPr>
      <w:rPr>
        <w:rFonts w:hint="default"/>
      </w:rPr>
    </w:lvl>
    <w:lvl w:ilvl="5" w:tentative="0">
      <w:start w:val="0"/>
      <w:numFmt w:val="bullet"/>
      <w:lvlText w:val="•"/>
      <w:lvlJc w:val="left"/>
      <w:pPr>
        <w:ind w:left="4758" w:hanging="490"/>
      </w:pPr>
      <w:rPr>
        <w:rFonts w:hint="default"/>
      </w:rPr>
    </w:lvl>
    <w:lvl w:ilvl="6" w:tentative="0">
      <w:start w:val="0"/>
      <w:numFmt w:val="bullet"/>
      <w:lvlText w:val="•"/>
      <w:lvlJc w:val="left"/>
      <w:pPr>
        <w:ind w:left="5687" w:hanging="490"/>
      </w:pPr>
      <w:rPr>
        <w:rFonts w:hint="default"/>
      </w:rPr>
    </w:lvl>
    <w:lvl w:ilvl="7" w:tentative="0">
      <w:start w:val="0"/>
      <w:numFmt w:val="bullet"/>
      <w:lvlText w:val="•"/>
      <w:lvlJc w:val="left"/>
      <w:pPr>
        <w:ind w:left="6617" w:hanging="490"/>
      </w:pPr>
      <w:rPr>
        <w:rFonts w:hint="default"/>
      </w:rPr>
    </w:lvl>
    <w:lvl w:ilvl="8" w:tentative="0">
      <w:start w:val="0"/>
      <w:numFmt w:val="bullet"/>
      <w:lvlText w:val="•"/>
      <w:lvlJc w:val="left"/>
      <w:pPr>
        <w:ind w:left="7546" w:hanging="490"/>
      </w:pPr>
      <w:rPr>
        <w:rFonts w:hint="default"/>
      </w:rPr>
    </w:lvl>
  </w:abstractNum>
  <w:abstractNum w:abstractNumId="18">
    <w:nsid w:val="46A08BB8"/>
    <w:multiLevelType w:val="multilevel"/>
    <w:tmpl w:val="46A08BB8"/>
    <w:lvl w:ilvl="0" w:tentative="0">
      <w:start w:val="10"/>
      <w:numFmt w:val="decimal"/>
      <w:lvlText w:val="%1"/>
      <w:lvlJc w:val="left"/>
      <w:pPr>
        <w:ind w:left="992" w:hanging="436"/>
        <w:jc w:val="left"/>
      </w:pPr>
      <w:rPr>
        <w:rFonts w:hint="default"/>
      </w:rPr>
    </w:lvl>
    <w:lvl w:ilvl="1" w:tentative="0">
      <w:start w:val="4"/>
      <w:numFmt w:val="decimal"/>
      <w:lvlText w:val="%1.%2"/>
      <w:lvlJc w:val="left"/>
      <w:pPr>
        <w:ind w:left="992" w:hanging="436"/>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156" w:hanging="599"/>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970" w:hanging="599"/>
      </w:pPr>
      <w:rPr>
        <w:rFonts w:hint="default"/>
      </w:rPr>
    </w:lvl>
    <w:lvl w:ilvl="4" w:tentative="0">
      <w:start w:val="0"/>
      <w:numFmt w:val="bullet"/>
      <w:lvlText w:val="•"/>
      <w:lvlJc w:val="left"/>
      <w:pPr>
        <w:ind w:left="3875" w:hanging="599"/>
      </w:pPr>
      <w:rPr>
        <w:rFonts w:hint="default"/>
      </w:rPr>
    </w:lvl>
    <w:lvl w:ilvl="5" w:tentative="0">
      <w:start w:val="0"/>
      <w:numFmt w:val="bullet"/>
      <w:lvlText w:val="•"/>
      <w:lvlJc w:val="left"/>
      <w:pPr>
        <w:ind w:left="4780" w:hanging="599"/>
      </w:pPr>
      <w:rPr>
        <w:rFonts w:hint="default"/>
      </w:rPr>
    </w:lvl>
    <w:lvl w:ilvl="6" w:tentative="0">
      <w:start w:val="0"/>
      <w:numFmt w:val="bullet"/>
      <w:lvlText w:val="•"/>
      <w:lvlJc w:val="left"/>
      <w:pPr>
        <w:ind w:left="5685" w:hanging="599"/>
      </w:pPr>
      <w:rPr>
        <w:rFonts w:hint="default"/>
      </w:rPr>
    </w:lvl>
    <w:lvl w:ilvl="7" w:tentative="0">
      <w:start w:val="0"/>
      <w:numFmt w:val="bullet"/>
      <w:lvlText w:val="•"/>
      <w:lvlJc w:val="left"/>
      <w:pPr>
        <w:ind w:left="6590" w:hanging="599"/>
      </w:pPr>
      <w:rPr>
        <w:rFonts w:hint="default"/>
      </w:rPr>
    </w:lvl>
    <w:lvl w:ilvl="8" w:tentative="0">
      <w:start w:val="0"/>
      <w:numFmt w:val="bullet"/>
      <w:lvlText w:val="•"/>
      <w:lvlJc w:val="left"/>
      <w:pPr>
        <w:ind w:left="7495" w:hanging="599"/>
      </w:pPr>
      <w:rPr>
        <w:rFonts w:hint="default"/>
      </w:rPr>
    </w:lvl>
  </w:abstractNum>
  <w:abstractNum w:abstractNumId="19">
    <w:nsid w:val="4C1BAE26"/>
    <w:multiLevelType w:val="multilevel"/>
    <w:tmpl w:val="4C1BAE26"/>
    <w:lvl w:ilvl="0" w:tentative="0">
      <w:start w:val="6"/>
      <w:numFmt w:val="decimal"/>
      <w:lvlText w:val="%1"/>
      <w:lvlJc w:val="left"/>
      <w:pPr>
        <w:ind w:left="883" w:hanging="327"/>
        <w:jc w:val="left"/>
      </w:pPr>
      <w:rPr>
        <w:rFonts w:hint="default"/>
      </w:rPr>
    </w:lvl>
    <w:lvl w:ilvl="1" w:tentative="0">
      <w:start w:val="2"/>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876" w:hanging="490"/>
      </w:pPr>
      <w:rPr>
        <w:rFonts w:hint="default"/>
      </w:rPr>
    </w:lvl>
    <w:lvl w:ilvl="4" w:tentative="0">
      <w:start w:val="0"/>
      <w:numFmt w:val="bullet"/>
      <w:lvlText w:val="•"/>
      <w:lvlJc w:val="left"/>
      <w:pPr>
        <w:ind w:left="3795" w:hanging="490"/>
      </w:pPr>
      <w:rPr>
        <w:rFonts w:hint="default"/>
      </w:rPr>
    </w:lvl>
    <w:lvl w:ilvl="5" w:tentative="0">
      <w:start w:val="0"/>
      <w:numFmt w:val="bullet"/>
      <w:lvlText w:val="•"/>
      <w:lvlJc w:val="left"/>
      <w:pPr>
        <w:ind w:left="4713" w:hanging="490"/>
      </w:pPr>
      <w:rPr>
        <w:rFonts w:hint="default"/>
      </w:rPr>
    </w:lvl>
    <w:lvl w:ilvl="6" w:tentative="0">
      <w:start w:val="0"/>
      <w:numFmt w:val="bullet"/>
      <w:lvlText w:val="•"/>
      <w:lvlJc w:val="left"/>
      <w:pPr>
        <w:ind w:left="5631" w:hanging="490"/>
      </w:pPr>
      <w:rPr>
        <w:rFonts w:hint="default"/>
      </w:rPr>
    </w:lvl>
    <w:lvl w:ilvl="7" w:tentative="0">
      <w:start w:val="0"/>
      <w:numFmt w:val="bullet"/>
      <w:lvlText w:val="•"/>
      <w:lvlJc w:val="left"/>
      <w:pPr>
        <w:ind w:left="6550" w:hanging="490"/>
      </w:pPr>
      <w:rPr>
        <w:rFonts w:hint="default"/>
      </w:rPr>
    </w:lvl>
    <w:lvl w:ilvl="8" w:tentative="0">
      <w:start w:val="0"/>
      <w:numFmt w:val="bullet"/>
      <w:lvlText w:val="•"/>
      <w:lvlJc w:val="left"/>
      <w:pPr>
        <w:ind w:left="7468" w:hanging="490"/>
      </w:pPr>
      <w:rPr>
        <w:rFonts w:hint="default"/>
      </w:rPr>
    </w:lvl>
  </w:abstractNum>
  <w:abstractNum w:abstractNumId="20">
    <w:nsid w:val="4D4DC07F"/>
    <w:multiLevelType w:val="multilevel"/>
    <w:tmpl w:val="4D4DC07F"/>
    <w:lvl w:ilvl="0" w:tentative="0">
      <w:start w:val="1"/>
      <w:numFmt w:val="decimal"/>
      <w:lvlText w:val="%1"/>
      <w:lvlJc w:val="left"/>
      <w:pPr>
        <w:ind w:left="883" w:hanging="327"/>
        <w:jc w:val="left"/>
      </w:pPr>
      <w:rPr>
        <w:rFonts w:hint="default"/>
      </w:rPr>
    </w:lvl>
    <w:lvl w:ilvl="1" w:tentative="0">
      <w:start w:val="2"/>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17" w:hanging="491"/>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774" w:hanging="491"/>
      </w:pPr>
      <w:rPr>
        <w:rFonts w:hint="default"/>
      </w:rPr>
    </w:lvl>
    <w:lvl w:ilvl="4" w:tentative="0">
      <w:start w:val="0"/>
      <w:numFmt w:val="bullet"/>
      <w:lvlText w:val="•"/>
      <w:lvlJc w:val="left"/>
      <w:pPr>
        <w:ind w:left="3721" w:hanging="491"/>
      </w:pPr>
      <w:rPr>
        <w:rFonts w:hint="default"/>
      </w:rPr>
    </w:lvl>
    <w:lvl w:ilvl="5" w:tentative="0">
      <w:start w:val="0"/>
      <w:numFmt w:val="bullet"/>
      <w:lvlText w:val="•"/>
      <w:lvlJc w:val="left"/>
      <w:pPr>
        <w:ind w:left="4669" w:hanging="491"/>
      </w:pPr>
      <w:rPr>
        <w:rFonts w:hint="default"/>
      </w:rPr>
    </w:lvl>
    <w:lvl w:ilvl="6" w:tentative="0">
      <w:start w:val="0"/>
      <w:numFmt w:val="bullet"/>
      <w:lvlText w:val="•"/>
      <w:lvlJc w:val="left"/>
      <w:pPr>
        <w:ind w:left="5616" w:hanging="491"/>
      </w:pPr>
      <w:rPr>
        <w:rFonts w:hint="default"/>
      </w:rPr>
    </w:lvl>
    <w:lvl w:ilvl="7" w:tentative="0">
      <w:start w:val="0"/>
      <w:numFmt w:val="bullet"/>
      <w:lvlText w:val="•"/>
      <w:lvlJc w:val="left"/>
      <w:pPr>
        <w:ind w:left="6563" w:hanging="491"/>
      </w:pPr>
      <w:rPr>
        <w:rFonts w:hint="default"/>
      </w:rPr>
    </w:lvl>
    <w:lvl w:ilvl="8" w:tentative="0">
      <w:start w:val="0"/>
      <w:numFmt w:val="bullet"/>
      <w:lvlText w:val="•"/>
      <w:lvlJc w:val="left"/>
      <w:pPr>
        <w:ind w:left="7510" w:hanging="491"/>
      </w:pPr>
      <w:rPr>
        <w:rFonts w:hint="default"/>
      </w:rPr>
    </w:lvl>
  </w:abstractNum>
  <w:abstractNum w:abstractNumId="21">
    <w:nsid w:val="58765686"/>
    <w:multiLevelType w:val="multilevel"/>
    <w:tmpl w:val="58765686"/>
    <w:lvl w:ilvl="0" w:tentative="0">
      <w:start w:val="5"/>
      <w:numFmt w:val="decimal"/>
      <w:lvlText w:val="%1."/>
      <w:lvlJc w:val="left"/>
      <w:pPr>
        <w:ind w:left="361" w:hanging="245"/>
        <w:jc w:val="left"/>
      </w:pPr>
      <w:rPr>
        <w:rFonts w:hint="default" w:ascii="方正黑体_GBK" w:hAnsi="方正黑体_GBK" w:eastAsia="方正黑体_GBK" w:cs="方正黑体_GBK"/>
        <w:color w:val="231F20"/>
        <w:w w:val="100"/>
        <w:sz w:val="22"/>
        <w:szCs w:val="22"/>
      </w:rPr>
    </w:lvl>
    <w:lvl w:ilvl="1" w:tentative="0">
      <w:start w:val="1"/>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1000" w:hanging="490"/>
      </w:pPr>
      <w:rPr>
        <w:rFonts w:hint="default"/>
      </w:rPr>
    </w:lvl>
    <w:lvl w:ilvl="4" w:tentative="0">
      <w:start w:val="0"/>
      <w:numFmt w:val="bullet"/>
      <w:lvlText w:val="•"/>
      <w:lvlJc w:val="left"/>
      <w:pPr>
        <w:ind w:left="1040" w:hanging="490"/>
      </w:pPr>
      <w:rPr>
        <w:rFonts w:hint="default"/>
      </w:rPr>
    </w:lvl>
    <w:lvl w:ilvl="5" w:tentative="0">
      <w:start w:val="0"/>
      <w:numFmt w:val="bullet"/>
      <w:lvlText w:val="•"/>
      <w:lvlJc w:val="left"/>
      <w:pPr>
        <w:ind w:left="1160" w:hanging="490"/>
      </w:pPr>
      <w:rPr>
        <w:rFonts w:hint="default"/>
      </w:rPr>
    </w:lvl>
    <w:lvl w:ilvl="6" w:tentative="0">
      <w:start w:val="0"/>
      <w:numFmt w:val="bullet"/>
      <w:lvlText w:val="•"/>
      <w:lvlJc w:val="left"/>
      <w:pPr>
        <w:ind w:left="2809" w:hanging="490"/>
      </w:pPr>
      <w:rPr>
        <w:rFonts w:hint="default"/>
      </w:rPr>
    </w:lvl>
    <w:lvl w:ilvl="7" w:tentative="0">
      <w:start w:val="0"/>
      <w:numFmt w:val="bullet"/>
      <w:lvlText w:val="•"/>
      <w:lvlJc w:val="left"/>
      <w:pPr>
        <w:ind w:left="4458" w:hanging="490"/>
      </w:pPr>
      <w:rPr>
        <w:rFonts w:hint="default"/>
      </w:rPr>
    </w:lvl>
    <w:lvl w:ilvl="8" w:tentative="0">
      <w:start w:val="0"/>
      <w:numFmt w:val="bullet"/>
      <w:lvlText w:val="•"/>
      <w:lvlJc w:val="left"/>
      <w:pPr>
        <w:ind w:left="6107" w:hanging="490"/>
      </w:pPr>
      <w:rPr>
        <w:rFonts w:hint="default"/>
      </w:rPr>
    </w:lvl>
  </w:abstractNum>
  <w:abstractNum w:abstractNumId="22">
    <w:nsid w:val="5A241D34"/>
    <w:multiLevelType w:val="multilevel"/>
    <w:tmpl w:val="5A241D34"/>
    <w:lvl w:ilvl="0" w:tentative="0">
      <w:start w:val="1"/>
      <w:numFmt w:val="decimal"/>
      <w:lvlText w:val="%1"/>
      <w:lvlJc w:val="left"/>
      <w:pPr>
        <w:ind w:left="1047" w:hanging="490"/>
        <w:jc w:val="left"/>
      </w:pPr>
      <w:rPr>
        <w:rFonts w:hint="default"/>
      </w:rPr>
    </w:lvl>
    <w:lvl w:ilvl="1" w:tentative="0">
      <w:start w:val="1"/>
      <w:numFmt w:val="decimal"/>
      <w:lvlText w:val="%1.%2"/>
      <w:lvlJc w:val="left"/>
      <w:pPr>
        <w:ind w:left="1047" w:hanging="490"/>
        <w:jc w:val="left"/>
      </w:pPr>
      <w:rPr>
        <w:rFonts w:hint="default"/>
      </w:rPr>
    </w:lvl>
    <w:lvl w:ilvl="2" w:tentative="0">
      <w:start w:val="4"/>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1"/>
      <w:numFmt w:val="decimal"/>
      <w:lvlText w:val="%1.%2.%3.%4"/>
      <w:lvlJc w:val="left"/>
      <w:pPr>
        <w:ind w:left="117" w:hanging="674"/>
        <w:jc w:val="left"/>
      </w:pPr>
      <w:rPr>
        <w:rFonts w:hint="default" w:ascii="方正书宋_GBK" w:hAnsi="方正书宋_GBK" w:eastAsia="方正书宋_GBK" w:cs="方正书宋_GBK"/>
        <w:color w:val="231F20"/>
        <w:w w:val="100"/>
        <w:sz w:val="22"/>
        <w:szCs w:val="22"/>
      </w:rPr>
    </w:lvl>
    <w:lvl w:ilvl="4" w:tentative="0">
      <w:start w:val="0"/>
      <w:numFmt w:val="bullet"/>
      <w:lvlText w:val="•"/>
      <w:lvlJc w:val="left"/>
      <w:pPr>
        <w:ind w:left="3828" w:hanging="674"/>
      </w:pPr>
      <w:rPr>
        <w:rFonts w:hint="default"/>
      </w:rPr>
    </w:lvl>
    <w:lvl w:ilvl="5" w:tentative="0">
      <w:start w:val="0"/>
      <w:numFmt w:val="bullet"/>
      <w:lvlText w:val="•"/>
      <w:lvlJc w:val="left"/>
      <w:pPr>
        <w:ind w:left="4758" w:hanging="674"/>
      </w:pPr>
      <w:rPr>
        <w:rFonts w:hint="default"/>
      </w:rPr>
    </w:lvl>
    <w:lvl w:ilvl="6" w:tentative="0">
      <w:start w:val="0"/>
      <w:numFmt w:val="bullet"/>
      <w:lvlText w:val="•"/>
      <w:lvlJc w:val="left"/>
      <w:pPr>
        <w:ind w:left="5687" w:hanging="674"/>
      </w:pPr>
      <w:rPr>
        <w:rFonts w:hint="default"/>
      </w:rPr>
    </w:lvl>
    <w:lvl w:ilvl="7" w:tentative="0">
      <w:start w:val="0"/>
      <w:numFmt w:val="bullet"/>
      <w:lvlText w:val="•"/>
      <w:lvlJc w:val="left"/>
      <w:pPr>
        <w:ind w:left="6617" w:hanging="674"/>
      </w:pPr>
      <w:rPr>
        <w:rFonts w:hint="default"/>
      </w:rPr>
    </w:lvl>
    <w:lvl w:ilvl="8" w:tentative="0">
      <w:start w:val="0"/>
      <w:numFmt w:val="bullet"/>
      <w:lvlText w:val="•"/>
      <w:lvlJc w:val="left"/>
      <w:pPr>
        <w:ind w:left="7546" w:hanging="674"/>
      </w:pPr>
      <w:rPr>
        <w:rFonts w:hint="default"/>
      </w:rPr>
    </w:lvl>
  </w:abstractNum>
  <w:abstractNum w:abstractNumId="23">
    <w:nsid w:val="60382F6E"/>
    <w:multiLevelType w:val="multilevel"/>
    <w:tmpl w:val="60382F6E"/>
    <w:lvl w:ilvl="0" w:tentative="0">
      <w:start w:val="6"/>
      <w:numFmt w:val="decimal"/>
      <w:lvlText w:val="%1"/>
      <w:lvlJc w:val="left"/>
      <w:pPr>
        <w:ind w:left="883" w:hanging="327"/>
        <w:jc w:val="left"/>
      </w:pPr>
      <w:rPr>
        <w:rFonts w:hint="default"/>
      </w:rPr>
    </w:lvl>
    <w:lvl w:ilvl="1" w:tentative="0">
      <w:start w:val="4"/>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047" w:hanging="490"/>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085" w:hanging="490"/>
      </w:pPr>
      <w:rPr>
        <w:rFonts w:hint="default"/>
      </w:rPr>
    </w:lvl>
    <w:lvl w:ilvl="4" w:tentative="0">
      <w:start w:val="0"/>
      <w:numFmt w:val="bullet"/>
      <w:lvlText w:val="•"/>
      <w:lvlJc w:val="left"/>
      <w:pPr>
        <w:ind w:left="3131" w:hanging="490"/>
      </w:pPr>
      <w:rPr>
        <w:rFonts w:hint="default"/>
      </w:rPr>
    </w:lvl>
    <w:lvl w:ilvl="5" w:tentative="0">
      <w:start w:val="0"/>
      <w:numFmt w:val="bullet"/>
      <w:lvlText w:val="•"/>
      <w:lvlJc w:val="left"/>
      <w:pPr>
        <w:ind w:left="4177" w:hanging="490"/>
      </w:pPr>
      <w:rPr>
        <w:rFonts w:hint="default"/>
      </w:rPr>
    </w:lvl>
    <w:lvl w:ilvl="6" w:tentative="0">
      <w:start w:val="0"/>
      <w:numFmt w:val="bullet"/>
      <w:lvlText w:val="•"/>
      <w:lvlJc w:val="left"/>
      <w:pPr>
        <w:ind w:left="5222" w:hanging="490"/>
      </w:pPr>
      <w:rPr>
        <w:rFonts w:hint="default"/>
      </w:rPr>
    </w:lvl>
    <w:lvl w:ilvl="7" w:tentative="0">
      <w:start w:val="0"/>
      <w:numFmt w:val="bullet"/>
      <w:lvlText w:val="•"/>
      <w:lvlJc w:val="left"/>
      <w:pPr>
        <w:ind w:left="6268" w:hanging="490"/>
      </w:pPr>
      <w:rPr>
        <w:rFonts w:hint="default"/>
      </w:rPr>
    </w:lvl>
    <w:lvl w:ilvl="8" w:tentative="0">
      <w:start w:val="0"/>
      <w:numFmt w:val="bullet"/>
      <w:lvlText w:val="•"/>
      <w:lvlJc w:val="left"/>
      <w:pPr>
        <w:ind w:left="7314" w:hanging="490"/>
      </w:pPr>
      <w:rPr>
        <w:rFonts w:hint="default"/>
      </w:rPr>
    </w:lvl>
  </w:abstractNum>
  <w:abstractNum w:abstractNumId="24">
    <w:nsid w:val="629F7852"/>
    <w:multiLevelType w:val="multilevel"/>
    <w:tmpl w:val="629F7852"/>
    <w:lvl w:ilvl="0" w:tentative="0">
      <w:start w:val="1"/>
      <w:numFmt w:val="decimal"/>
      <w:lvlText w:val="%1"/>
      <w:lvlJc w:val="left"/>
      <w:pPr>
        <w:ind w:left="883" w:hanging="327"/>
        <w:jc w:val="left"/>
      </w:pPr>
      <w:rPr>
        <w:rFonts w:hint="default"/>
      </w:rPr>
    </w:lvl>
    <w:lvl w:ilvl="1" w:tentative="0">
      <w:start w:val="5"/>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17" w:hanging="491"/>
        <w:jc w:val="left"/>
      </w:pPr>
      <w:rPr>
        <w:rFonts w:hint="default" w:ascii="方正书宋_GBK" w:hAnsi="方正书宋_GBK" w:eastAsia="方正书宋_GBK" w:cs="方正书宋_GBK"/>
        <w:color w:val="231F20"/>
        <w:spacing w:val="-1"/>
        <w:w w:val="100"/>
        <w:sz w:val="22"/>
        <w:szCs w:val="22"/>
      </w:rPr>
    </w:lvl>
    <w:lvl w:ilvl="3" w:tentative="0">
      <w:start w:val="0"/>
      <w:numFmt w:val="bullet"/>
      <w:lvlText w:val="•"/>
      <w:lvlJc w:val="left"/>
      <w:pPr>
        <w:ind w:left="2774" w:hanging="491"/>
      </w:pPr>
      <w:rPr>
        <w:rFonts w:hint="default"/>
      </w:rPr>
    </w:lvl>
    <w:lvl w:ilvl="4" w:tentative="0">
      <w:start w:val="0"/>
      <w:numFmt w:val="bullet"/>
      <w:lvlText w:val="•"/>
      <w:lvlJc w:val="left"/>
      <w:pPr>
        <w:ind w:left="3721" w:hanging="491"/>
      </w:pPr>
      <w:rPr>
        <w:rFonts w:hint="default"/>
      </w:rPr>
    </w:lvl>
    <w:lvl w:ilvl="5" w:tentative="0">
      <w:start w:val="0"/>
      <w:numFmt w:val="bullet"/>
      <w:lvlText w:val="•"/>
      <w:lvlJc w:val="left"/>
      <w:pPr>
        <w:ind w:left="4669" w:hanging="491"/>
      </w:pPr>
      <w:rPr>
        <w:rFonts w:hint="default"/>
      </w:rPr>
    </w:lvl>
    <w:lvl w:ilvl="6" w:tentative="0">
      <w:start w:val="0"/>
      <w:numFmt w:val="bullet"/>
      <w:lvlText w:val="•"/>
      <w:lvlJc w:val="left"/>
      <w:pPr>
        <w:ind w:left="5616" w:hanging="491"/>
      </w:pPr>
      <w:rPr>
        <w:rFonts w:hint="default"/>
      </w:rPr>
    </w:lvl>
    <w:lvl w:ilvl="7" w:tentative="0">
      <w:start w:val="0"/>
      <w:numFmt w:val="bullet"/>
      <w:lvlText w:val="•"/>
      <w:lvlJc w:val="left"/>
      <w:pPr>
        <w:ind w:left="6563" w:hanging="491"/>
      </w:pPr>
      <w:rPr>
        <w:rFonts w:hint="default"/>
      </w:rPr>
    </w:lvl>
    <w:lvl w:ilvl="8" w:tentative="0">
      <w:start w:val="0"/>
      <w:numFmt w:val="bullet"/>
      <w:lvlText w:val="•"/>
      <w:lvlJc w:val="left"/>
      <w:pPr>
        <w:ind w:left="7510" w:hanging="491"/>
      </w:pPr>
      <w:rPr>
        <w:rFonts w:hint="default"/>
      </w:rPr>
    </w:lvl>
  </w:abstractNum>
  <w:abstractNum w:abstractNumId="25">
    <w:nsid w:val="72183CF9"/>
    <w:multiLevelType w:val="multilevel"/>
    <w:tmpl w:val="72183CF9"/>
    <w:lvl w:ilvl="0" w:tentative="0">
      <w:start w:val="1"/>
      <w:numFmt w:val="decimal"/>
      <w:lvlText w:val="%1."/>
      <w:lvlJc w:val="left"/>
      <w:pPr>
        <w:ind w:left="117" w:hanging="219"/>
        <w:jc w:val="left"/>
      </w:pPr>
      <w:rPr>
        <w:rFonts w:hint="default" w:ascii="方正书宋_GBK" w:hAnsi="方正书宋_GBK" w:eastAsia="方正书宋_GBK" w:cs="方正书宋_GBK"/>
        <w:color w:val="231F20"/>
        <w:w w:val="100"/>
        <w:sz w:val="22"/>
        <w:szCs w:val="22"/>
      </w:rPr>
    </w:lvl>
    <w:lvl w:ilvl="1" w:tentative="0">
      <w:start w:val="0"/>
      <w:numFmt w:val="bullet"/>
      <w:lvlText w:val="•"/>
      <w:lvlJc w:val="left"/>
      <w:pPr>
        <w:ind w:left="1038" w:hanging="219"/>
      </w:pPr>
      <w:rPr>
        <w:rFonts w:hint="default"/>
      </w:rPr>
    </w:lvl>
    <w:lvl w:ilvl="2" w:tentative="0">
      <w:start w:val="0"/>
      <w:numFmt w:val="bullet"/>
      <w:lvlText w:val="•"/>
      <w:lvlJc w:val="left"/>
      <w:pPr>
        <w:ind w:left="1957" w:hanging="219"/>
      </w:pPr>
      <w:rPr>
        <w:rFonts w:hint="default"/>
      </w:rPr>
    </w:lvl>
    <w:lvl w:ilvl="3" w:tentative="0">
      <w:start w:val="0"/>
      <w:numFmt w:val="bullet"/>
      <w:lvlText w:val="•"/>
      <w:lvlJc w:val="left"/>
      <w:pPr>
        <w:ind w:left="2875" w:hanging="219"/>
      </w:pPr>
      <w:rPr>
        <w:rFonts w:hint="default"/>
      </w:rPr>
    </w:lvl>
    <w:lvl w:ilvl="4" w:tentative="0">
      <w:start w:val="0"/>
      <w:numFmt w:val="bullet"/>
      <w:lvlText w:val="•"/>
      <w:lvlJc w:val="left"/>
      <w:pPr>
        <w:ind w:left="3794" w:hanging="219"/>
      </w:pPr>
      <w:rPr>
        <w:rFonts w:hint="default"/>
      </w:rPr>
    </w:lvl>
    <w:lvl w:ilvl="5" w:tentative="0">
      <w:start w:val="0"/>
      <w:numFmt w:val="bullet"/>
      <w:lvlText w:val="•"/>
      <w:lvlJc w:val="left"/>
      <w:pPr>
        <w:ind w:left="4712" w:hanging="219"/>
      </w:pPr>
      <w:rPr>
        <w:rFonts w:hint="default"/>
      </w:rPr>
    </w:lvl>
    <w:lvl w:ilvl="6" w:tentative="0">
      <w:start w:val="0"/>
      <w:numFmt w:val="bullet"/>
      <w:lvlText w:val="•"/>
      <w:lvlJc w:val="left"/>
      <w:pPr>
        <w:ind w:left="5631" w:hanging="219"/>
      </w:pPr>
      <w:rPr>
        <w:rFonts w:hint="default"/>
      </w:rPr>
    </w:lvl>
    <w:lvl w:ilvl="7" w:tentative="0">
      <w:start w:val="0"/>
      <w:numFmt w:val="bullet"/>
      <w:lvlText w:val="•"/>
      <w:lvlJc w:val="left"/>
      <w:pPr>
        <w:ind w:left="6549" w:hanging="219"/>
      </w:pPr>
      <w:rPr>
        <w:rFonts w:hint="default"/>
      </w:rPr>
    </w:lvl>
    <w:lvl w:ilvl="8" w:tentative="0">
      <w:start w:val="0"/>
      <w:numFmt w:val="bullet"/>
      <w:lvlText w:val="•"/>
      <w:lvlJc w:val="left"/>
      <w:pPr>
        <w:ind w:left="7468" w:hanging="219"/>
      </w:pPr>
      <w:rPr>
        <w:rFonts w:hint="default"/>
      </w:rPr>
    </w:lvl>
  </w:abstractNum>
  <w:abstractNum w:abstractNumId="26">
    <w:nsid w:val="77ECEA79"/>
    <w:multiLevelType w:val="multilevel"/>
    <w:tmpl w:val="77ECEA79"/>
    <w:lvl w:ilvl="0" w:tentative="0">
      <w:start w:val="1"/>
      <w:numFmt w:val="decimal"/>
      <w:lvlText w:val="%1."/>
      <w:lvlJc w:val="left"/>
      <w:pPr>
        <w:ind w:left="361" w:hanging="245"/>
        <w:jc w:val="left"/>
      </w:pPr>
      <w:rPr>
        <w:rFonts w:hint="default" w:ascii="方正黑体_GBK" w:hAnsi="方正黑体_GBK" w:eastAsia="方正黑体_GBK" w:cs="方正黑体_GBK"/>
        <w:color w:val="231F20"/>
        <w:w w:val="100"/>
        <w:sz w:val="22"/>
        <w:szCs w:val="22"/>
      </w:rPr>
    </w:lvl>
    <w:lvl w:ilvl="1" w:tentative="0">
      <w:start w:val="1"/>
      <w:numFmt w:val="decimal"/>
      <w:lvlText w:val="%1.%2"/>
      <w:lvlJc w:val="left"/>
      <w:pPr>
        <w:ind w:left="883" w:hanging="327"/>
        <w:jc w:val="left"/>
      </w:pPr>
      <w:rPr>
        <w:rFonts w:hint="default" w:ascii="方正书宋_GBK" w:hAnsi="方正书宋_GBK" w:eastAsia="方正书宋_GBK" w:cs="方正书宋_GBK"/>
        <w:color w:val="231F20"/>
        <w:spacing w:val="-1"/>
        <w:w w:val="100"/>
        <w:sz w:val="22"/>
        <w:szCs w:val="22"/>
      </w:rPr>
    </w:lvl>
    <w:lvl w:ilvl="2" w:tentative="0">
      <w:start w:val="0"/>
      <w:numFmt w:val="bullet"/>
      <w:lvlText w:val="•"/>
      <w:lvlJc w:val="left"/>
      <w:pPr>
        <w:ind w:left="1040" w:hanging="327"/>
      </w:pPr>
      <w:rPr>
        <w:rFonts w:hint="default"/>
      </w:rPr>
    </w:lvl>
    <w:lvl w:ilvl="3" w:tentative="0">
      <w:start w:val="0"/>
      <w:numFmt w:val="bullet"/>
      <w:lvlText w:val="•"/>
      <w:lvlJc w:val="left"/>
      <w:pPr>
        <w:ind w:left="1220" w:hanging="327"/>
      </w:pPr>
      <w:rPr>
        <w:rFonts w:hint="default"/>
      </w:rPr>
    </w:lvl>
    <w:lvl w:ilvl="4" w:tentative="0">
      <w:start w:val="0"/>
      <w:numFmt w:val="bullet"/>
      <w:lvlText w:val="•"/>
      <w:lvlJc w:val="left"/>
      <w:pPr>
        <w:ind w:left="2389" w:hanging="327"/>
      </w:pPr>
      <w:rPr>
        <w:rFonts w:hint="default"/>
      </w:rPr>
    </w:lvl>
    <w:lvl w:ilvl="5" w:tentative="0">
      <w:start w:val="0"/>
      <w:numFmt w:val="bullet"/>
      <w:lvlText w:val="•"/>
      <w:lvlJc w:val="left"/>
      <w:pPr>
        <w:ind w:left="3558" w:hanging="327"/>
      </w:pPr>
      <w:rPr>
        <w:rFonts w:hint="default"/>
      </w:rPr>
    </w:lvl>
    <w:lvl w:ilvl="6" w:tentative="0">
      <w:start w:val="0"/>
      <w:numFmt w:val="bullet"/>
      <w:lvlText w:val="•"/>
      <w:lvlJc w:val="left"/>
      <w:pPr>
        <w:ind w:left="4728" w:hanging="327"/>
      </w:pPr>
      <w:rPr>
        <w:rFonts w:hint="default"/>
      </w:rPr>
    </w:lvl>
    <w:lvl w:ilvl="7" w:tentative="0">
      <w:start w:val="0"/>
      <w:numFmt w:val="bullet"/>
      <w:lvlText w:val="•"/>
      <w:lvlJc w:val="left"/>
      <w:pPr>
        <w:ind w:left="5897" w:hanging="327"/>
      </w:pPr>
      <w:rPr>
        <w:rFonts w:hint="default"/>
      </w:rPr>
    </w:lvl>
    <w:lvl w:ilvl="8" w:tentative="0">
      <w:start w:val="0"/>
      <w:numFmt w:val="bullet"/>
      <w:lvlText w:val="•"/>
      <w:lvlJc w:val="left"/>
      <w:pPr>
        <w:ind w:left="7066" w:hanging="327"/>
      </w:pPr>
      <w:rPr>
        <w:rFonts w:hint="default"/>
      </w:rPr>
    </w:lvl>
  </w:abstractNum>
  <w:abstractNum w:abstractNumId="27">
    <w:nsid w:val="7C246926"/>
    <w:multiLevelType w:val="multilevel"/>
    <w:tmpl w:val="7C246926"/>
    <w:lvl w:ilvl="0" w:tentative="0">
      <w:start w:val="14"/>
      <w:numFmt w:val="decimal"/>
      <w:lvlText w:val="%1"/>
      <w:lvlJc w:val="left"/>
      <w:pPr>
        <w:ind w:left="992" w:hanging="436"/>
        <w:jc w:val="left"/>
      </w:pPr>
      <w:rPr>
        <w:rFonts w:hint="default"/>
      </w:rPr>
    </w:lvl>
    <w:lvl w:ilvl="1" w:tentative="0">
      <w:start w:val="2"/>
      <w:numFmt w:val="decimal"/>
      <w:lvlText w:val="%1.%2"/>
      <w:lvlJc w:val="left"/>
      <w:pPr>
        <w:ind w:left="992" w:hanging="436"/>
        <w:jc w:val="left"/>
      </w:pPr>
      <w:rPr>
        <w:rFonts w:hint="default" w:ascii="方正书宋_GBK" w:hAnsi="方正书宋_GBK" w:eastAsia="方正书宋_GBK" w:cs="方正书宋_GBK"/>
        <w:color w:val="231F20"/>
        <w:spacing w:val="-1"/>
        <w:w w:val="100"/>
        <w:sz w:val="22"/>
        <w:szCs w:val="22"/>
      </w:rPr>
    </w:lvl>
    <w:lvl w:ilvl="2" w:tentative="0">
      <w:start w:val="1"/>
      <w:numFmt w:val="decimal"/>
      <w:lvlText w:val="%1.%2.%3"/>
      <w:lvlJc w:val="left"/>
      <w:pPr>
        <w:ind w:left="117" w:hanging="620"/>
        <w:jc w:val="left"/>
      </w:pPr>
      <w:rPr>
        <w:rFonts w:hint="default" w:ascii="方正书宋_GBK" w:hAnsi="方正书宋_GBK" w:eastAsia="方正书宋_GBK" w:cs="方正书宋_GBK"/>
        <w:color w:val="231F20"/>
        <w:w w:val="100"/>
        <w:sz w:val="22"/>
        <w:szCs w:val="22"/>
      </w:rPr>
    </w:lvl>
    <w:lvl w:ilvl="3" w:tentative="0">
      <w:start w:val="0"/>
      <w:numFmt w:val="bullet"/>
      <w:lvlText w:val="•"/>
      <w:lvlJc w:val="left"/>
      <w:pPr>
        <w:ind w:left="2867" w:hanging="620"/>
      </w:pPr>
      <w:rPr>
        <w:rFonts w:hint="default"/>
      </w:rPr>
    </w:lvl>
    <w:lvl w:ilvl="4" w:tentative="0">
      <w:start w:val="0"/>
      <w:numFmt w:val="bullet"/>
      <w:lvlText w:val="•"/>
      <w:lvlJc w:val="left"/>
      <w:pPr>
        <w:ind w:left="3801" w:hanging="620"/>
      </w:pPr>
      <w:rPr>
        <w:rFonts w:hint="default"/>
      </w:rPr>
    </w:lvl>
    <w:lvl w:ilvl="5" w:tentative="0">
      <w:start w:val="0"/>
      <w:numFmt w:val="bullet"/>
      <w:lvlText w:val="•"/>
      <w:lvlJc w:val="left"/>
      <w:pPr>
        <w:ind w:left="4735" w:hanging="620"/>
      </w:pPr>
      <w:rPr>
        <w:rFonts w:hint="default"/>
      </w:rPr>
    </w:lvl>
    <w:lvl w:ilvl="6" w:tentative="0">
      <w:start w:val="0"/>
      <w:numFmt w:val="bullet"/>
      <w:lvlText w:val="•"/>
      <w:lvlJc w:val="left"/>
      <w:pPr>
        <w:ind w:left="5669" w:hanging="620"/>
      </w:pPr>
      <w:rPr>
        <w:rFonts w:hint="default"/>
      </w:rPr>
    </w:lvl>
    <w:lvl w:ilvl="7" w:tentative="0">
      <w:start w:val="0"/>
      <w:numFmt w:val="bullet"/>
      <w:lvlText w:val="•"/>
      <w:lvlJc w:val="left"/>
      <w:pPr>
        <w:ind w:left="6603" w:hanging="620"/>
      </w:pPr>
      <w:rPr>
        <w:rFonts w:hint="default"/>
      </w:rPr>
    </w:lvl>
    <w:lvl w:ilvl="8" w:tentative="0">
      <w:start w:val="0"/>
      <w:numFmt w:val="bullet"/>
      <w:lvlText w:val="•"/>
      <w:lvlJc w:val="left"/>
      <w:pPr>
        <w:ind w:left="7537" w:hanging="620"/>
      </w:pPr>
      <w:rPr>
        <w:rFonts w:hint="default"/>
      </w:rPr>
    </w:lvl>
  </w:abstractNum>
  <w:abstractNum w:abstractNumId="28">
    <w:nsid w:val="7DEC2089"/>
    <w:multiLevelType w:val="multilevel"/>
    <w:tmpl w:val="7DEC2089"/>
    <w:lvl w:ilvl="0" w:tentative="0">
      <w:start w:val="5"/>
      <w:numFmt w:val="decimal"/>
      <w:lvlText w:val="%1"/>
      <w:lvlJc w:val="left"/>
      <w:pPr>
        <w:ind w:left="1210" w:hanging="653"/>
        <w:jc w:val="left"/>
      </w:pPr>
      <w:rPr>
        <w:rFonts w:hint="default"/>
      </w:rPr>
    </w:lvl>
    <w:lvl w:ilvl="1" w:tentative="0">
      <w:start w:val="1"/>
      <w:numFmt w:val="decimal"/>
      <w:lvlText w:val="%1.%2"/>
      <w:lvlJc w:val="left"/>
      <w:pPr>
        <w:ind w:left="1210" w:hanging="653"/>
        <w:jc w:val="left"/>
      </w:pPr>
      <w:rPr>
        <w:rFonts w:hint="default"/>
      </w:rPr>
    </w:lvl>
    <w:lvl w:ilvl="2" w:tentative="0">
      <w:start w:val="2"/>
      <w:numFmt w:val="decimal"/>
      <w:lvlText w:val="%1.%2.%3"/>
      <w:lvlJc w:val="left"/>
      <w:pPr>
        <w:ind w:left="1210" w:hanging="653"/>
        <w:jc w:val="left"/>
      </w:pPr>
      <w:rPr>
        <w:rFonts w:hint="default"/>
      </w:rPr>
    </w:lvl>
    <w:lvl w:ilvl="3" w:tentative="0">
      <w:start w:val="1"/>
      <w:numFmt w:val="decimal"/>
      <w:lvlText w:val="%1.%2.%3.%4"/>
      <w:lvlJc w:val="left"/>
      <w:pPr>
        <w:ind w:left="1210" w:hanging="653"/>
        <w:jc w:val="left"/>
      </w:pPr>
      <w:rPr>
        <w:rFonts w:hint="default" w:ascii="方正书宋_GBK" w:hAnsi="方正书宋_GBK" w:eastAsia="方正书宋_GBK" w:cs="方正书宋_GBK"/>
        <w:color w:val="231F20"/>
        <w:spacing w:val="-1"/>
        <w:w w:val="100"/>
        <w:sz w:val="22"/>
        <w:szCs w:val="22"/>
      </w:rPr>
    </w:lvl>
    <w:lvl w:ilvl="4" w:tentative="0">
      <w:start w:val="0"/>
      <w:numFmt w:val="bullet"/>
      <w:lvlText w:val="•"/>
      <w:lvlJc w:val="left"/>
      <w:pPr>
        <w:ind w:left="4494" w:hanging="653"/>
      </w:pPr>
      <w:rPr>
        <w:rFonts w:hint="default"/>
      </w:rPr>
    </w:lvl>
    <w:lvl w:ilvl="5" w:tentative="0">
      <w:start w:val="0"/>
      <w:numFmt w:val="bullet"/>
      <w:lvlText w:val="•"/>
      <w:lvlJc w:val="left"/>
      <w:pPr>
        <w:ind w:left="5312" w:hanging="653"/>
      </w:pPr>
      <w:rPr>
        <w:rFonts w:hint="default"/>
      </w:rPr>
    </w:lvl>
    <w:lvl w:ilvl="6" w:tentative="0">
      <w:start w:val="0"/>
      <w:numFmt w:val="bullet"/>
      <w:lvlText w:val="•"/>
      <w:lvlJc w:val="left"/>
      <w:pPr>
        <w:ind w:left="6131" w:hanging="653"/>
      </w:pPr>
      <w:rPr>
        <w:rFonts w:hint="default"/>
      </w:rPr>
    </w:lvl>
    <w:lvl w:ilvl="7" w:tentative="0">
      <w:start w:val="0"/>
      <w:numFmt w:val="bullet"/>
      <w:lvlText w:val="•"/>
      <w:lvlJc w:val="left"/>
      <w:pPr>
        <w:ind w:left="6949" w:hanging="653"/>
      </w:pPr>
      <w:rPr>
        <w:rFonts w:hint="default"/>
      </w:rPr>
    </w:lvl>
    <w:lvl w:ilvl="8" w:tentative="0">
      <w:start w:val="0"/>
      <w:numFmt w:val="bullet"/>
      <w:lvlText w:val="•"/>
      <w:lvlJc w:val="left"/>
      <w:pPr>
        <w:ind w:left="7768" w:hanging="653"/>
      </w:pPr>
      <w:rPr>
        <w:rFonts w:hint="default"/>
      </w:rPr>
    </w:lvl>
  </w:abstractNum>
  <w:num w:numId="1">
    <w:abstractNumId w:val="11"/>
  </w:num>
  <w:num w:numId="2">
    <w:abstractNumId w:val="15"/>
  </w:num>
  <w:num w:numId="3">
    <w:abstractNumId w:val="25"/>
  </w:num>
  <w:num w:numId="4">
    <w:abstractNumId w:val="10"/>
  </w:num>
  <w:num w:numId="5">
    <w:abstractNumId w:val="1"/>
  </w:num>
  <w:num w:numId="6">
    <w:abstractNumId w:val="16"/>
  </w:num>
  <w:num w:numId="7">
    <w:abstractNumId w:val="22"/>
  </w:num>
  <w:num w:numId="8">
    <w:abstractNumId w:val="5"/>
  </w:num>
  <w:num w:numId="9">
    <w:abstractNumId w:val="20"/>
  </w:num>
  <w:num w:numId="10">
    <w:abstractNumId w:val="8"/>
  </w:num>
  <w:num w:numId="11">
    <w:abstractNumId w:val="14"/>
  </w:num>
  <w:num w:numId="12">
    <w:abstractNumId w:val="7"/>
  </w:num>
  <w:num w:numId="13">
    <w:abstractNumId w:val="6"/>
  </w:num>
  <w:num w:numId="14">
    <w:abstractNumId w:val="2"/>
  </w:num>
  <w:num w:numId="15">
    <w:abstractNumId w:val="19"/>
  </w:num>
  <w:num w:numId="16">
    <w:abstractNumId w:val="23"/>
  </w:num>
  <w:num w:numId="17">
    <w:abstractNumId w:val="12"/>
  </w:num>
  <w:num w:numId="18">
    <w:abstractNumId w:val="18"/>
  </w:num>
  <w:num w:numId="19">
    <w:abstractNumId w:val="3"/>
  </w:num>
  <w:num w:numId="20">
    <w:abstractNumId w:val="27"/>
  </w:num>
  <w:num w:numId="21">
    <w:abstractNumId w:val="26"/>
  </w:num>
  <w:num w:numId="22">
    <w:abstractNumId w:val="4"/>
  </w:num>
  <w:num w:numId="23">
    <w:abstractNumId w:val="24"/>
  </w:num>
  <w:num w:numId="24">
    <w:abstractNumId w:val="17"/>
  </w:num>
  <w:num w:numId="25">
    <w:abstractNumId w:val="0"/>
  </w:num>
  <w:num w:numId="26">
    <w:abstractNumId w:val="21"/>
  </w:num>
  <w:num w:numId="27">
    <w:abstractNumId w:val="28"/>
  </w:num>
  <w:num w:numId="28">
    <w:abstractNumId w:val="13"/>
  </w:num>
  <w:num w:numId="2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documentProtection w:enforcement="0"/>
  <w:defaultTabStop w:val="720"/>
  <w:evenAndOddHeaders w:val="1"/>
  <w:drawingGridHorizontalSpacing w:val="110"/>
  <w:displayHorizontalDrawingGridEvery w:val="2"/>
  <w:characterSpacingControl w:val="doNotCompress"/>
  <w:hdrShapeDefaults>
    <o:shapelayout v:ext="edit">
      <o:idmap v:ext="edit" data="2"/>
    </o:shapelayout>
  </w:hdrShapeDefault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E7F6F2A"/>
    <w:rsid w:val="18427458"/>
    <w:rsid w:val="66296A46"/>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nhideWhenUsed="0" w:uiPriority="1"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方正书宋_GBK" w:hAnsi="方正书宋_GBK" w:eastAsia="方正书宋_GBK" w:cs="方正书宋_GBK"/>
      <w:sz w:val="22"/>
      <w:szCs w:val="22"/>
      <w:lang w:val="en-US" w:eastAsia="en-US" w:bidi="ar-SA"/>
    </w:rPr>
  </w:style>
  <w:style w:type="paragraph" w:styleId="2">
    <w:name w:val="heading 1"/>
    <w:basedOn w:val="1"/>
    <w:qFormat/>
    <w:uiPriority w:val="1"/>
    <w:pPr>
      <w:spacing w:before="174"/>
      <w:outlineLvl w:val="1"/>
    </w:pPr>
    <w:rPr>
      <w:rFonts w:ascii="方正黑体_GBK" w:hAnsi="方正黑体_GBK" w:eastAsia="方正黑体_GBK" w:cs="方正黑体_GBK"/>
      <w:sz w:val="28"/>
      <w:szCs w:val="28"/>
    </w:rPr>
  </w:style>
  <w:style w:type="paragraph" w:styleId="3">
    <w:name w:val="heading 2"/>
    <w:basedOn w:val="1"/>
    <w:qFormat/>
    <w:uiPriority w:val="1"/>
    <w:pPr>
      <w:spacing w:before="1"/>
      <w:ind w:left="557"/>
      <w:outlineLvl w:val="2"/>
    </w:pPr>
    <w:rPr>
      <w:rFonts w:ascii="方正黑体_GBK" w:hAnsi="方正黑体_GBK" w:eastAsia="方正黑体_GBK" w:cs="方正黑体_GBK"/>
      <w:sz w:val="26"/>
      <w:szCs w:val="26"/>
    </w:rPr>
  </w:style>
  <w:style w:type="paragraph" w:styleId="4">
    <w:name w:val="heading 3"/>
    <w:basedOn w:val="1"/>
    <w:qFormat/>
    <w:uiPriority w:val="1"/>
    <w:pPr>
      <w:ind w:left="557"/>
      <w:outlineLvl w:val="3"/>
    </w:pPr>
    <w:rPr>
      <w:rFonts w:ascii="方正小标宋_GBK" w:hAnsi="方正小标宋_GBK" w:eastAsia="方正小标宋_GBK" w:cs="方正小标宋_GBK"/>
      <w:sz w:val="24"/>
      <w:szCs w:val="24"/>
    </w:rPr>
  </w:style>
  <w:style w:type="character" w:default="1" w:styleId="9">
    <w:name w:val="Default Paragraph Font"/>
    <w:semiHidden/>
    <w:unhideWhenUsed/>
    <w:qFormat/>
    <w:uiPriority w:val="1"/>
  </w:style>
  <w:style w:type="table" w:default="1" w:styleId="8">
    <w:name w:val="Normal Table"/>
    <w:semiHidden/>
    <w:uiPriority w:val="0"/>
    <w:tblPr>
      <w:tblCellMar>
        <w:top w:w="0" w:type="dxa"/>
        <w:left w:w="108" w:type="dxa"/>
        <w:bottom w:w="0" w:type="dxa"/>
        <w:right w:w="108" w:type="dxa"/>
      </w:tblCellMar>
    </w:tblPr>
  </w:style>
  <w:style w:type="paragraph" w:styleId="5">
    <w:name w:val="Body Text"/>
    <w:basedOn w:val="1"/>
    <w:qFormat/>
    <w:uiPriority w:val="1"/>
    <w:pPr>
      <w:spacing w:before="109"/>
      <w:ind w:left="117"/>
    </w:pPr>
    <w:rPr>
      <w:rFonts w:ascii="方正书宋_GBK" w:hAnsi="方正书宋_GBK" w:eastAsia="方正书宋_GBK" w:cs="方正书宋_GBK"/>
      <w:sz w:val="22"/>
      <w:szCs w:val="22"/>
    </w:rPr>
  </w:style>
  <w:style w:type="paragraph" w:styleId="6">
    <w:name w:val="footer"/>
    <w:basedOn w:val="1"/>
    <w:uiPriority w:val="0"/>
    <w:pPr>
      <w:tabs>
        <w:tab w:val="center" w:pos="4153"/>
        <w:tab w:val="right" w:pos="8306"/>
      </w:tabs>
      <w:snapToGrid w:val="0"/>
      <w:jc w:val="left"/>
    </w:pPr>
    <w:rPr>
      <w:sz w:val="18"/>
    </w:rPr>
  </w:style>
  <w:style w:type="paragraph" w:styleId="7">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10">
    <w:name w:val="Table Normal"/>
    <w:semiHidden/>
    <w:unhideWhenUsed/>
    <w:qFormat/>
    <w:uiPriority w:val="2"/>
    <w:tblPr>
      <w:tblCellMar>
        <w:top w:w="0" w:type="dxa"/>
        <w:left w:w="0" w:type="dxa"/>
        <w:bottom w:w="0" w:type="dxa"/>
        <w:right w:w="0" w:type="dxa"/>
      </w:tblCellMar>
    </w:tblPr>
  </w:style>
  <w:style w:type="paragraph" w:styleId="11">
    <w:name w:val="List Paragraph"/>
    <w:basedOn w:val="1"/>
    <w:qFormat/>
    <w:uiPriority w:val="1"/>
    <w:pPr>
      <w:spacing w:before="109"/>
      <w:ind w:left="117" w:firstLine="440"/>
    </w:pPr>
    <w:rPr>
      <w:rFonts w:ascii="方正书宋_GBK" w:hAnsi="方正书宋_GBK" w:eastAsia="方正书宋_GBK" w:cs="方正书宋_GBK"/>
    </w:rPr>
  </w:style>
  <w:style w:type="paragraph" w:customStyle="1" w:styleId="12">
    <w:name w:val="Table Paragraph"/>
    <w:basedOn w:val="1"/>
    <w:qFormat/>
    <w:uiPriority w:val="1"/>
    <w:rPr>
      <w:rFonts w:ascii="方正书宋_GBK" w:hAnsi="方正书宋_GBK" w:eastAsia="方正书宋_GBK" w:cs="方正书宋_GBK"/>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theme" Target="theme/theme1.xml"/><Relationship Id="rId14" Type="http://schemas.openxmlformats.org/officeDocument/2006/relationships/footer" Target="footer10.xml"/><Relationship Id="rId13" Type="http://schemas.openxmlformats.org/officeDocument/2006/relationships/footer" Target="footer9.xml"/><Relationship Id="rId12" Type="http://schemas.openxmlformats.org/officeDocument/2006/relationships/footer" Target="footer8.xml"/><Relationship Id="rId11" Type="http://schemas.openxmlformats.org/officeDocument/2006/relationships/footer" Target="footer7.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32</Pages>
  <Words>13253</Words>
  <Characters>13333</Characters>
  <TotalTime>9</TotalTime>
  <ScaleCrop>false</ScaleCrop>
  <LinksUpToDate>false</LinksUpToDate>
  <CharactersWithSpaces>13796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2021-12-01T23:29:00Z</dcterms:created>
  <dc:creator>admin</dc:creator>
  <cp:lastModifiedBy>17</cp:lastModifiedBy>
  <dcterms:modified xsi:type="dcterms:W3CDTF">2026-01-29T10:31:23Z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2021-12-01T00:00:00Z</vt:filetime>
  </property>
  <property fmtid="{D5CDD505-2E9C-101B-9397-08002B2CF9AE}" pid="3" name="Creator">
    <vt:lpwstr>Adobe InDesign 14.0 (Windows)</vt:lpwstr>
  </property>
  <property fmtid="{D5CDD505-2E9C-101B-9397-08002B2CF9AE}" pid="4" name="LastSaved">
    <vt:filetime>2021-12-01T00:00:00Z</vt:filetime>
  </property>
  <property fmtid="{D5CDD505-2E9C-101B-9397-08002B2CF9AE}" pid="5" name="KSOTemplateDocerSaveRecord">
    <vt:lpwstr>eyJoZGlkIjoiODU0ODAxOTkxZjkzMzhmNzY4Yjc1ZTUwZDNmZjJjMWMiLCJ1c2VySWQiOiIxMzE2MDcwODQwIn0=</vt:lpwstr>
  </property>
  <property fmtid="{D5CDD505-2E9C-101B-9397-08002B2CF9AE}" pid="6" name="KSOProductBuildVer">
    <vt:lpwstr>2052-12.1.0.24657</vt:lpwstr>
  </property>
  <property fmtid="{D5CDD505-2E9C-101B-9397-08002B2CF9AE}" pid="7" name="ICV">
    <vt:lpwstr>E56BD475EC474BAFA0E1FB8D46369EFE_13</vt:lpwstr>
  </property>
</Properties>
</file>