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版本号：HGMHCG-2026-0720260318001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采购冬季除雪应急保畅设备项目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HGMHCG-2026-07</w:t>
      </w:r>
      <w:r>
        <w:br/>
      </w:r>
      <w:r>
        <w:br/>
      </w:r>
      <w:r>
        <w:br/>
      </w:r>
    </w:p>
    <w:p>
      <w:pPr>
        <w:pStyle w:val="null3"/>
        <w:jc w:val="center"/>
        <w:outlineLvl w:val="2"/>
      </w:pPr>
      <w:r>
        <w:rPr>
          <w:rFonts w:ascii="仿宋_GB2312" w:hAnsi="仿宋_GB2312" w:cs="仿宋_GB2312" w:eastAsia="仿宋_GB2312"/>
          <w:sz w:val="28"/>
          <w:b/>
        </w:rPr>
        <w:t>宜君县城乡建设和交通运输局</w:t>
      </w:r>
    </w:p>
    <w:p>
      <w:pPr>
        <w:pStyle w:val="null3"/>
        <w:jc w:val="center"/>
        <w:outlineLvl w:val="2"/>
      </w:pPr>
      <w:r>
        <w:rPr>
          <w:rFonts w:ascii="仿宋_GB2312" w:hAnsi="仿宋_GB2312" w:cs="仿宋_GB2312" w:eastAsia="仿宋_GB2312"/>
          <w:sz w:val="28"/>
          <w:b/>
        </w:rPr>
        <w:t>陕西恒广茂禾项目管理有限公司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陕西恒广茂禾项目管理有限公司</w:t>
      </w:r>
      <w:r>
        <w:rPr>
          <w:rFonts w:ascii="仿宋_GB2312" w:hAnsi="仿宋_GB2312" w:cs="仿宋_GB2312" w:eastAsia="仿宋_GB2312"/>
        </w:rPr>
        <w:t>（以下简称“代理机构”）受</w:t>
      </w:r>
      <w:r>
        <w:rPr>
          <w:rFonts w:ascii="仿宋_GB2312" w:hAnsi="仿宋_GB2312" w:cs="仿宋_GB2312" w:eastAsia="仿宋_GB2312"/>
        </w:rPr>
        <w:t>宜君县城乡建设和交通运输局</w:t>
      </w:r>
      <w:r>
        <w:rPr>
          <w:rFonts w:ascii="仿宋_GB2312" w:hAnsi="仿宋_GB2312" w:cs="仿宋_GB2312" w:eastAsia="仿宋_GB2312"/>
        </w:rPr>
        <w:t>委托，拟对</w:t>
      </w:r>
      <w:r>
        <w:rPr>
          <w:rFonts w:ascii="仿宋_GB2312" w:hAnsi="仿宋_GB2312" w:cs="仿宋_GB2312" w:eastAsia="仿宋_GB2312"/>
        </w:rPr>
        <w:t>采购冬季除雪应急保畅设备项目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HGMHCG-2026-07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采购冬季除雪应急保畅设备项目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采购冬季除雪应急保畅设备项目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3、依法缴纳税收和社会保障资金相关材料（磋商截止日前六个月内任意一个月）。：依法缴纳税收和社会保障资金相关材料（磋商截止日前六个月内任意一个月）。</w:t>
      </w:r>
    </w:p>
    <w:p>
      <w:pPr>
        <w:pStyle w:val="null3"/>
      </w:pPr>
      <w:r>
        <w:rPr>
          <w:rFonts w:ascii="仿宋_GB2312" w:hAnsi="仿宋_GB2312" w:cs="仿宋_GB2312" w:eastAsia="仿宋_GB2312"/>
        </w:rPr>
        <w:t>4、供应商需提供2024或2025年度财务审计报告或提供文件递交截止日前三个月内从基本户银行开具的资信证明：供应商需提供2024或2025年度财务审计报告或提供文件递交截止日前三个月内从基本户银行开具的资信证明。</w:t>
      </w:r>
    </w:p>
    <w:p>
      <w:pPr>
        <w:pStyle w:val="null3"/>
      </w:pPr>
      <w:r>
        <w:rPr>
          <w:rFonts w:ascii="仿宋_GB2312" w:hAnsi="仿宋_GB2312" w:cs="仿宋_GB2312" w:eastAsia="仿宋_GB2312"/>
        </w:rPr>
        <w:t>5、法定代表人直接参加磋商的，须出具法人身份证；授权代表参加磋商的，须出具授权书及授权代表身份证：法定代表人直接参加磋商的，须出具法人身份证；授权代表参加磋商的，须出具授权书及授权代表身份证。</w:t>
      </w:r>
    </w:p>
    <w:p>
      <w:pPr>
        <w:pStyle w:val="null3"/>
      </w:pPr>
      <w:r>
        <w:rPr>
          <w:rFonts w:ascii="仿宋_GB2312" w:hAnsi="仿宋_GB2312" w:cs="仿宋_GB2312" w:eastAsia="仿宋_GB2312"/>
        </w:rPr>
        <w:t>6、供应商出具本企业参加政府采购活动前三年内经营活动中没有重大违法记录的书面声明：供应商出具本企业参加政府采购活动前三年内经营活动中没有重大违法记录的书面声明。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7、供应商不得为“信用中国”中列入失信被执行人和重大税收违法案件当事人名单的供应商，不得为“中国政府采购网”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宜君县城乡建设和交通运输局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宜君县宜阳中街96号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727299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0919-8172988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陕西恒广茂禾项目管理有限公司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陕西省铜川市新区长虹南路山水雅庭6幢1单元301室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15353839221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宜君县政府采购管理股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0919-5996058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宜君县城乡建设和交通运输局</w:t>
      </w:r>
      <w:r>
        <w:rPr>
          <w:rFonts w:ascii="仿宋_GB2312" w:hAnsi="仿宋_GB2312" w:cs="仿宋_GB2312" w:eastAsia="仿宋_GB2312"/>
        </w:rPr>
        <w:t>和</w:t>
      </w:r>
      <w:r>
        <w:rPr>
          <w:rFonts w:ascii="仿宋_GB2312" w:hAnsi="仿宋_GB2312" w:cs="仿宋_GB2312" w:eastAsia="仿宋_GB2312"/>
        </w:rPr>
        <w:t>陕西恒广茂禾项目管理有限公司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宜君县城乡建设和交通运输局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陕西恒广茂禾项目管理有限公司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陕西恒广茂禾项目管理有限公司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陕西恒广茂禾项目管理有限公司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联系电话：15353839221</w:t>
      </w:r>
    </w:p>
    <w:p>
      <w:pPr>
        <w:pStyle w:val="null3"/>
      </w:pPr>
      <w:r>
        <w:rPr>
          <w:rFonts w:ascii="仿宋_GB2312" w:hAnsi="仿宋_GB2312" w:cs="仿宋_GB2312" w:eastAsia="仿宋_GB2312"/>
        </w:rPr>
        <w:t>地址：陕西省铜川市新区长虹南路山水雅庭6幢1单元301室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采购冬季除雪应急保障设备项目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除雪应急设备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标的名称：除雪应急设备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rPr>
              <w:t>采购清单</w:t>
            </w:r>
          </w:p>
          <w:tbl>
            <w:tblPr>
              <w:tblBorders>
                <w:top w:val="none" w:color="000000" w:sz="4"/>
                <w:left w:val="none" w:color="000000" w:sz="4"/>
                <w:bottom w:val="none" w:color="000000" w:sz="4"/>
                <w:right w:val="none" w:color="000000" w:sz="4"/>
                <w:insideH w:val="none"/>
                <w:insideV w:val="none"/>
              </w:tblBorders>
            </w:tblPr>
            <w:tblGrid>
              <w:gridCol w:w="165"/>
              <w:gridCol w:w="284"/>
              <w:gridCol w:w="1380"/>
              <w:gridCol w:w="237"/>
              <w:gridCol w:w="258"/>
              <w:gridCol w:w="219"/>
            </w:tblGrid>
            <w:tr>
              <w:tc>
                <w:tcPr>
                  <w:tcW w:type="dxa" w:w="1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13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技术参数</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除雪撒布</w:t>
                  </w:r>
                </w:p>
                <w:p>
                  <w:pPr>
                    <w:pStyle w:val="null3"/>
                    <w:jc w:val="center"/>
                  </w:pPr>
                  <w:r>
                    <w:rPr>
                      <w:rFonts w:ascii="仿宋_GB2312" w:hAnsi="仿宋_GB2312" w:cs="仿宋_GB2312" w:eastAsia="仿宋_GB2312"/>
                      <w:sz w:val="21"/>
                    </w:rPr>
                    <w:t>机</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容积（m3）：</w:t>
                  </w:r>
                  <w:r>
                    <w:rPr>
                      <w:rFonts w:ascii="仿宋_GB2312" w:hAnsi="仿宋_GB2312" w:cs="仿宋_GB2312" w:eastAsia="仿宋_GB2312"/>
                      <w:sz w:val="21"/>
                      <w:color w:val="000000"/>
                    </w:rPr>
                    <w:t>≥</w:t>
                  </w:r>
                  <w:r>
                    <w:rPr>
                      <w:rFonts w:ascii="仿宋_GB2312" w:hAnsi="仿宋_GB2312" w:cs="仿宋_GB2312" w:eastAsia="仿宋_GB2312"/>
                      <w:sz w:val="21"/>
                      <w:color w:val="000000"/>
                    </w:rPr>
                    <w:t>1，撒布宽度：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2-6m，撒盐量：20-120g/m2(可调)，撒布盘直径：≥550mm，作业速度：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-20km/h，控制方式：有线遥控。装料均匀：撒布机安装过滤网，可减少大颗粒或杂物进入设备，保证设备、行人和车辆安全；装卸方便：整机采用可拆卸专用升降支撑系统，便于非作业状态存放；结构合理：箱体采用V型料仓，结构简单可靠，使融雪剂自动落料，出料完全，无残留。</w:t>
                  </w:r>
                </w:p>
                <w:p>
                  <w:pPr>
                    <w:pStyle w:val="null3"/>
                    <w:jc w:val="both"/>
                  </w:pPr>
                  <w:r>
                    <w:rPr>
                      <w:rFonts w:ascii="仿宋_GB2312" w:hAnsi="仿宋_GB2312" w:cs="仿宋_GB2312" w:eastAsia="仿宋_GB2312"/>
                      <w:sz w:val="21"/>
                      <w:color w:val="000000"/>
                    </w:rPr>
                    <w:t>性能特点：1、 应用广：撒布粗盐、细盐、除冰剂、干沙、特种融雪剂等功能。</w:t>
                  </w:r>
                  <w:r>
                    <w:rPr>
                      <w:rFonts w:ascii="仿宋_GB2312" w:hAnsi="仿宋_GB2312" w:cs="仿宋_GB2312" w:eastAsia="仿宋_GB2312"/>
                      <w:sz w:val="21"/>
                      <w:color w:val="000000"/>
                    </w:rPr>
                    <w:t>2、撒布均匀：撒布量、撒布宽度可调节。</w:t>
                  </w:r>
                  <w:r>
                    <w:rPr>
                      <w:rFonts w:ascii="仿宋_GB2312" w:hAnsi="仿宋_GB2312" w:cs="仿宋_GB2312" w:eastAsia="仿宋_GB2312"/>
                      <w:sz w:val="21"/>
                      <w:color w:val="000000"/>
                    </w:rPr>
                    <w:t>3、高强防腐：高强碳结钢板，特种防腐处理。</w:t>
                  </w:r>
                  <w:r>
                    <w:rPr>
                      <w:rFonts w:ascii="仿宋_GB2312" w:hAnsi="仿宋_GB2312" w:cs="仿宋_GB2312" w:eastAsia="仿宋_GB2312"/>
                      <w:sz w:val="21"/>
                      <w:color w:val="000000"/>
                    </w:rPr>
                    <w:t>4、装卸方便：整机采用可拆卸专用升降支撑系统，便于非作业状态存放。</w:t>
                  </w:r>
                  <w:r>
                    <w:rPr>
                      <w:rFonts w:ascii="仿宋_GB2312" w:hAnsi="仿宋_GB2312" w:cs="仿宋_GB2312" w:eastAsia="仿宋_GB2312"/>
                      <w:sz w:val="21"/>
                      <w:color w:val="000000"/>
                    </w:rPr>
                    <w:t>5、维护简便：可拆、可调的抛盘机构，便于安装、清洁。</w:t>
                  </w:r>
                  <w:r>
                    <w:rPr>
                      <w:rFonts w:ascii="仿宋_GB2312" w:hAnsi="仿宋_GB2312" w:cs="仿宋_GB2312" w:eastAsia="仿宋_GB2312"/>
                      <w:sz w:val="21"/>
                      <w:color w:val="000000"/>
                    </w:rPr>
                    <w:t>6、粒料均匀：撒布机安装过滤网，可减少大颗粒或杂物进入设备，保证设备、行人和车辆安全。</w:t>
                  </w:r>
                  <w:r>
                    <w:rPr>
                      <w:rFonts w:ascii="仿宋_GB2312" w:hAnsi="仿宋_GB2312" w:cs="仿宋_GB2312" w:eastAsia="仿宋_GB2312"/>
                      <w:sz w:val="21"/>
                      <w:color w:val="000000"/>
                    </w:rPr>
                    <w:t>7、结构合理：箱体内特制减压装置、保护设备正常行。箱体采用V型料仓，结构简单可靠，使融雪剂自动落料，出料完全，无残留。</w:t>
                  </w:r>
                  <w:r>
                    <w:rPr>
                      <w:rFonts w:ascii="仿宋_GB2312" w:hAnsi="仿宋_GB2312" w:cs="仿宋_GB2312" w:eastAsia="仿宋_GB2312"/>
                      <w:sz w:val="21"/>
                      <w:color w:val="000000"/>
                    </w:rPr>
                    <w:t>8、性能稳定，质量可靠。采用自带发动机动力，刮板链条结构强制输送，出料均匀可靠，维护方便。</w:t>
                  </w:r>
                </w:p>
                <w:p>
                  <w:pPr>
                    <w:pStyle w:val="null3"/>
                    <w:jc w:val="both"/>
                  </w:pPr>
                  <w:r>
                    <w:rPr>
                      <w:rFonts w:ascii="仿宋_GB2312" w:hAnsi="仿宋_GB2312" w:cs="仿宋_GB2312" w:eastAsia="仿宋_GB2312"/>
                      <w:sz w:val="21"/>
                      <w:color w:val="000000"/>
                    </w:rPr>
                    <w:t>操作简单：启动、停机、撒布全部在驾驶室集成化的控制面板使设备操作方便、安全。</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双排除雪车+3方撒布机</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1、除雪车：外形尺寸：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5775*2060*2500;总质量：≥4495kg；额定载质量：</w:t>
                  </w:r>
                  <w:r>
                    <w:rPr>
                      <w:rFonts w:ascii="仿宋_GB2312" w:hAnsi="仿宋_GB2312" w:cs="仿宋_GB2312" w:eastAsia="仿宋_GB2312"/>
                      <w:sz w:val="21"/>
                      <w:color w:val="000000"/>
                    </w:rPr>
                    <w:t>≥</w:t>
                  </w:r>
                  <w:r>
                    <w:rPr>
                      <w:rFonts w:ascii="仿宋_GB2312" w:hAnsi="仿宋_GB2312" w:cs="仿宋_GB2312" w:eastAsia="仿宋_GB2312"/>
                      <w:sz w:val="21"/>
                      <w:color w:val="000000"/>
                    </w:rPr>
                    <w:t>830kg；整备质量：≥3340kg；轴距：</w:t>
                  </w:r>
                  <w:r>
                    <w:rPr>
                      <w:rFonts w:ascii="仿宋_GB2312" w:hAnsi="仿宋_GB2312" w:cs="仿宋_GB2312" w:eastAsia="仿宋_GB2312"/>
                      <w:sz w:val="21"/>
                      <w:color w:val="000000"/>
                    </w:rPr>
                    <w:t>≥</w:t>
                  </w:r>
                  <w:r>
                    <w:rPr>
                      <w:rFonts w:ascii="仿宋_GB2312" w:hAnsi="仿宋_GB2312" w:cs="仿宋_GB2312" w:eastAsia="仿宋_GB2312"/>
                      <w:sz w:val="21"/>
                      <w:color w:val="000000"/>
                    </w:rPr>
                    <w:t>3360mm；轴荷：</w:t>
                  </w:r>
                  <w:r>
                    <w:rPr>
                      <w:rFonts w:ascii="仿宋_GB2312" w:hAnsi="仿宋_GB2312" w:cs="仿宋_GB2312" w:eastAsia="仿宋_GB2312"/>
                      <w:sz w:val="21"/>
                      <w:color w:val="000000"/>
                    </w:rPr>
                    <w:t>≥</w:t>
                  </w:r>
                  <w:r>
                    <w:rPr>
                      <w:rFonts w:ascii="仿宋_GB2312" w:hAnsi="仿宋_GB2312" w:cs="仿宋_GB2312" w:eastAsia="仿宋_GB2312"/>
                      <w:sz w:val="21"/>
                      <w:color w:val="000000"/>
                    </w:rPr>
                    <w:t>1725/2770kg；轴数：2；轮距（前/后）：</w:t>
                  </w:r>
                  <w:r>
                    <w:rPr>
                      <w:rFonts w:ascii="仿宋_GB2312" w:hAnsi="仿宋_GB2312" w:cs="仿宋_GB2312" w:eastAsia="仿宋_GB2312"/>
                      <w:sz w:val="21"/>
                      <w:color w:val="000000"/>
                    </w:rPr>
                    <w:t>≥</w:t>
                  </w:r>
                  <w:r>
                    <w:rPr>
                      <w:rFonts w:ascii="仿宋_GB2312" w:hAnsi="仿宋_GB2312" w:cs="仿宋_GB2312" w:eastAsia="仿宋_GB2312"/>
                      <w:sz w:val="21"/>
                      <w:color w:val="000000"/>
                    </w:rPr>
                    <w:t>1385mm；发动机功率：≥85kw；排量：≥2892ml；排放标准：GB17691-2018国VI；最高车速（km/h）：</w:t>
                  </w:r>
                  <w:r>
                    <w:rPr>
                      <w:rFonts w:ascii="仿宋_GB2312" w:hAnsi="仿宋_GB2312" w:cs="仿宋_GB2312" w:eastAsia="仿宋_GB2312"/>
                      <w:sz w:val="21"/>
                      <w:color w:val="000000"/>
                    </w:rPr>
                    <w:t>≥</w:t>
                  </w:r>
                  <w:r>
                    <w:rPr>
                      <w:rFonts w:ascii="仿宋_GB2312" w:hAnsi="仿宋_GB2312" w:cs="仿宋_GB2312" w:eastAsia="仿宋_GB2312"/>
                      <w:sz w:val="21"/>
                      <w:color w:val="000000"/>
                    </w:rPr>
                    <w:t>100；燃油种类：柴油；钢板弹簧片数（片）7/4+6。</w:t>
                  </w:r>
                </w:p>
                <w:p>
                  <w:pPr>
                    <w:pStyle w:val="null3"/>
                    <w:jc w:val="both"/>
                  </w:pPr>
                  <w:r>
                    <w:rPr>
                      <w:rFonts w:ascii="仿宋_GB2312" w:hAnsi="仿宋_GB2312" w:cs="仿宋_GB2312" w:eastAsia="仿宋_GB2312"/>
                      <w:sz w:val="21"/>
                      <w:color w:val="000000"/>
                    </w:rPr>
                    <w:t>2、撒布机：容积（m3）：</w:t>
                  </w:r>
                  <w:r>
                    <w:rPr>
                      <w:rFonts w:ascii="仿宋_GB2312" w:hAnsi="仿宋_GB2312" w:cs="仿宋_GB2312" w:eastAsia="仿宋_GB2312"/>
                      <w:sz w:val="21"/>
                      <w:color w:val="000000"/>
                    </w:rPr>
                    <w:t>≥</w:t>
                  </w:r>
                  <w:r>
                    <w:rPr>
                      <w:rFonts w:ascii="仿宋_GB2312" w:hAnsi="仿宋_GB2312" w:cs="仿宋_GB2312" w:eastAsia="仿宋_GB2312"/>
                      <w:sz w:val="21"/>
                      <w:color w:val="000000"/>
                    </w:rPr>
                    <w:t>3；箱体尺寸：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2600*2060*400mm；材质：碳钢</w:t>
                  </w:r>
                  <w:r>
                    <w:rPr>
                      <w:rFonts w:ascii="仿宋_GB2312" w:hAnsi="仿宋_GB2312" w:cs="仿宋_GB2312" w:eastAsia="仿宋_GB2312"/>
                      <w:sz w:val="21"/>
                      <w:color w:val="000000"/>
                    </w:rPr>
                    <w:t>≥</w:t>
                  </w:r>
                  <w:r>
                    <w:rPr>
                      <w:rFonts w:ascii="仿宋_GB2312" w:hAnsi="仿宋_GB2312" w:cs="仿宋_GB2312" w:eastAsia="仿宋_GB2312"/>
                      <w:sz w:val="21"/>
                      <w:color w:val="000000"/>
                    </w:rPr>
                    <w:t>4mm，撒布宽度：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2-14m，撒盐量：</w:t>
                  </w:r>
                  <w:r>
                    <w:rPr>
                      <w:rFonts w:ascii="仿宋_GB2312" w:hAnsi="仿宋_GB2312" w:cs="仿宋_GB2312" w:eastAsia="仿宋_GB2312"/>
                      <w:sz w:val="21"/>
                      <w:color w:val="000000"/>
                    </w:rPr>
                    <w:t>≥</w:t>
                  </w:r>
                  <w:r>
                    <w:rPr>
                      <w:rFonts w:ascii="仿宋_GB2312" w:hAnsi="仿宋_GB2312" w:cs="仿宋_GB2312" w:eastAsia="仿宋_GB2312"/>
                      <w:sz w:val="21"/>
                      <w:color w:val="000000"/>
                    </w:rPr>
                    <w:t>20-200g/m2（可调），输料形式：刮板；撒布机甩盘材质：不锈钢；撒布盘直径：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350mm，作业速度：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-20km/h，控制方式：驾驶室有线遥控；装料均匀：撒布机安装过滤网，可减少大颗粒或杂物进入设备，保证设备、行人和车辆安全；装卸方便：撒布机采用可拆卸专用升降支撑系统，便于非作业状态存放；结构合理：撒布机采用V型料仓，结构简单可靠，使融雪剂自动落料，出料完全，无残留。</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除雪铲</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2500*1500*1200；左右偏转角度：±30°；重量：</w:t>
                  </w:r>
                  <w:r>
                    <w:rPr>
                      <w:rFonts w:ascii="仿宋_GB2312" w:hAnsi="仿宋_GB2312" w:cs="仿宋_GB2312" w:eastAsia="仿宋_GB2312"/>
                      <w:sz w:val="21"/>
                      <w:color w:val="000000"/>
                    </w:rPr>
                    <w:t>≥</w:t>
                  </w:r>
                  <w:r>
                    <w:rPr>
                      <w:rFonts w:ascii="仿宋_GB2312" w:hAnsi="仿宋_GB2312" w:cs="仿宋_GB2312" w:eastAsia="仿宋_GB2312"/>
                      <w:sz w:val="21"/>
                      <w:color w:val="000000"/>
                    </w:rPr>
                    <w:t>320kg，除雪铲宽：</w:t>
                  </w:r>
                  <w:r>
                    <w:rPr>
                      <w:rFonts w:ascii="仿宋_GB2312" w:hAnsi="仿宋_GB2312" w:cs="仿宋_GB2312" w:eastAsia="仿宋_GB2312"/>
                      <w:sz w:val="21"/>
                      <w:color w:val="000000"/>
                    </w:rPr>
                    <w:t>≥</w:t>
                  </w:r>
                  <w:r>
                    <w:rPr>
                      <w:rFonts w:ascii="仿宋_GB2312" w:hAnsi="仿宋_GB2312" w:cs="仿宋_GB2312" w:eastAsia="仿宋_GB2312"/>
                      <w:sz w:val="21"/>
                      <w:color w:val="000000"/>
                    </w:rPr>
                    <w:t>2500mm，除雪宽度：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2160-2500mm，作业速度：15-50km/h，避障高度：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260mm，除雪厚度：≤100mm，除雪功率：≥90%，铲刃材质：NM450，液压系统：直流微型液压动力单元，避障方式：除雪铲整体翻转避障；匹配车型：适用拖拉机、洒水车、自卸车、箱式货车等各种车型；自动避障：除雪板上部为整体式，避让功能采用整体式翻转结构，当除雪铲铲刀任意一点遇到障碍均可通过，能有效地保护除雪铲及车辆的安全。</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雪滚</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3520*2220*1650mm，除雪宽度：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2600-3000mm，作业速度：5-25km/h，左右最大偏摆角度，±30°；升降高度：≥300，工作转速：≥260r/min；柴油发动机：国四；发动机额定功率kw/转速r/min：</w:t>
                  </w:r>
                  <w:r>
                    <w:rPr>
                      <w:rFonts w:ascii="仿宋_GB2312" w:hAnsi="仿宋_GB2312" w:cs="仿宋_GB2312" w:eastAsia="仿宋_GB2312"/>
                      <w:sz w:val="21"/>
                      <w:color w:val="000000"/>
                    </w:rPr>
                    <w:t>≥</w:t>
                  </w:r>
                  <w:r>
                    <w:rPr>
                      <w:rFonts w:ascii="仿宋_GB2312" w:hAnsi="仿宋_GB2312" w:cs="仿宋_GB2312" w:eastAsia="仿宋_GB2312"/>
                      <w:sz w:val="21"/>
                      <w:color w:val="000000"/>
                    </w:rPr>
                    <w:t>39.2/2400，最大除雪厚度：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150mm，除雪滚刷宽：</w:t>
                  </w:r>
                  <w:r>
                    <w:rPr>
                      <w:rFonts w:ascii="仿宋_GB2312" w:hAnsi="仿宋_GB2312" w:cs="仿宋_GB2312" w:eastAsia="仿宋_GB2312"/>
                      <w:sz w:val="21"/>
                      <w:color w:val="000000"/>
                    </w:rPr>
                    <w:t>≥</w:t>
                  </w:r>
                  <w:r>
                    <w:rPr>
                      <w:rFonts w:ascii="仿宋_GB2312" w:hAnsi="仿宋_GB2312" w:cs="仿宋_GB2312" w:eastAsia="仿宋_GB2312"/>
                      <w:sz w:val="21"/>
                      <w:color w:val="000000"/>
                    </w:rPr>
                    <w:t>3000mm，刷片厚度：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50mm，刷毛材质：PP+钢丝，匹配车型：50型及以上装载机、18t及以上重卡。性能优越：滚刷整体采用框架结构，强度高，可靠性高；安装拆卸方便：动力强劲。</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皮卡雪滚</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外形尺寸：</w:t>
                  </w:r>
                  <w:r>
                    <w:rPr>
                      <w:rFonts w:ascii="仿宋_GB2312" w:hAnsi="仿宋_GB2312" w:cs="仿宋_GB2312" w:eastAsia="仿宋_GB2312"/>
                      <w:sz w:val="21"/>
                      <w:color w:val="000000"/>
                    </w:rPr>
                    <w:t>≥</w:t>
                  </w:r>
                  <w:r>
                    <w:rPr>
                      <w:rFonts w:ascii="仿宋_GB2312" w:hAnsi="仿宋_GB2312" w:cs="仿宋_GB2312" w:eastAsia="仿宋_GB2312"/>
                      <w:sz w:val="21"/>
                      <w:color w:val="000000"/>
                    </w:rPr>
                    <w:t>2049*1795*1194，除雪宽度：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1780mm，左右偏转角度：±30°；左右浮动角度：±5°；滚刷转速：≥180rpm，刷毛直径：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ф620mm，刷毛型式：波浪形塑料钢丝混合毛刷，液压系统额定压：</w:t>
                  </w:r>
                  <w:r>
                    <w:rPr>
                      <w:rFonts w:ascii="仿宋_GB2312" w:hAnsi="仿宋_GB2312" w:cs="仿宋_GB2312" w:eastAsia="仿宋_GB2312"/>
                      <w:sz w:val="21"/>
                      <w:color w:val="000000"/>
                    </w:rPr>
                    <w:t>≥</w:t>
                  </w:r>
                  <w:r>
                    <w:rPr>
                      <w:rFonts w:ascii="仿宋_GB2312" w:hAnsi="仿宋_GB2312" w:cs="仿宋_GB2312" w:eastAsia="仿宋_GB2312"/>
                      <w:sz w:val="21"/>
                      <w:color w:val="000000"/>
                    </w:rPr>
                    <w:t>16MPa，支持轮胎：实心轮胎，直径：ф</w:t>
                  </w:r>
                  <w:r>
                    <w:rPr>
                      <w:rFonts w:ascii="仿宋_GB2312" w:hAnsi="仿宋_GB2312" w:cs="仿宋_GB2312" w:eastAsia="仿宋_GB2312"/>
                      <w:sz w:val="21"/>
                      <w:color w:val="000000"/>
                    </w:rPr>
                    <w:t>≥</w:t>
                  </w:r>
                  <w:r>
                    <w:rPr>
                      <w:rFonts w:ascii="仿宋_GB2312" w:hAnsi="仿宋_GB2312" w:cs="仿宋_GB2312" w:eastAsia="仿宋_GB2312"/>
                      <w:sz w:val="21"/>
                      <w:color w:val="000000"/>
                    </w:rPr>
                    <w:t>250mm。液压油泵：齿轮泵/排量：</w:t>
                  </w:r>
                  <w:r>
                    <w:rPr>
                      <w:rFonts w:ascii="仿宋_GB2312" w:hAnsi="仿宋_GB2312" w:cs="仿宋_GB2312" w:eastAsia="仿宋_GB2312"/>
                      <w:sz w:val="21"/>
                      <w:color w:val="000000"/>
                    </w:rPr>
                    <w:t>≥</w:t>
                  </w:r>
                  <w:r>
                    <w:rPr>
                      <w:rFonts w:ascii="仿宋_GB2312" w:hAnsi="仿宋_GB2312" w:cs="仿宋_GB2312" w:eastAsia="仿宋_GB2312"/>
                      <w:sz w:val="21"/>
                      <w:color w:val="000000"/>
                    </w:rPr>
                    <w:t>18L/转速：</w:t>
                  </w:r>
                  <w:r>
                    <w:rPr>
                      <w:rFonts w:ascii="仿宋_GB2312" w:hAnsi="仿宋_GB2312" w:cs="仿宋_GB2312" w:eastAsia="仿宋_GB2312"/>
                      <w:sz w:val="21"/>
                      <w:color w:val="000000"/>
                    </w:rPr>
                    <w:t>≥</w:t>
                  </w:r>
                  <w:r>
                    <w:rPr>
                      <w:rFonts w:ascii="仿宋_GB2312" w:hAnsi="仿宋_GB2312" w:cs="仿宋_GB2312" w:eastAsia="仿宋_GB2312"/>
                      <w:sz w:val="21"/>
                      <w:color w:val="000000"/>
                    </w:rPr>
                    <w:t>600-4000r/min/额定压力26MPa；液压马达：摆线马达/排量</w:t>
                  </w:r>
                  <w:r>
                    <w:rPr>
                      <w:rFonts w:ascii="仿宋_GB2312" w:hAnsi="仿宋_GB2312" w:cs="仿宋_GB2312" w:eastAsia="仿宋_GB2312"/>
                      <w:sz w:val="21"/>
                      <w:color w:val="000000"/>
                    </w:rPr>
                    <w:t>≥</w:t>
                  </w:r>
                  <w:r>
                    <w:rPr>
                      <w:rFonts w:ascii="仿宋_GB2312" w:hAnsi="仿宋_GB2312" w:cs="仿宋_GB2312" w:eastAsia="仿宋_GB2312"/>
                      <w:sz w:val="21"/>
                      <w:color w:val="000000"/>
                    </w:rPr>
                    <w:t>310ml；散热器：功率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15kw智能温控；液压邮箱：</w:t>
                  </w:r>
                  <w:r>
                    <w:rPr>
                      <w:rFonts w:ascii="仿宋_GB2312" w:hAnsi="仿宋_GB2312" w:cs="仿宋_GB2312" w:eastAsia="仿宋_GB2312"/>
                      <w:sz w:val="21"/>
                      <w:color w:val="000000"/>
                    </w:rPr>
                    <w:t>≥</w:t>
                  </w:r>
                  <w:r>
                    <w:rPr>
                      <w:rFonts w:ascii="仿宋_GB2312" w:hAnsi="仿宋_GB2312" w:cs="仿宋_GB2312" w:eastAsia="仿宋_GB2312"/>
                      <w:sz w:val="21"/>
                      <w:color w:val="000000"/>
                    </w:rPr>
                    <w:t>60L；液压缸：额定压力</w:t>
                  </w:r>
                  <w:r>
                    <w:rPr>
                      <w:rFonts w:ascii="仿宋_GB2312" w:hAnsi="仿宋_GB2312" w:cs="仿宋_GB2312" w:eastAsia="仿宋_GB2312"/>
                      <w:sz w:val="21"/>
                      <w:color w:val="000000"/>
                    </w:rPr>
                    <w:t>≥</w:t>
                  </w:r>
                  <w:r>
                    <w:rPr>
                      <w:rFonts w:ascii="仿宋_GB2312" w:hAnsi="仿宋_GB2312" w:cs="仿宋_GB2312" w:eastAsia="仿宋_GB2312"/>
                      <w:sz w:val="21"/>
                      <w:color w:val="000000"/>
                    </w:rPr>
                    <w:t>16MPa。</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手扶式雪</w:t>
                  </w:r>
                </w:p>
                <w:p>
                  <w:pPr>
                    <w:pStyle w:val="null3"/>
                    <w:jc w:val="center"/>
                  </w:pPr>
                  <w:r>
                    <w:rPr>
                      <w:rFonts w:ascii="仿宋_GB2312" w:hAnsi="仿宋_GB2312" w:cs="仿宋_GB2312" w:eastAsia="仿宋_GB2312"/>
                      <w:sz w:val="21"/>
                    </w:rPr>
                    <w:t>滚刷</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规格：</w:t>
                  </w:r>
                  <w:r>
                    <w:rPr>
                      <w:rFonts w:ascii="仿宋_GB2312" w:hAnsi="仿宋_GB2312" w:cs="仿宋_GB2312" w:eastAsia="仿宋_GB2312"/>
                      <w:sz w:val="21"/>
                      <w:color w:val="000000"/>
                    </w:rPr>
                    <w:t>≥</w:t>
                  </w:r>
                  <w:r>
                    <w:rPr>
                      <w:rFonts w:ascii="仿宋_GB2312" w:hAnsi="仿宋_GB2312" w:cs="仿宋_GB2312" w:eastAsia="仿宋_GB2312"/>
                      <w:sz w:val="21"/>
                      <w:color w:val="000000"/>
                    </w:rPr>
                    <w:t>196*114*87</w:t>
                  </w:r>
                </w:p>
                <w:p>
                  <w:pPr>
                    <w:pStyle w:val="null3"/>
                    <w:jc w:val="both"/>
                  </w:pPr>
                  <w:r>
                    <w:rPr>
                      <w:rFonts w:ascii="仿宋_GB2312" w:hAnsi="仿宋_GB2312" w:cs="仿宋_GB2312" w:eastAsia="仿宋_GB2312"/>
                      <w:sz w:val="21"/>
                      <w:color w:val="000000"/>
                    </w:rPr>
                    <w:t>动力：</w:t>
                  </w:r>
                  <w:r>
                    <w:rPr>
                      <w:rFonts w:ascii="仿宋_GB2312" w:hAnsi="仿宋_GB2312" w:cs="仿宋_GB2312" w:eastAsia="仿宋_GB2312"/>
                      <w:sz w:val="21"/>
                      <w:color w:val="000000"/>
                    </w:rPr>
                    <w:t>≥</w:t>
                  </w:r>
                  <w:r>
                    <w:rPr>
                      <w:rFonts w:ascii="仿宋_GB2312" w:hAnsi="仿宋_GB2312" w:cs="仿宋_GB2312" w:eastAsia="仿宋_GB2312"/>
                      <w:sz w:val="21"/>
                      <w:color w:val="000000"/>
                    </w:rPr>
                    <w:t>13马力</w:t>
                  </w:r>
                </w:p>
                <w:p>
                  <w:pPr>
                    <w:pStyle w:val="null3"/>
                    <w:jc w:val="both"/>
                  </w:pPr>
                  <w:r>
                    <w:rPr>
                      <w:rFonts w:ascii="仿宋_GB2312" w:hAnsi="仿宋_GB2312" w:cs="仿宋_GB2312" w:eastAsia="仿宋_GB2312"/>
                      <w:sz w:val="21"/>
                      <w:color w:val="000000"/>
                    </w:rPr>
                    <w:t>启动方式：手启动+电启动</w:t>
                  </w:r>
                </w:p>
                <w:p>
                  <w:pPr>
                    <w:pStyle w:val="null3"/>
                    <w:jc w:val="both"/>
                  </w:pPr>
                  <w:r>
                    <w:rPr>
                      <w:rFonts w:ascii="仿宋_GB2312" w:hAnsi="仿宋_GB2312" w:cs="仿宋_GB2312" w:eastAsia="仿宋_GB2312"/>
                      <w:sz w:val="21"/>
                      <w:color w:val="000000"/>
                    </w:rPr>
                    <w:t>重量：≤256KG</w:t>
                  </w:r>
                </w:p>
                <w:p>
                  <w:pPr>
                    <w:pStyle w:val="null3"/>
                    <w:jc w:val="both"/>
                  </w:pPr>
                  <w:r>
                    <w:rPr>
                      <w:rFonts w:ascii="仿宋_GB2312" w:hAnsi="仿宋_GB2312" w:cs="仿宋_GB2312" w:eastAsia="仿宋_GB2312"/>
                      <w:sz w:val="21"/>
                      <w:color w:val="000000"/>
                    </w:rPr>
                    <w:t>行走档位：3个前进档与3个倒挡</w:t>
                  </w:r>
                </w:p>
                <w:p>
                  <w:pPr>
                    <w:pStyle w:val="null3"/>
                    <w:jc w:val="both"/>
                  </w:pPr>
                  <w:r>
                    <w:rPr>
                      <w:rFonts w:ascii="仿宋_GB2312" w:hAnsi="仿宋_GB2312" w:cs="仿宋_GB2312" w:eastAsia="仿宋_GB2312"/>
                      <w:sz w:val="21"/>
                      <w:color w:val="000000"/>
                    </w:rPr>
                    <w:t>手把：高度可调，左右可调，并可转动180度。</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抛雪头</w:t>
                  </w:r>
                </w:p>
              </w:tc>
              <w:tc>
                <w:tcPr>
                  <w:tcW w:type="dxa" w:w="13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工作宽度：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100cm</w:t>
                  </w:r>
                </w:p>
                <w:p>
                  <w:pPr>
                    <w:pStyle w:val="null3"/>
                    <w:jc w:val="both"/>
                  </w:pPr>
                  <w:r>
                    <w:rPr>
                      <w:rFonts w:ascii="仿宋_GB2312" w:hAnsi="仿宋_GB2312" w:cs="仿宋_GB2312" w:eastAsia="仿宋_GB2312"/>
                      <w:sz w:val="21"/>
                      <w:color w:val="000000"/>
                    </w:rPr>
                    <w:t>除雪厚度：</w:t>
                  </w:r>
                  <w:r>
                    <w:rPr>
                      <w:rFonts w:ascii="仿宋_GB2312" w:hAnsi="仿宋_GB2312" w:cs="仿宋_GB2312" w:eastAsia="仿宋_GB2312"/>
                      <w:sz w:val="21"/>
                      <w:color w:val="000000"/>
                    </w:rPr>
                    <w:t>≥</w:t>
                  </w:r>
                  <w:r>
                    <w:rPr>
                      <w:rFonts w:ascii="仿宋_GB2312" w:hAnsi="仿宋_GB2312" w:cs="仿宋_GB2312" w:eastAsia="仿宋_GB2312"/>
                      <w:sz w:val="21"/>
                      <w:color w:val="000000"/>
                    </w:rPr>
                    <w:t>60cm</w:t>
                  </w:r>
                </w:p>
                <w:p>
                  <w:pPr>
                    <w:pStyle w:val="null3"/>
                    <w:jc w:val="both"/>
                  </w:pPr>
                  <w:r>
                    <w:rPr>
                      <w:rFonts w:ascii="仿宋_GB2312" w:hAnsi="仿宋_GB2312" w:cs="仿宋_GB2312" w:eastAsia="仿宋_GB2312"/>
                      <w:sz w:val="21"/>
                      <w:color w:val="000000"/>
                    </w:rPr>
                    <w:t>进雪筒直径：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42cm</w:t>
                  </w:r>
                </w:p>
                <w:p>
                  <w:pPr>
                    <w:pStyle w:val="null3"/>
                    <w:jc w:val="both"/>
                  </w:pPr>
                  <w:r>
                    <w:rPr>
                      <w:rFonts w:ascii="仿宋_GB2312" w:hAnsi="仿宋_GB2312" w:cs="仿宋_GB2312" w:eastAsia="仿宋_GB2312"/>
                      <w:sz w:val="21"/>
                      <w:color w:val="000000"/>
                    </w:rPr>
                    <w:t>绞龙刀片直径：</w:t>
                  </w:r>
                  <w:r>
                    <w:rPr>
                      <w:rFonts w:ascii="仿宋_GB2312" w:hAnsi="仿宋_GB2312" w:cs="仿宋_GB2312" w:eastAsia="仿宋_GB2312"/>
                      <w:sz w:val="21"/>
                      <w:color w:val="000000"/>
                    </w:rPr>
                    <w:t>≥</w:t>
                  </w:r>
                  <w:r>
                    <w:rPr>
                      <w:rFonts w:ascii="仿宋_GB2312" w:hAnsi="仿宋_GB2312" w:cs="仿宋_GB2312" w:eastAsia="仿宋_GB2312"/>
                      <w:sz w:val="21"/>
                      <w:color w:val="000000"/>
                    </w:rPr>
                    <w:t>40cm</w:t>
                  </w:r>
                </w:p>
                <w:p>
                  <w:pPr>
                    <w:pStyle w:val="null3"/>
                    <w:jc w:val="both"/>
                  </w:pPr>
                  <w:r>
                    <w:rPr>
                      <w:rFonts w:ascii="仿宋_GB2312" w:hAnsi="仿宋_GB2312" w:cs="仿宋_GB2312" w:eastAsia="仿宋_GB2312"/>
                      <w:sz w:val="21"/>
                      <w:color w:val="000000"/>
                    </w:rPr>
                    <w:t>包装:</w:t>
                  </w:r>
                  <w:r>
                    <w:rPr>
                      <w:rFonts w:ascii="仿宋_GB2312" w:hAnsi="仿宋_GB2312" w:cs="仿宋_GB2312" w:eastAsia="仿宋_GB2312"/>
                      <w:sz w:val="21"/>
                      <w:color w:val="000000"/>
                    </w:rPr>
                    <w:t>≥</w:t>
                  </w:r>
                  <w:r>
                    <w:rPr>
                      <w:rFonts w:ascii="仿宋_GB2312" w:hAnsi="仿宋_GB2312" w:cs="仿宋_GB2312" w:eastAsia="仿宋_GB2312"/>
                      <w:sz w:val="21"/>
                      <w:color w:val="000000"/>
                    </w:rPr>
                    <w:t>103*72*62cm</w:t>
                  </w:r>
                </w:p>
                <w:p>
                  <w:pPr>
                    <w:pStyle w:val="null3"/>
                    <w:jc w:val="both"/>
                  </w:pPr>
                  <w:r>
                    <w:rPr>
                      <w:rFonts w:ascii="仿宋_GB2312" w:hAnsi="仿宋_GB2312" w:cs="仿宋_GB2312" w:eastAsia="仿宋_GB2312"/>
                      <w:sz w:val="21"/>
                      <w:color w:val="000000"/>
                    </w:rPr>
                    <w:t>净重：</w:t>
                  </w:r>
                  <w:r>
                    <w:rPr>
                      <w:rFonts w:ascii="仿宋_GB2312" w:hAnsi="仿宋_GB2312" w:cs="仿宋_GB2312" w:eastAsia="仿宋_GB2312"/>
                      <w:sz w:val="21"/>
                      <w:color w:val="000000"/>
                    </w:rPr>
                    <w:t>≤</w:t>
                  </w:r>
                  <w:r>
                    <w:rPr>
                      <w:rFonts w:ascii="仿宋_GB2312" w:hAnsi="仿宋_GB2312" w:cs="仿宋_GB2312" w:eastAsia="仿宋_GB2312"/>
                      <w:sz w:val="21"/>
                      <w:color w:val="000000"/>
                    </w:rPr>
                    <w:t>79kg</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c>
                <w:tcPr>
                  <w:tcW w:type="dxa" w:w="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合同签订之日起30日历天。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完成交付，采购人验收合格（支付方式双方合同签订时具体约定）</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合同执行中发生争议的，当事人双方应协解决。协商达不成一致时，可向同级行政仲裁机关申请仲裁。</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依法缴纳税收和社会保障资金相关材料（磋商截止日前六个月内任意一个月）。</w:t>
            </w:r>
          </w:p>
        </w:tc>
        <w:tc>
          <w:tcPr>
            <w:tcW w:type="dxa" w:w="3322"/>
          </w:tcPr>
          <w:p>
            <w:pPr>
              <w:pStyle w:val="null3"/>
            </w:pPr>
            <w:r>
              <w:rPr>
                <w:rFonts w:ascii="仿宋_GB2312" w:hAnsi="仿宋_GB2312" w:cs="仿宋_GB2312" w:eastAsia="仿宋_GB2312"/>
              </w:rPr>
              <w:t>依法缴纳税收和社会保障资金相关材料（磋商截止日前六个月内任意一个月）。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法定代表人直接参加磋商的，须出具法人身份证；授权代表参加磋商的，须出具授权书及授权代表身份证</w:t>
            </w:r>
          </w:p>
        </w:tc>
        <w:tc>
          <w:tcPr>
            <w:tcW w:type="dxa" w:w="3322"/>
          </w:tcPr>
          <w:p>
            <w:pPr>
              <w:pStyle w:val="null3"/>
            </w:pPr>
            <w:r>
              <w:rPr>
                <w:rFonts w:ascii="仿宋_GB2312" w:hAnsi="仿宋_GB2312" w:cs="仿宋_GB2312" w:eastAsia="仿宋_GB2312"/>
              </w:rPr>
              <w:t>法定代表人直接参加磋商的，须出具法人身份证；授权代表参加磋商的，须出具授权书及授权代表身份证。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符合“磋商响应文件格式”要求。</w:t>
            </w:r>
          </w:p>
        </w:tc>
        <w:tc>
          <w:tcPr>
            <w:tcW w:type="dxa" w:w="1661"/>
          </w:tcPr>
          <w:p>
            <w:pPr>
              <w:pStyle w:val="null3"/>
            </w:pPr>
            <w:r>
              <w:rPr>
                <w:rFonts w:ascii="仿宋_GB2312" w:hAnsi="仿宋_GB2312" w:cs="仿宋_GB2312" w:eastAsia="仿宋_GB2312"/>
              </w:rPr>
              <w:t>响应文件封面 技术方案.docx 产品技术参数表 分项报价表.docx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交货期及质保期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技术方案.docx 产品技术参数表 分项报价表.docx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供应商有具体的①备货、供货安排②供货进度保证措施 ③货物安全保障措施；评审标准：方案各部分内容全面详细、阐述条理清晰详尽、符合本项目采购需求得9分；评审内容每缺一项扣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产品标准及合法来源渠道</w:t>
            </w:r>
          </w:p>
        </w:tc>
        <w:tc>
          <w:tcPr>
            <w:tcW w:type="dxa" w:w="2492"/>
          </w:tcPr>
          <w:p>
            <w:pPr>
              <w:pStyle w:val="null3"/>
            </w:pPr>
            <w:r>
              <w:rPr>
                <w:rFonts w:ascii="仿宋_GB2312" w:hAnsi="仿宋_GB2312" w:cs="仿宋_GB2312" w:eastAsia="仿宋_GB2312"/>
              </w:rPr>
              <w:t>所投产品应符合国家行业有关标准及产品的合法来源渠道有追溯提供相关证明文件。符合国家标准证明文件指：检测报告、官网截图及国家强制认证等；产品的合法来源证明文件指：销售协议、代理协议、原厂授权等。评审标准:每项证明文件齐全无遗漏并完全满足本项目采购需求得10分，评审内容每缺一项扣1分，扣完为止；评审内容有一项内容缺陷（缺陷是指：① 每项证明文件不齐全、有遗漏②不符合采购需求。根据提供情况每缺一项0.5扣分。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供应商针对本项目的①质量保证措施②物流保障措施③运输方案④管理制度和协调方案⑤项目验收方案⑥项目团队配备方案；评审标准：方案各部分内容全面详细、阐述条理清晰详尽、符合本项目采购需求得18分；评审内容每缺一项扣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提的①故障突发事件的处理方案②故障响应的时效性保证措施；评审标准：方案各部分内容全面详细、阐述条理清晰详尽、符合本项目采购需求得6分；评审内容每缺一项扣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包含：①培训计划②培训人员安排；评审标准：方案各部分内容全面详细、阐述条理清晰详尽、可行性高、符合本项目采购需求得6分；评审内容每缺一项扣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提出具体的售后服务方案，方案内容包含：①售后服务机构地址，电话联系人②售后服务人员组织③售后服务保障措施④产品交付采购方后出现质量问题的响应时间⑤供货不及时、出现残次品等补货换货解决方案⑥售后服务承诺；评审标准：方案各部分内容全面详细、阐述条理清晰详尽、符合本项目采购需求得15分；评审内容每缺一 项扣2.5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重点问题解决方案</w:t>
            </w:r>
          </w:p>
        </w:tc>
        <w:tc>
          <w:tcPr>
            <w:tcW w:type="dxa" w:w="2492"/>
          </w:tcPr>
          <w:p>
            <w:pPr>
              <w:pStyle w:val="null3"/>
            </w:pPr>
            <w:r>
              <w:rPr>
                <w:rFonts w:ascii="仿宋_GB2312" w:hAnsi="仿宋_GB2312" w:cs="仿宋_GB2312" w:eastAsia="仿宋_GB2312"/>
              </w:rPr>
              <w:t>根据现有重点难点问题， 提出可操作性的对策建议；评审标准：方案各部分内容全面详细、阐述条理清晰详尽、符合本项目采购需求得4分；评审内容缺项4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 供应商提供2023年至今（以合同签订日期为准）类似项目业绩，以合同复印件为准，每一份计0.5分，最多计2分。评审标准：业绩证明材料（以响应文件中提供的合同复印件为准）。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详见附件：（货物）政 府 采 购 合 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