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版本号：HGMHCG-2026-0820260319001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2025年宜君县农户科学储粮项目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HGMHCG-2026-08</w:t>
      </w:r>
      <w:r>
        <w:br/>
      </w:r>
      <w:r>
        <w:br/>
      </w:r>
      <w:r>
        <w:br/>
      </w:r>
    </w:p>
    <w:p>
      <w:pPr>
        <w:pStyle w:val="null3"/>
        <w:jc w:val="center"/>
        <w:outlineLvl w:val="2"/>
      </w:pPr>
      <w:r>
        <w:rPr>
          <w:rFonts w:ascii="仿宋_GB2312" w:hAnsi="仿宋_GB2312" w:cs="仿宋_GB2312" w:eastAsia="仿宋_GB2312"/>
          <w:sz w:val="28"/>
          <w:b/>
        </w:rPr>
        <w:t>宜君县发展和改革局</w:t>
      </w:r>
    </w:p>
    <w:p>
      <w:pPr>
        <w:pStyle w:val="null3"/>
        <w:jc w:val="center"/>
        <w:outlineLvl w:val="2"/>
      </w:pPr>
      <w:r>
        <w:rPr>
          <w:rFonts w:ascii="仿宋_GB2312" w:hAnsi="仿宋_GB2312" w:cs="仿宋_GB2312" w:eastAsia="仿宋_GB2312"/>
          <w:sz w:val="28"/>
          <w:b/>
        </w:rPr>
        <w:t>陕西恒广茂禾项目管理有限公司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陕西恒广茂禾项目管理有限公司</w:t>
      </w:r>
      <w:r>
        <w:rPr>
          <w:rFonts w:ascii="仿宋_GB2312" w:hAnsi="仿宋_GB2312" w:cs="仿宋_GB2312" w:eastAsia="仿宋_GB2312"/>
        </w:rPr>
        <w:t>（以下简称“代理机构”）受</w:t>
      </w:r>
      <w:r>
        <w:rPr>
          <w:rFonts w:ascii="仿宋_GB2312" w:hAnsi="仿宋_GB2312" w:cs="仿宋_GB2312" w:eastAsia="仿宋_GB2312"/>
        </w:rPr>
        <w:t>宜君县发展和改革局</w:t>
      </w:r>
      <w:r>
        <w:rPr>
          <w:rFonts w:ascii="仿宋_GB2312" w:hAnsi="仿宋_GB2312" w:cs="仿宋_GB2312" w:eastAsia="仿宋_GB2312"/>
        </w:rPr>
        <w:t>委托，拟对</w:t>
      </w:r>
      <w:r>
        <w:rPr>
          <w:rFonts w:ascii="仿宋_GB2312" w:hAnsi="仿宋_GB2312" w:cs="仿宋_GB2312" w:eastAsia="仿宋_GB2312"/>
        </w:rPr>
        <w:t>2025年宜君县农户科学储粮项目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HGMHCG-2026-08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2025年宜君县农户科学储粮项目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2025年宜君县农户科学储粮项目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采购包1（2025年宜君县农户科学储粮项目）：属于专门面向中小企业采购。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3、依法缴纳税收和社会保障资金相关材料（投标截止日前六个月内任意一个月）：依法缴纳税收和社会保障资金相关材料（投标截止日前六个月内任意一个月）。</w:t>
      </w:r>
    </w:p>
    <w:p>
      <w:pPr>
        <w:pStyle w:val="null3"/>
      </w:pPr>
      <w:r>
        <w:rPr>
          <w:rFonts w:ascii="仿宋_GB2312" w:hAnsi="仿宋_GB2312" w:cs="仿宋_GB2312" w:eastAsia="仿宋_GB2312"/>
        </w:rPr>
        <w:t>4、供应商需提供2024或2025年度财务审计报告或提供文件递交截止日前三个月内从基本户银行开具的资信证明：供应商需提供2024或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投标的，须出具法人身份证；授权代表参加投标的，须出具授权书及授权代表身份证：法定代表人直接参加投标的，须出具法人身份证；授权代表参加投标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宜君县发展和改革局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陕西省铜川市宜君县宜阳中街08号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0919-5286264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陕西恒广茂禾项目管理有限公司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陕西省铜川市新区长虹南路山水雅庭6幢1单元301室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15353839221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宜君县发展和改革局</w:t>
      </w:r>
      <w:r>
        <w:rPr>
          <w:rFonts w:ascii="仿宋_GB2312" w:hAnsi="仿宋_GB2312" w:cs="仿宋_GB2312" w:eastAsia="仿宋_GB2312"/>
        </w:rPr>
        <w:t>和</w:t>
      </w:r>
      <w:r>
        <w:rPr>
          <w:rFonts w:ascii="仿宋_GB2312" w:hAnsi="仿宋_GB2312" w:cs="仿宋_GB2312" w:eastAsia="仿宋_GB2312"/>
        </w:rPr>
        <w:t>陕西恒广茂禾项目管理有限公司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宜君县发展和改革局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陕西恒广茂禾项目管理有限公司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宜君县发展和改革局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陕西恒广茂禾项目管理有限公司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达到国家现行技术合格标准。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联系人：黄先生</w:t>
      </w:r>
    </w:p>
    <w:p>
      <w:pPr>
        <w:pStyle w:val="null3"/>
      </w:pPr>
      <w:r>
        <w:rPr>
          <w:rFonts w:ascii="仿宋_GB2312" w:hAnsi="仿宋_GB2312" w:cs="仿宋_GB2312" w:eastAsia="仿宋_GB2312"/>
        </w:rPr>
        <w:t>联系电话：0919-5286264</w:t>
      </w:r>
    </w:p>
    <w:p>
      <w:pPr>
        <w:pStyle w:val="null3"/>
      </w:pPr>
      <w:r>
        <w:rPr>
          <w:rFonts w:ascii="仿宋_GB2312" w:hAnsi="仿宋_GB2312" w:cs="仿宋_GB2312" w:eastAsia="仿宋_GB2312"/>
        </w:rPr>
        <w:t>地址：陕西省铜川市宜君县宜阳中街08号</w:t>
      </w:r>
    </w:p>
    <w:p>
      <w:pPr>
        <w:pStyle w:val="null3"/>
      </w:pPr>
      <w:r>
        <w:rPr>
          <w:rFonts w:ascii="仿宋_GB2312" w:hAnsi="仿宋_GB2312" w:cs="仿宋_GB2312" w:eastAsia="仿宋_GB2312"/>
        </w:rPr>
        <w:t>邮编：727299</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联系电话：15353839221</w:t>
      </w:r>
    </w:p>
    <w:p>
      <w:pPr>
        <w:pStyle w:val="null3"/>
      </w:pPr>
      <w:r>
        <w:rPr>
          <w:rFonts w:ascii="仿宋_GB2312" w:hAnsi="仿宋_GB2312" w:cs="仿宋_GB2312" w:eastAsia="仿宋_GB2312"/>
        </w:rPr>
        <w:t>地址：陕西省铜川市新区长虹南路山水雅庭6幢1单元301室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2025年宜君县农户科学储粮项目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5,848,210.00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2025年宜君县农户科学储粮项目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标的名称：2025年宜君县农户科学储粮项目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一、采购内容</w:t>
            </w:r>
          </w:p>
          <w:p>
            <w:pPr>
              <w:pStyle w:val="null3"/>
              <w:ind w:firstLine="420"/>
              <w:jc w:val="both"/>
            </w:pPr>
            <w:r>
              <w:rPr>
                <w:rFonts w:ascii="仿宋_GB2312" w:hAnsi="仿宋_GB2312" w:cs="仿宋_GB2312" w:eastAsia="仿宋_GB2312"/>
                <w:sz w:val="21"/>
              </w:rPr>
              <w:t>购置科学储粮装具玉米仓1000套</w:t>
            </w:r>
          </w:p>
          <w:p>
            <w:pPr>
              <w:pStyle w:val="null3"/>
              <w:jc w:val="both"/>
            </w:pPr>
            <w:r>
              <w:rPr>
                <w:rFonts w:ascii="仿宋_GB2312" w:hAnsi="仿宋_GB2312" w:cs="仿宋_GB2312" w:eastAsia="仿宋_GB2312"/>
                <w:sz w:val="21"/>
              </w:rPr>
              <w:t>二、技术要求标准（单套粮仓标准）</w:t>
            </w:r>
          </w:p>
          <w:p>
            <w:pPr>
              <w:pStyle w:val="null3"/>
              <w:ind w:firstLine="420"/>
              <w:jc w:val="both"/>
            </w:pPr>
            <w:r>
              <w:rPr>
                <w:rFonts w:ascii="仿宋_GB2312" w:hAnsi="仿宋_GB2312" w:cs="仿宋_GB2312" w:eastAsia="仿宋_GB2312"/>
                <w:sz w:val="21"/>
              </w:rPr>
              <w:t>1、规格：</w:t>
            </w:r>
          </w:p>
          <w:p>
            <w:pPr>
              <w:pStyle w:val="null3"/>
              <w:ind w:firstLine="420"/>
              <w:jc w:val="both"/>
            </w:pPr>
            <w:r>
              <w:rPr>
                <w:rFonts w:ascii="仿宋_GB2312" w:hAnsi="仿宋_GB2312" w:cs="仿宋_GB2312" w:eastAsia="仿宋_GB2312"/>
                <w:sz w:val="21"/>
              </w:rPr>
              <w:t>外形尺寸：长≥5.95m×宽≥2.02m×高≥2.9m（尺寸允许偏差符合GB 50205规定，负偏差不大于-2%）；有效仓储容积：≥33.8立方米；结构形式：装配式型钢骨架+钢板冲孔网防护结构，现场螺栓拼装（骨架型刚类型可选C型刚、槽钢等力学性能相当符合强度要求型材）。</w:t>
            </w:r>
          </w:p>
          <w:p>
            <w:pPr>
              <w:pStyle w:val="null3"/>
              <w:ind w:firstLine="420"/>
              <w:jc w:val="both"/>
            </w:pPr>
            <w:r>
              <w:rPr>
                <w:rFonts w:ascii="仿宋_GB2312" w:hAnsi="仿宋_GB2312" w:cs="仿宋_GB2312" w:eastAsia="仿宋_GB2312"/>
                <w:sz w:val="21"/>
              </w:rPr>
              <w:t>2、主要材料要求</w:t>
            </w:r>
          </w:p>
          <w:p>
            <w:pPr>
              <w:pStyle w:val="null3"/>
              <w:ind w:firstLine="420"/>
              <w:jc w:val="both"/>
            </w:pPr>
            <w:r>
              <w:rPr>
                <w:rFonts w:ascii="仿宋_GB2312" w:hAnsi="仿宋_GB2312" w:cs="仿宋_GB2312" w:eastAsia="仿宋_GB2312"/>
                <w:sz w:val="21"/>
              </w:rPr>
              <w:t>（1）材质：所有钢骨架均采用Q235B及以上材质钢材（符合GB/T700）。</w:t>
            </w:r>
          </w:p>
          <w:p>
            <w:pPr>
              <w:pStyle w:val="null3"/>
              <w:ind w:firstLine="420"/>
              <w:jc w:val="both"/>
            </w:pPr>
            <w:r>
              <w:rPr>
                <w:rFonts w:ascii="仿宋_GB2312" w:hAnsi="仿宋_GB2312" w:cs="仿宋_GB2312" w:eastAsia="仿宋_GB2312"/>
                <w:sz w:val="21"/>
              </w:rPr>
              <w:t>（2）结构：主体骨架由上横梁、中横梁、下横梁、中立柱、左右立柱、活动立柱、仓门及钢板网组装而成。</w:t>
            </w:r>
          </w:p>
          <w:p>
            <w:pPr>
              <w:pStyle w:val="null3"/>
              <w:ind w:firstLine="420"/>
              <w:jc w:val="both"/>
            </w:pPr>
            <w:r>
              <w:rPr>
                <w:rFonts w:ascii="仿宋_GB2312" w:hAnsi="仿宋_GB2312" w:cs="仿宋_GB2312" w:eastAsia="仿宋_GB2312"/>
                <w:sz w:val="21"/>
              </w:rPr>
              <w:t>（3）立柱：采用≥3.0mm厚钢板冷弯成型为C型钢或槽钢（力学性能相当），确保立柱强度达标。</w:t>
            </w:r>
          </w:p>
          <w:p>
            <w:pPr>
              <w:pStyle w:val="null3"/>
              <w:ind w:firstLine="420"/>
              <w:jc w:val="both"/>
            </w:pPr>
            <w:r>
              <w:rPr>
                <w:rFonts w:ascii="仿宋_GB2312" w:hAnsi="仿宋_GB2312" w:cs="仿宋_GB2312" w:eastAsia="仿宋_GB2312"/>
                <w:sz w:val="21"/>
              </w:rPr>
              <w:t>（4）横梁：横梁均采用≥2.5mm厚C型钢或槽钢（力学性能相当），确保横梁承重及连接稳定性。</w:t>
            </w:r>
          </w:p>
          <w:p>
            <w:pPr>
              <w:pStyle w:val="null3"/>
              <w:ind w:firstLine="420"/>
              <w:jc w:val="both"/>
            </w:pPr>
            <w:r>
              <w:rPr>
                <w:rFonts w:ascii="仿宋_GB2312" w:hAnsi="仿宋_GB2312" w:cs="仿宋_GB2312" w:eastAsia="仿宋_GB2312"/>
                <w:sz w:val="21"/>
              </w:rPr>
              <w:t>（5）活动立柱：仓内设置活动立柱，间距依据LS/T8005执行，总数满足结构稳定性要求。材质：采用壁厚≥1.5mm的方管压制而成。</w:t>
            </w:r>
          </w:p>
          <w:p>
            <w:pPr>
              <w:pStyle w:val="null3"/>
              <w:ind w:firstLine="420"/>
              <w:jc w:val="both"/>
            </w:pPr>
            <w:r>
              <w:rPr>
                <w:rFonts w:ascii="仿宋_GB2312" w:hAnsi="仿宋_GB2312" w:cs="仿宋_GB2312" w:eastAsia="仿宋_GB2312"/>
                <w:sz w:val="21"/>
              </w:rPr>
              <w:t>（6）仓门：设置3个进出粮仓门，门框采用壁厚≥2.5mm的型钢（50C型钢和30mm×50mm方管）焊接而成，门框牢固，开关灵活。</w:t>
            </w:r>
          </w:p>
          <w:p>
            <w:pPr>
              <w:pStyle w:val="null3"/>
              <w:ind w:firstLine="420"/>
              <w:jc w:val="both"/>
            </w:pPr>
            <w:r>
              <w:rPr>
                <w:rFonts w:ascii="仿宋_GB2312" w:hAnsi="仿宋_GB2312" w:cs="仿宋_GB2312" w:eastAsia="仿宋_GB2312"/>
                <w:sz w:val="21"/>
              </w:rPr>
              <w:t>（7）防护网片：采用钢板冲孔网（菱形孔），底座钢板网板厚2.0mm，网孔规格20mm×30mm菱形孔；四周防护网板厚2.0mm，网孔规格30mm×50mm菱形孔。</w:t>
            </w:r>
          </w:p>
          <w:p>
            <w:pPr>
              <w:pStyle w:val="null3"/>
              <w:ind w:firstLine="420"/>
              <w:jc w:val="both"/>
            </w:pPr>
            <w:r>
              <w:rPr>
                <w:rFonts w:ascii="仿宋_GB2312" w:hAnsi="仿宋_GB2312" w:cs="仿宋_GB2312" w:eastAsia="仿宋_GB2312"/>
                <w:sz w:val="21"/>
              </w:rPr>
              <w:t>（8）雨棚：由钢骨架和彩钢瓦两部分组成，雨棚骨架采用≥1.5mm厚方管焊接制作，彩钢瓦：基板厚度≥0.40mm，压型镀锌钢板。</w:t>
            </w:r>
          </w:p>
          <w:p>
            <w:pPr>
              <w:pStyle w:val="null3"/>
              <w:ind w:firstLine="420"/>
              <w:jc w:val="both"/>
            </w:pPr>
            <w:r>
              <w:rPr>
                <w:rFonts w:ascii="仿宋_GB2312" w:hAnsi="仿宋_GB2312" w:cs="仿宋_GB2312" w:eastAsia="仿宋_GB2312"/>
                <w:sz w:val="21"/>
              </w:rPr>
              <w:t>（9）底座：粮仓底座分为3件，均由壁厚≥1.5mm方管焊接而成。底座平整，称重均匀，满足仓体安装及储粮承重需求。</w:t>
            </w:r>
          </w:p>
          <w:p>
            <w:pPr>
              <w:pStyle w:val="null3"/>
              <w:ind w:firstLine="420"/>
              <w:jc w:val="both"/>
            </w:pPr>
            <w:r>
              <w:rPr>
                <w:rFonts w:ascii="仿宋_GB2312" w:hAnsi="仿宋_GB2312" w:cs="仿宋_GB2312" w:eastAsia="仿宋_GB2312"/>
                <w:sz w:val="21"/>
              </w:rPr>
              <w:t>（10）表面处理：工艺：工厂静电喷塑。连接件：全部采用热浸镀锌。杜绝现场刷漆（环保耐用）。</w:t>
            </w:r>
          </w:p>
          <w:p>
            <w:pPr>
              <w:pStyle w:val="null3"/>
              <w:ind w:firstLine="420"/>
              <w:jc w:val="both"/>
            </w:pPr>
            <w:r>
              <w:rPr>
                <w:rFonts w:ascii="仿宋_GB2312" w:hAnsi="仿宋_GB2312" w:cs="仿宋_GB2312" w:eastAsia="仿宋_GB2312"/>
                <w:sz w:val="21"/>
              </w:rPr>
              <w:t>（11）材料卫生要求：接触面要求：所有与粮食直接接触的涂层/镀层必须无毒、无味、无迁移。执行标准：必须符合GB 4806.1-2016及GB 4806.10-2016（符合国家现行相关食品安全国家标准）。关键指标：铅、镉、铬、汞等重金属迁移量不得超标，严禁脱落混入粮食。</w:t>
            </w:r>
          </w:p>
          <w:p>
            <w:pPr>
              <w:pStyle w:val="null3"/>
              <w:ind w:firstLine="420"/>
              <w:jc w:val="both"/>
            </w:pPr>
            <w:r>
              <w:rPr>
                <w:rFonts w:ascii="仿宋_GB2312" w:hAnsi="仿宋_GB2312" w:cs="仿宋_GB2312" w:eastAsia="仿宋_GB2312"/>
                <w:sz w:val="21"/>
              </w:rPr>
              <w:t>3、工艺与性能要求：要达到用料厚实，稳固耐用，通风防霉，防鼠防雀，装拆便捷。</w:t>
            </w:r>
          </w:p>
          <w:p>
            <w:pPr>
              <w:pStyle w:val="null3"/>
              <w:ind w:firstLine="420"/>
              <w:jc w:val="both"/>
            </w:pPr>
            <w:r>
              <w:rPr>
                <w:rFonts w:ascii="仿宋_GB2312" w:hAnsi="仿宋_GB2312" w:cs="仿宋_GB2312" w:eastAsia="仿宋_GB2312"/>
                <w:sz w:val="21"/>
              </w:rPr>
              <w:t>4、配套要求：所有螺栓、垫圈、插销等连接件均采用镀锌件的连接件，防止锈蚀咬死，确保装拆便捷、连接牢固。</w:t>
            </w:r>
          </w:p>
          <w:p>
            <w:pPr>
              <w:pStyle w:val="null3"/>
              <w:ind w:firstLine="420"/>
              <w:jc w:val="both"/>
            </w:pPr>
            <w:r>
              <w:rPr>
                <w:rFonts w:ascii="仿宋_GB2312" w:hAnsi="仿宋_GB2312" w:cs="仿宋_GB2312" w:eastAsia="仿宋_GB2312"/>
                <w:sz w:val="21"/>
              </w:rPr>
              <w:t>5、执行标准：产品设计及性能须符合LS/T 8005-2023《农户小型粮仓建设技术规范》；GB 4806.10-2016执行最新标准；GB/T 13912-2020；GB/T 700及国家现行相关标准。</w:t>
            </w:r>
          </w:p>
          <w:p>
            <w:pPr>
              <w:pStyle w:val="null3"/>
              <w:spacing w:before="105" w:after="105"/>
              <w:ind w:firstLine="56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合同签订之日起150日历天。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整体项目安装进度达到60%以上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整体项目安装进度达到90%以上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整体项目验收合格后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项目验收合格1年后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所有产品质量必须符合国家有关规范和相关政策。2、所有所提供的的货物必须是未使用过的新产品，质量优良、渠道正当，配置合理。3、中标供应商供货时须出具具备CMA或CNAS资质的第三方检测机构出具的产品检测报告（报告须包含尺寸、外观、镀锌层厚度、网孔、承重等关键指标）、出厂合格证、产品使用说明等。4、出现的质量问题由中标人负责解决并承担所有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依法缴纳税收和社会保障资金相关材料（投标截止日前六个月内任意一个月）</w:t>
            </w:r>
          </w:p>
        </w:tc>
        <w:tc>
          <w:tcPr>
            <w:tcW w:type="dxa" w:w="3322"/>
          </w:tcPr>
          <w:p>
            <w:pPr>
              <w:pStyle w:val="null3"/>
            </w:pPr>
            <w:r>
              <w:rPr>
                <w:rFonts w:ascii="仿宋_GB2312" w:hAnsi="仿宋_GB2312" w:cs="仿宋_GB2312" w:eastAsia="仿宋_GB2312"/>
              </w:rPr>
              <w:t>依法缴纳税收和社会保障资金相关材料（投标截止日前六个月内任意一个月）。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法定代表人直接参加投标的，须出具法人身份证；授权代表参加投标的，须出具授权书及授权代表身份证</w:t>
            </w:r>
          </w:p>
        </w:tc>
        <w:tc>
          <w:tcPr>
            <w:tcW w:type="dxa" w:w="3322"/>
          </w:tcPr>
          <w:p>
            <w:pPr>
              <w:pStyle w:val="null3"/>
            </w:pPr>
            <w:r>
              <w:rPr>
                <w:rFonts w:ascii="仿宋_GB2312" w:hAnsi="仿宋_GB2312" w:cs="仿宋_GB2312" w:eastAsia="仿宋_GB2312"/>
              </w:rPr>
              <w:t>法定代表人直接参加投标的，须出具法人身份证；授权代表参加投标的，须出具授权书及授权代表身份证。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3、按照《关于推动解决政府采购异常低价问题的通知》（财库〔2026〕2号 ）施行。</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供货期与质保期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供应商有具体的①备货、供货安排②供货进度保证措施 ③货物安全保障措施；评审标准：方案各部分内容全面详细、阐述条理清晰详尽、符合本项目采购需求得9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行业有关标准及产品的合法来源渠道有追溯，并提供相关证明文件：①产品质量证明书、②产品供货协议、③产品质保承诺函等。评审标准:未提供不得分。每项证明文件齐全无遗漏并完全满足本项目采购需求得6分，评审内容每缺一项扣2分，扣完为止；评审内容有一项内容缺陷（缺陷是指：① 每项证明文件不齐全、有遗漏②不符合采购需求。根据提供情况每缺一项1扣分）。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招标文件中3.3技术要求中技术参数进行评审。评审标准：技术参数依据投标人提供的技术参数偏离表进行评审，每负偏离一条扣1分，扣完为止。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的①质量保证措施②物流保障措施③运输方案④管理制度和协调方案⑤项目验收方案⑥项目团队配备方案；评审标准：方案各部分内容全面详细、阐述条理清晰详尽、符合本项目采购需求得18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评审标准：方案各部分内容全面详细、阐述条理清晰详尽、符合本项目采购需求得6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评审标准：方案各部分内容全面详细、阐述条理清晰详尽、可行性高、符合本项目采购需求得6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②售后服务人员组织③售后服务保障措施④产品交付采购方后出现质量问题的响应时间⑤供货不及时、出现残次品等补货换货解决方案⑥售后服务承诺；评审标准：方案各部分内容全面详细、阐述条理清晰详尽、符合本项目采购需求得12分；评审内容每缺一项扣2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根据现有重点难点问题， 提出可操作性的对策建议：①按期完成供货解决方案②保证产品质量解决方案③产品如出现问题解决方案④产品运输、包装、安装过程重点难点解决方案等。评审标准：方案各部分内容全面详细、阐述条理清晰详尽、符合本项目采购需求得4分；评审内容缺一项1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 供应商提供2023年至今（以合同签订日期为准）类似项目业绩，以合同复印件为准，每一份计0.5分，最多计2分。评审标准：业绩证明材料（以响应文件中提供的合同复印件为准）。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采用低价优先法计算，即满足招标文件要求且投标价格最低的投标报价为评标基准价，按照下列公式计算:投标报价得分=(评标基准价/投标报价)×价格权值(即 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