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版本号：JXZB2026-01320260330001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2026年中央专项彩票公益金支持革命老区乡村振兴项目前期规划设计采购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JXZB2026-013</w:t>
      </w:r>
      <w:r>
        <w:br/>
      </w:r>
      <w:r>
        <w:br/>
      </w:r>
      <w:r>
        <w:br/>
      </w:r>
    </w:p>
    <w:p>
      <w:pPr>
        <w:pStyle w:val="null3"/>
        <w:jc w:val="center"/>
        <w:outlineLvl w:val="2"/>
      </w:pPr>
      <w:r>
        <w:rPr>
          <w:rFonts w:ascii="仿宋_GB2312" w:hAnsi="仿宋_GB2312" w:cs="仿宋_GB2312" w:eastAsia="仿宋_GB2312"/>
          <w:sz w:val="28"/>
          <w:b/>
        </w:rPr>
        <w:t>宜君县农业农村局</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宜君县农业农村局</w:t>
      </w:r>
      <w:r>
        <w:rPr>
          <w:rFonts w:ascii="仿宋_GB2312" w:hAnsi="仿宋_GB2312" w:cs="仿宋_GB2312" w:eastAsia="仿宋_GB2312"/>
        </w:rPr>
        <w:t>委托，拟对</w:t>
      </w:r>
      <w:r>
        <w:rPr>
          <w:rFonts w:ascii="仿宋_GB2312" w:hAnsi="仿宋_GB2312" w:cs="仿宋_GB2312" w:eastAsia="仿宋_GB2312"/>
        </w:rPr>
        <w:t>2026年中央专项彩票公益金支持革命老区乡村振兴项目前期规划设计采购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2026年中央专项彩票公益金支持革命老区乡村振兴项目前期规划设计采购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中央专项彩票公益金支持革命老区乡村振兴项目前期规划设计采购：依据国家革命老区乡村振兴发展战略和宜君县红色资源禀赋、农业产业基础、乡村发展实际的需要，在对宜君县农业特色产业、红色文化资源、农村人居环境及基础设施建设现状和存在问题充分调研摸底的基础上，对县域优势特色产业和红色文旅资源发展潜力进行深度分析，结合采购人工作思路，编制《宜君县2026年中央专项彩票公益金支持革命老区乡村振兴项目申报书》及配套附表，理清项目建设思路、精准项目发展定位、完善申报成果编制、指导项目全流程申报推进，以项目建设引领驱动宜君县革命老区乡村产业、文化、生态协同发展，推动宜君革命老区乡村全面振兴和农业农村现代化进程。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采购包1（2026年中央专项彩票公益金支持革命老区乡村振兴项目前期规划设计采购）：属于专门面向中小企业采购。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等国家规定的相关证明，自然人参与的提供其身份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财务状况报表：提供2024年度或2025年度经审计的财务报告，或提交自2025年9月1日以来其基本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3、税收缴纳证明：提供供应商2025年至今任意一个月已缴纳的完税凭证或税务机关开具的完税证明（任意税种），依法免税的单位应提供相关证明材料；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4、社会保障资金缴纳证明：提供供应商2025年至今任意一个月的社会保障资金缴存单据或社保机构开具的社会保险参保缴费情况证明。依法不需要缴纳社会保障资金的供应商应提供相关证明文件；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5、声明书：提供具有履行本合同所必需的设备和专业技术能力的声明；</w:t>
      </w:r>
    </w:p>
    <w:p>
      <w:pPr>
        <w:pStyle w:val="null3"/>
      </w:pPr>
      <w:r>
        <w:rPr>
          <w:rFonts w:ascii="仿宋_GB2312" w:hAnsi="仿宋_GB2312" w:cs="仿宋_GB2312" w:eastAsia="仿宋_GB2312"/>
        </w:rPr>
        <w:t>6、声明书：出具参加政府采购活动前3年内在经营活动中没有重大违法记录的书面声明；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8、信用截图：供应商不得为“信用中国”网站(www.creditchina.gov.cn) 中列入重大税收违法失信主体、供应商不得为中国执行信息公开网（http://zxgk.court.gov.c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9、联合体投标：本项目不接受联合体投标。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陕西省铜川市宜君县宜阳北街28号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和彬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09195281261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西安曲江新区雁南五路曲江影视大厦19层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029-85495286 转 8009或15332361726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国家发展改革委《关于降低部分建设项目收费标准规范收费行为等有关问题的通知》（发改价格[2011]534号）”规定收费标准收取。结算时以项目成交价为基数，按照合同签订收取比例计算招标代理服务费，代理费不足3000元的，按3000元收取。 招标代理服务费收款账户信息： 招标代理机构开户名称：嘉翔项目管理有限公司 开户行名称：中国建设银行股份有限公司西安八里村支行 账号：61050172370000000288 转账附言：JXZB2026-013代理服务费 注：成交人支付招标代理服务费后，请将转账凭证、单位开票信息、发票收件人地址信息发至3363927373@qq.com，如有疑问，可致电029-85495286 转 8009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宜君县农业农村局</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达到国家、陕西省关于中央专项彩票公益金支持革命老区乡村振兴项目申报编制的内容和深度要求。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联系人：田凯</w:t>
      </w:r>
    </w:p>
    <w:p>
      <w:pPr>
        <w:pStyle w:val="null3"/>
      </w:pPr>
      <w:r>
        <w:rPr>
          <w:rFonts w:ascii="仿宋_GB2312" w:hAnsi="仿宋_GB2312" w:cs="仿宋_GB2312" w:eastAsia="仿宋_GB2312"/>
        </w:rPr>
        <w:t>联系电话：029-85495286转8009</w:t>
      </w:r>
    </w:p>
    <w:p>
      <w:pPr>
        <w:pStyle w:val="null3"/>
      </w:pPr>
      <w:r>
        <w:rPr>
          <w:rFonts w:ascii="仿宋_GB2312" w:hAnsi="仿宋_GB2312" w:cs="仿宋_GB2312" w:eastAsia="仿宋_GB2312"/>
        </w:rPr>
        <w:t>地址：西安曲江新区雁南五路曲江影视大厦19层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中央专项彩票公益金支持革命老区乡村振兴项目前期规划设计采购：依据国家革命老区乡村振兴发展战略和宜君县红色资源禀赋、农业产业基础、乡村发展实际的需要，在对宜君县农业特色产业、红色文化资源、农村人居环境及基础设施建设现状和存在问题充分调研摸底的基础上，对县域优势特色产业和红色文旅资源发展潜力进行深度分析，结合采购人工作思路，编制《宜君县2026年中央专项彩票公益金支持革命老区乡村振兴项目申报书》及配套附表，理清项目建设思路、精准项目发展定位、完善申报成果编制、指导项目全流程申报推进，以项目建设引领驱动宜君县革命老区乡村产业、文化、生态协同发展，推动宜君革命老区乡村全面振兴和农业农村现代化进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3"/>
              <w:gridCol w:w="247"/>
              <w:gridCol w:w="2063"/>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4E5F70"/>
                    </w:rPr>
                    <w:t xml:space="preserve"> </w:t>
                  </w:r>
                  <w:r>
                    <w:rPr>
                      <w:rFonts w:ascii="仿宋_GB2312" w:hAnsi="仿宋_GB2312" w:cs="仿宋_GB2312" w:eastAsia="仿宋_GB2312"/>
                      <w:sz w:val="19"/>
                      <w:color w:val="4E5F70"/>
                    </w:rPr>
                    <w:t>参数性质</w:t>
                  </w:r>
                </w:p>
              </w:tc>
              <w:tc>
                <w:tcPr>
                  <w:tcW w:type="dxa" w:w="2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4E5F70"/>
                    </w:rPr>
                    <w:t xml:space="preserve"> </w:t>
                  </w:r>
                  <w:r>
                    <w:rPr>
                      <w:rFonts w:ascii="仿宋_GB2312" w:hAnsi="仿宋_GB2312" w:cs="仿宋_GB2312" w:eastAsia="仿宋_GB2312"/>
                      <w:sz w:val="19"/>
                      <w:color w:val="4E5F70"/>
                    </w:rPr>
                    <w:t>技术参数与性能指标</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4E5F70"/>
                    </w:rPr>
                    <w:t>1.按照采购人要求完成《宜君县2026年中央专项彩票公益 金支持革命老区乡村振兴项目申报书》及配套附表的编制工作。</w:t>
                  </w:r>
                </w:p>
                <w:p>
                  <w:pPr>
                    <w:pStyle w:val="null3"/>
                    <w:jc w:val="both"/>
                  </w:pPr>
                  <w:r>
                    <w:rPr>
                      <w:rFonts w:ascii="仿宋_GB2312" w:hAnsi="仿宋_GB2312" w:cs="仿宋_GB2312" w:eastAsia="仿宋_GB2312"/>
                      <w:sz w:val="20"/>
                      <w:color w:val="4E5F70"/>
                    </w:rPr>
                    <w:t>2. 《宜君县2026年中央专项彩票公益金支持革命老区乡村 振兴项目申报书》内容包括基本情况、基础条件、总体考虑、任 务安排、管理保障、必要性和可行性分析等篇章，配套附表完整 包含项目安排计划表、绩效目标表、基本信息表等。</w:t>
                  </w:r>
                </w:p>
                <w:p>
                  <w:pPr>
                    <w:pStyle w:val="null3"/>
                    <w:jc w:val="both"/>
                  </w:pPr>
                  <w:r>
                    <w:rPr>
                      <w:rFonts w:ascii="仿宋_GB2312" w:hAnsi="仿宋_GB2312" w:cs="仿宋_GB2312" w:eastAsia="仿宋_GB2312"/>
                      <w:sz w:val="20"/>
                      <w:color w:val="4E5F70"/>
                    </w:rPr>
                    <w:t>3.技术咨询工作成果的形式：形成完善的申报书文本、配套 附表及项目论证汇报材料，内容包括基本情况、基础条件、总体 考虑、任务安排、管理保障、必要性和可行性分析等篇章，配套 附表完整包含项目安排计划表、绩效目标表、基本信息表等，提 供答辩指导(含答辩词及汇报PPT)。</w:t>
                  </w:r>
                </w:p>
                <w:p>
                  <w:pPr>
                    <w:pStyle w:val="null3"/>
                    <w:jc w:val="both"/>
                  </w:pPr>
                  <w:r>
                    <w:rPr>
                      <w:rFonts w:ascii="仿宋_GB2312" w:hAnsi="仿宋_GB2312" w:cs="仿宋_GB2312" w:eastAsia="仿宋_GB2312"/>
                      <w:sz w:val="20"/>
                      <w:color w:val="4E5F70"/>
                    </w:rPr>
                    <w:t>4.中标单位在申报材料编制过程中，如果发生侵犯专利权等 知识产权行为而引起索赔或诉讼，则中标单位应承担全部责任， 并保障采购方免于承担由此造成的一切损害和损失。</w:t>
                  </w:r>
                </w:p>
                <w:p>
                  <w:pPr>
                    <w:pStyle w:val="null3"/>
                    <w:jc w:val="both"/>
                  </w:pPr>
                  <w:r>
                    <w:rPr>
                      <w:rFonts w:ascii="仿宋_GB2312" w:hAnsi="仿宋_GB2312" w:cs="仿宋_GB2312" w:eastAsia="仿宋_GB2312"/>
                      <w:sz w:val="20"/>
                      <w:color w:val="4E5F70"/>
                    </w:rPr>
                    <w:t>5.响应时间：提供免费上门服务，应以优良的服务态度，便</w:t>
                  </w:r>
                  <w:r>
                    <w:rPr>
                      <w:rFonts w:ascii="仿宋_GB2312" w:hAnsi="仿宋_GB2312" w:cs="仿宋_GB2312" w:eastAsia="仿宋_GB2312"/>
                      <w:sz w:val="20"/>
                      <w:color w:val="4E5F70"/>
                    </w:rPr>
                    <w:t>利、快捷的方式在</w:t>
                  </w:r>
                  <w:r>
                    <w:rPr>
                      <w:rFonts w:ascii="仿宋_GB2312" w:hAnsi="仿宋_GB2312" w:cs="仿宋_GB2312" w:eastAsia="仿宋_GB2312"/>
                      <w:sz w:val="20"/>
                      <w:color w:val="4E5F70"/>
                    </w:rPr>
                    <w:t>1小时内响应，8小时内解决使用单位提出的 要求。应急服务响应4小时解决问题。</w:t>
                  </w:r>
                </w:p>
                <w:p>
                  <w:pPr>
                    <w:pStyle w:val="null3"/>
                    <w:jc w:val="both"/>
                  </w:pPr>
                  <w:r>
                    <w:rPr>
                      <w:rFonts w:ascii="仿宋_GB2312" w:hAnsi="仿宋_GB2312" w:cs="仿宋_GB2312" w:eastAsia="仿宋_GB2312"/>
                      <w:sz w:val="20"/>
                      <w:color w:val="4E5F70"/>
                    </w:rPr>
                    <w:t>6.供应商应按其响应文件中的承诺，完成项目申报全流程的 技术指导、材料修改完善等后续服务工作。</w:t>
                  </w:r>
                </w:p>
                <w:p>
                  <w:pPr>
                    <w:pStyle w:val="null3"/>
                    <w:jc w:val="both"/>
                  </w:pPr>
                  <w:r>
                    <w:rPr>
                      <w:rFonts w:ascii="仿宋_GB2312" w:hAnsi="仿宋_GB2312" w:cs="仿宋_GB2312" w:eastAsia="仿宋_GB2312"/>
                      <w:sz w:val="20"/>
                      <w:color w:val="4E5F70"/>
                    </w:rPr>
                    <w:t>7.质量要求：达到国家、陕西省关于中央专项彩票公益金支 持革命老区乡村振兴项目申报编制的内容和深度要求。</w:t>
                  </w:r>
                </w:p>
                <w:p>
                  <w:pPr>
                    <w:pStyle w:val="null3"/>
                    <w:jc w:val="both"/>
                  </w:pPr>
                  <w:r>
                    <w:rPr>
                      <w:rFonts w:ascii="仿宋_GB2312" w:hAnsi="仿宋_GB2312" w:cs="仿宋_GB2312" w:eastAsia="仿宋_GB2312"/>
                      <w:sz w:val="20"/>
                      <w:color w:val="4E5F70"/>
                    </w:rPr>
                    <w:t>8.申报材料编制要严格依照国家颁布的乡村振兴、土地管 理、生态保护等有关法律、法规及政策要求。</w:t>
                  </w:r>
                </w:p>
                <w:p>
                  <w:pPr>
                    <w:pStyle w:val="null3"/>
                    <w:jc w:val="both"/>
                  </w:pPr>
                  <w:r>
                    <w:rPr>
                      <w:rFonts w:ascii="仿宋_GB2312" w:hAnsi="仿宋_GB2312" w:cs="仿宋_GB2312" w:eastAsia="仿宋_GB2312"/>
                      <w:sz w:val="20"/>
                      <w:color w:val="4E5F70"/>
                    </w:rPr>
                    <w:t>9.明确申报材料编制的政策背景，梳理中央及省级彩票公益 金支持革命老区乡村振兴项目的有关政策要求和编制依据。</w:t>
                  </w:r>
                </w:p>
                <w:p>
                  <w:pPr>
                    <w:pStyle w:val="null3"/>
                    <w:jc w:val="both"/>
                  </w:pPr>
                  <w:r>
                    <w:rPr>
                      <w:rFonts w:ascii="仿宋_GB2312" w:hAnsi="仿宋_GB2312" w:cs="仿宋_GB2312" w:eastAsia="仿宋_GB2312"/>
                      <w:sz w:val="20"/>
                      <w:color w:val="4E5F70"/>
                    </w:rPr>
                    <w:t>10.申报材料要突出科学性、特色性、持续性和可操作性，  特别要注意项目规划的落地实施性，做到目标科学、思路清晰、 重点明确、措施可行。</w:t>
                  </w:r>
                </w:p>
                <w:p>
                  <w:pPr>
                    <w:pStyle w:val="null3"/>
                    <w:jc w:val="both"/>
                  </w:pPr>
                  <w:r>
                    <w:rPr>
                      <w:rFonts w:ascii="仿宋_GB2312" w:hAnsi="仿宋_GB2312" w:cs="仿宋_GB2312" w:eastAsia="仿宋_GB2312"/>
                      <w:sz w:val="20"/>
                      <w:color w:val="4E5F70"/>
                    </w:rPr>
                    <w:t>11.做好宜君县基础资料调研工作，认真复核和分析人口、 产业、经济、红色资源等基础性数据，保证基础资料的真实性与 可靠性，总结宜君县革命老区乡村振兴发展的基础条件，分析其 项目建设的优势条件及存在问题。</w:t>
                  </w:r>
                </w:p>
                <w:p>
                  <w:pPr>
                    <w:pStyle w:val="null3"/>
                    <w:jc w:val="both"/>
                  </w:pPr>
                  <w:r>
                    <w:rPr>
                      <w:rFonts w:ascii="仿宋_GB2312" w:hAnsi="仿宋_GB2312" w:cs="仿宋_GB2312" w:eastAsia="仿宋_GB2312"/>
                      <w:sz w:val="20"/>
                      <w:color w:val="4E5F70"/>
                    </w:rPr>
                    <w:t>12. 申报材料要明确项目建设的指导思想、基本原则，发展 定位准确，建设目标清晰量化，并根据目标提出重点建设任务， 同时明确县级、乡镇、村级三级联动的项目管理体制机制。</w:t>
                  </w:r>
                </w:p>
                <w:p>
                  <w:pPr>
                    <w:pStyle w:val="null3"/>
                    <w:jc w:val="both"/>
                  </w:pPr>
                  <w:r>
                    <w:rPr>
                      <w:rFonts w:ascii="仿宋_GB2312" w:hAnsi="仿宋_GB2312" w:cs="仿宋_GB2312" w:eastAsia="仿宋_GB2312"/>
                      <w:sz w:val="20"/>
                      <w:color w:val="4E5F70"/>
                    </w:rPr>
                    <w:t>13.供应商应提供全流程服务，申报的成果需保证评审通过。</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服务方按项目服务要求及特点，建立以项目负责人为核心的履行合同所必需人员团队，保证项目顺利实施，详见评审办法。</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90 日历天内完成申报书及配套附表编制、申报全流程指导等全部工作（具体各阶段时间，双方在合同中另行约定）。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宜君县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考核（验收）标准：达到国家、陕西省关于中央专项彩票公益金支持革命老区乡村振兴项目申报编制的内容和深度要求。 方法：（一）甲方确认收到报告成果后，组织乙方（必要时可请有关专家）进行验收。（二）乙方向甲方提交项目实施过程中的所有资料。（三）验收依据1、采购文件、响应文件、澄清函；2、本合同及附件文本；3、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合同签订后，甲方支付乙方项目编制启动订金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乙方提交评审稿，并通过专家评审会后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乙方完成报批稿通过审批并向甲方移交所有成果（包括但不限于文本、图件、数据库、附件等）后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中标单位未全面履行合同义务或者发生违约，采购人有权终止合同，依法向中标单位进行经济索赔，并报请政府采购监督管理机关进行相应的行政处罚。采购人违约的，应当赔偿给中标单位造成的经济损失。 在执行过程中发生的与本协议有关的争议，甲乙双方应先协商解决，协商解决不了的，双方同意到甲方所在地申请仲裁；仲裁不成的，依法向甲方所在地人民法院提起诉讼。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服务标准：达到国家、陕西省关于中央专项彩票公益金支持革命老区乡村振兴项目申报编制的内容和深度要求。二、供应商的磋商报价是供应商响应磋商项目要求的全部工作内容的价格体现，合同金额即中成交价，合同价格为含税价，乙方提供服务所发生的一切费用（包括人工费、设备费、管理费、利润、税金、风险及完成工作准备阶段、实施阶段、完成本项目所需的全部费用）等都已包含于合同价款中。在提供服务的过程中的任何遗漏，均由成交供应商免费提供，采购人将不再支付任何费用。 三、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条款规定情形外，若出现合格供应商少于3家时，采购人应依法重新组织采购活动。 五、成交供应商在领取成交通知书时提供纸质版投标文件两套，应通过专用制作软件直接打印，确保与电子投标文件保持一致，不允许修改和补充。提交地点：西安曲江新区雁南五路曲江影视大厦19层。六、落实政府采购政策：落实的政府采购政策：1）《政府采购促进中小企业发展管理办法》的通知--财库[2020]46号；2）财政部司法部关于政府采购支持监狱企业发展有关问题的通知--财库〔2014〕68号；3）《国务院办公厅关于建立政府强制采购节能产品制度的通知》--国办发〔2007〕51号；4）《财政部发展改革委生态环境部市场监管总局关于调整优化节能产品、环境标志产品政府采购执 行机制的通知》--（财库[2019]9号）；5）《关于印发环境标志产品政府采购品目清单的通 知》--（财库〔2019〕18号）；6）《关于印发节能产品政府采购品目清单的通知》--（财库〔2019〕19号）；7）《市场监管总局关于发布参与实施政府采购节能产品、环境标志产品认证机构名录的公告》—2019年第16号；8）《财政部民政部中国残疾人联合会关于促进残疾人就业政府采购政策的通知》--（财库 2017〕141号）；9）《关于运用政府采购政策支持乡村产业振兴的通知》（财库〔2021〕19号）；10）陕西省财政厅关于印发《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陕西省工业和信息化厅关于运用政府采购政策支持首台（套）及创新产品有关事项的通知》（陕财办采﹝2021﹞17号）；14）财办库〔2020〕123关于印发《商品包装政府采购需求标准（试行）》、《快递包装政府采购需求标准（试行）》的通知；15）《国务院办公厅关于在政府采购中实施本国产品标准及相关政策的通知》（国办发〔2025〕34号）、关于贯彻落实《国务院办公厅关于在政府采购中实施本国产品标准及相关政策的通知》的意见 （财库〔2025〕30号）；16）《关于推动解决政府采购异常低价问题的通知》财库〔2026〕2号；17）政府采购扶持不发达地区和少数民族地区的政策；18）其他需要落实的政府采购政策；19）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2024年度或2025年度经审计的财务报告，或提交自2025年9月1日以来其基本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提供供应商2025年至今任意一个月已缴纳的完税凭证或税务机关开具的完税证明（任意税种），依法免税的单位应提供相关证明材料；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提供供应商2025年至今任意一个月的社会保障资金缴存单据或社保机构开具的社会保险参保缴费情况证明。依法不需要缴纳社会保障资金的供应商应提供相关证明文件；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其他</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3.评标委员会依据《关于推动解决政府采购异常低价问题的通知》（财库〔2026〕2号）执行。</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响应文件上法定代表人或其委托代理人的签名齐全并加盖单位章</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残疾人福利性单位声明函 中小企业声明函 商务应答表 服务内容及服务要求应答表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只能有一个有效报价，不得提交选择性报价，且报价不超过预算金额或最高限价或磋商小组认为低于成本价的报价。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应满足竞争性磋商文件要求，响应文件未含有采购人不能接受的附加条件，且无其他无效标的情形。</w:t>
            </w:r>
          </w:p>
        </w:tc>
        <w:tc>
          <w:tcPr>
            <w:tcW w:type="dxa" w:w="1661"/>
          </w:tcPr>
          <w:p>
            <w:pPr>
              <w:pStyle w:val="null3"/>
            </w:pPr>
            <w:r>
              <w:rPr>
                <w:rFonts w:ascii="仿宋_GB2312" w:hAnsi="仿宋_GB2312" w:cs="仿宋_GB2312" w:eastAsia="仿宋_GB2312"/>
              </w:rPr>
              <w:t>商务应答表 服务内容及服务要求应答表 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一）评审内容：包含①项目需求理解；②项目规划设计工作内容及计划；③服务实施细则；④工作思路及方法等；（二）评审标准：方案完整，完全包含以上4项且满足实际工作需求的得20分，每缺少一项扣5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项目重点、难点分析及解决方案</w:t>
            </w:r>
          </w:p>
        </w:tc>
        <w:tc>
          <w:tcPr>
            <w:tcW w:type="dxa" w:w="2492"/>
          </w:tcPr>
          <w:p>
            <w:pPr>
              <w:pStyle w:val="null3"/>
            </w:pPr>
            <w:r>
              <w:rPr>
                <w:rFonts w:ascii="仿宋_GB2312" w:hAnsi="仿宋_GB2312" w:cs="仿宋_GB2312" w:eastAsia="仿宋_GB2312"/>
              </w:rPr>
              <w:t>（一）评审内容：包含①重点、难点分析；②应对措施；③合理化建议及解决措施等。 （二）评审标准：方案完整，完全包含以上3项且满足实际工作需求的得12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w:t>
            </w:r>
          </w:p>
          <w:p>
            <w:pPr>
              <w:pStyle w:val="null3"/>
            </w:pPr>
            <w:r>
              <w:rPr>
                <w:rFonts w:ascii="仿宋_GB2312" w:hAnsi="仿宋_GB2312" w:cs="仿宋_GB2312" w:eastAsia="仿宋_GB2312"/>
              </w:rPr>
              <w:t>项目服务方案</w:t>
            </w:r>
          </w:p>
        </w:tc>
      </w:tr>
      <w:tr>
        <w:tc>
          <w:tcPr>
            <w:tcW w:type="dxa" w:w="831"/>
            <w:vMerge/>
          </w:tcPr>
          <w:p/>
        </w:tc>
        <w:tc>
          <w:tcPr>
            <w:tcW w:type="dxa" w:w="1661"/>
          </w:tcPr>
          <w:p>
            <w:pPr>
              <w:pStyle w:val="null3"/>
            </w:pPr>
            <w:r>
              <w:rPr>
                <w:rFonts w:ascii="仿宋_GB2312" w:hAnsi="仿宋_GB2312" w:cs="仿宋_GB2312" w:eastAsia="仿宋_GB2312"/>
              </w:rPr>
              <w:t>项目进度安排及保障措施</w:t>
            </w:r>
          </w:p>
        </w:tc>
        <w:tc>
          <w:tcPr>
            <w:tcW w:type="dxa" w:w="2492"/>
          </w:tcPr>
          <w:p>
            <w:pPr>
              <w:pStyle w:val="null3"/>
            </w:pPr>
            <w:r>
              <w:rPr>
                <w:rFonts w:ascii="仿宋_GB2312" w:hAnsi="仿宋_GB2312" w:cs="仿宋_GB2312" w:eastAsia="仿宋_GB2312"/>
              </w:rPr>
              <w:t>（一）评审内容：包含①项目的总体计划安排；②文字及图表的说明；③各个环节时间节点衔接保障措施；④保证工作进度计划措施。（二）评审标准：方案完整，完全包含以上4项且满足实际工作需求的得12分，每缺少一项扣3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包含①项目质量保障体系；②质量管控要求；③项目成果编制规范质量保障；④突发情况补救措施等；（二）评审标准：方案完整，完全包含以上4项且满足实际工作需求的得16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（一）评审内容：包含①保质保量完成的服务承诺及实施过程中风险评估应对的服务承诺②配合后续事宜的服务承诺等； （二）评审标准：方案完整，完全包含以上2项且满足实际工作需求的得8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供应商提供提供针对本项目制定专项保密措施方案，内容包括但不限于：①保密实施方案；②保密承诺等。 方案完整，完全包含以上2项且满足实际工作需求的得8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拟派本项目项目负责人具有城市规划或建筑相关专业高级（含高级）及以上职称，得2分，本小项满分得2分；（2）拟派本项目组人员（不含项目负责人）：每具有一个城市规划或建筑相关专业中级职称的，每提供一个得1分，每具有一个城市规划或建筑相关专业高级（含高级）及以上职称的，每提供一个得2分；本小项满分得6分。 注：提供服务团队人员名单及相关证书扫描件加盖供应商公章，人员不重复计分，未提供不得分。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供应商具有近三年（2023年03月至今）的类似项目业绩每个计2分，最多计6分。（以合同签订时间为准，附合同复印件）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其他</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 按照下列公式计算：投标报价得分 =（评审基准价/磋商报价）×价格权值×10分。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详见附件：项目服务方案</w:t>
      </w:r>
    </w:p>
    <w:p>
      <w:pPr>
        <w:pStyle w:val="null3"/>
        <w:ind w:firstLine="960"/>
      </w:pPr>
      <w:r>
        <w:rPr>
          <w:rFonts w:ascii="仿宋_GB2312" w:hAnsi="仿宋_GB2312" w:cs="仿宋_GB2312" w:eastAsia="仿宋_GB2312"/>
        </w:rPr>
        <w:t>详见附件：项目团队人员</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