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版本号：SXHY-2026-00320260309001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宜君县2026年政府购买残疾人托养及照护服务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SXHY-2026-003</w:t>
      </w:r>
      <w:r>
        <w:br/>
      </w:r>
      <w:r>
        <w:br/>
      </w:r>
      <w:r>
        <w:br/>
      </w:r>
    </w:p>
    <w:p>
      <w:pPr>
        <w:pStyle w:val="null3"/>
        <w:jc w:val="center"/>
        <w:outlineLvl w:val="2"/>
      </w:pPr>
      <w:r>
        <w:rPr>
          <w:rFonts w:ascii="仿宋_GB2312" w:hAnsi="仿宋_GB2312" w:cs="仿宋_GB2312" w:eastAsia="仿宋_GB2312"/>
          <w:sz w:val="28"/>
          <w:b/>
        </w:rPr>
        <w:t>宜君县残疾人联合会</w:t>
      </w:r>
    </w:p>
    <w:p>
      <w:pPr>
        <w:pStyle w:val="null3"/>
        <w:jc w:val="center"/>
        <w:outlineLvl w:val="2"/>
      </w:pPr>
      <w:r>
        <w:rPr>
          <w:rFonts w:ascii="仿宋_GB2312" w:hAnsi="仿宋_GB2312" w:cs="仿宋_GB2312" w:eastAsia="仿宋_GB2312"/>
          <w:sz w:val="28"/>
          <w:b/>
        </w:rPr>
        <w:t>陕西浩优项目管理有限公司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陕西浩优项目管理有限公司</w:t>
      </w:r>
      <w:r>
        <w:rPr>
          <w:rFonts w:ascii="仿宋_GB2312" w:hAnsi="仿宋_GB2312" w:cs="仿宋_GB2312" w:eastAsia="仿宋_GB2312"/>
        </w:rPr>
        <w:t>（以下简称“代理机构”）受</w:t>
      </w:r>
      <w:r>
        <w:rPr>
          <w:rFonts w:ascii="仿宋_GB2312" w:hAnsi="仿宋_GB2312" w:cs="仿宋_GB2312" w:eastAsia="仿宋_GB2312"/>
        </w:rPr>
        <w:t>宜君县残疾人联合会</w:t>
      </w:r>
      <w:r>
        <w:rPr>
          <w:rFonts w:ascii="仿宋_GB2312" w:hAnsi="仿宋_GB2312" w:cs="仿宋_GB2312" w:eastAsia="仿宋_GB2312"/>
        </w:rPr>
        <w:t>委托，拟对</w:t>
      </w:r>
      <w:r>
        <w:rPr>
          <w:rFonts w:ascii="仿宋_GB2312" w:hAnsi="仿宋_GB2312" w:cs="仿宋_GB2312" w:eastAsia="仿宋_GB2312"/>
        </w:rPr>
        <w:t>宜君县2026年政府购买残疾人托养及照护服务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SXHY-2026-003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宜君县2026年政府购买残疾人托养及照护服务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完善宜君县残疾人托养照护服务体系，精准对接辖区内残疾人多元化的托养照护需求，切实减轻残疾人家庭照护负担，提升残疾人的生活质量和幸福感。鉴于宜君县农村残疾人占比较高、照护资源较为分散的实际状况，确保残疾人能够享受到便捷、专业且暖心的托养照护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采购包1（寄宿托养）：属于专门面向中小企业采购。</w:t>
      </w:r>
    </w:p>
    <w:p>
      <w:pPr>
        <w:pStyle w:val="null3"/>
      </w:pPr>
      <w:r>
        <w:rPr>
          <w:rFonts w:ascii="仿宋_GB2312" w:hAnsi="仿宋_GB2312" w:cs="仿宋_GB2312" w:eastAsia="仿宋_GB2312"/>
        </w:rPr>
        <w:t>采购包2（日间照料）：属于专门面向中小企业采购。</w:t>
      </w:r>
    </w:p>
    <w:p>
      <w:pPr>
        <w:pStyle w:val="null3"/>
      </w:pPr>
      <w:r>
        <w:rPr>
          <w:rFonts w:ascii="仿宋_GB2312" w:hAnsi="仿宋_GB2312" w:cs="仿宋_GB2312" w:eastAsia="仿宋_GB2312"/>
        </w:rPr>
        <w:t>采购包3（居家托养）：属于专门面向中小企业采购。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2、法定代表人身份证明书或法定代表 人授权委托书：法定代表人参加磋商的，提供法定代表人身份证明书（附法定代表人身份证复印件);法定代表人授权他人参加磋商的，提供法定代表人授权委托书(附法定代表人身份证复印件及被授权人身份证复印件);</w:t>
      </w:r>
    </w:p>
    <w:p>
      <w:pPr>
        <w:pStyle w:val="null3"/>
      </w:pPr>
      <w:r>
        <w:rPr>
          <w:rFonts w:ascii="仿宋_GB2312" w:hAnsi="仿宋_GB2312" w:cs="仿宋_GB2312" w:eastAsia="仿宋_GB2312"/>
        </w:rPr>
        <w:t>3、财务状况报告：提供2023年度或2024年度的经审计的财务会计报告（成立时间至提交磋商响应文件截止时间不足一年的可提供成立后任意时段的资产负债表），或其投标截止日近半年内基本存款账户开户银行出具的资信证明及基本存款账户开户许可证（基本账户信息表）；</w:t>
      </w:r>
    </w:p>
    <w:p>
      <w:pPr>
        <w:pStyle w:val="null3"/>
      </w:pPr>
      <w:r>
        <w:rPr>
          <w:rFonts w:ascii="仿宋_GB2312" w:hAnsi="仿宋_GB2312" w:cs="仿宋_GB2312" w:eastAsia="仿宋_GB2312"/>
        </w:rPr>
        <w:t>4、税收缴纳证明：提供2025年03月至今已缴纳的至少三个月的纳税证明或完税证明（任意税种），依法免税的单位应提供相关证明材料;</w:t>
      </w:r>
    </w:p>
    <w:p>
      <w:pPr>
        <w:pStyle w:val="null3"/>
      </w:pPr>
      <w:r>
        <w:rPr>
          <w:rFonts w:ascii="仿宋_GB2312" w:hAnsi="仿宋_GB2312" w:cs="仿宋_GB2312" w:eastAsia="仿宋_GB2312"/>
        </w:rPr>
        <w:t>5、社会保障资金缴纳证明：提供2025年03月至今已缴纳的至少三个月的社会保障资金缴存单据或社保机构开具的社会保险参保缴费情况证明,依法不需要缴纳社会保障资金的单位应提供相关证明材料;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6、设备和专业技术能力提供声明：提供具有履行合同所必需的设备和专业技术能力的声明；</w:t>
      </w:r>
    </w:p>
    <w:p>
      <w:pPr>
        <w:pStyle w:val="null3"/>
      </w:pPr>
      <w:r>
        <w:rPr>
          <w:rFonts w:ascii="仿宋_GB2312" w:hAnsi="仿宋_GB2312" w:cs="仿宋_GB2312" w:eastAsia="仿宋_GB2312"/>
        </w:rPr>
        <w:t>7、无重大违法记录声明：参加政府采购活动前三年内，在经营活动中没有重大违法记录的书面声明；</w:t>
      </w:r>
    </w:p>
    <w:p>
      <w:pPr>
        <w:pStyle w:val="null3"/>
      </w:pPr>
      <w:r>
        <w:rPr>
          <w:rFonts w:ascii="仿宋_GB2312" w:hAnsi="仿宋_GB2312" w:cs="仿宋_GB2312" w:eastAsia="仿宋_GB2312"/>
        </w:rPr>
        <w:t>8、信誉截图：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9、不接受联合体：本项目不接受联合体投标。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2、法定代表人身份证明书或法定代表 人授权委托书：法定代表人参加磋商的，提供法定代表人身份证明书（附法定代表人身份证复印件);法定代表人授权他人参加磋商的，提供法定代表人授权委托书(附法定代表人身份证复印件及被授权人身份证复印件);</w:t>
      </w:r>
    </w:p>
    <w:p>
      <w:pPr>
        <w:pStyle w:val="null3"/>
      </w:pPr>
      <w:r>
        <w:rPr>
          <w:rFonts w:ascii="仿宋_GB2312" w:hAnsi="仿宋_GB2312" w:cs="仿宋_GB2312" w:eastAsia="仿宋_GB2312"/>
        </w:rPr>
        <w:t>3、财务状况报告：提供2023年度或2024年度的经审计的财务会计报告（成立时间至提交磋商响应文件截止时间不足一年的可提供成立后任意时段的资产负债表），或其投标截止日近半年内基本存款账户开户银行出具的资信证明及基本存款账户开户许可证（基本账户信息表）；</w:t>
      </w:r>
    </w:p>
    <w:p>
      <w:pPr>
        <w:pStyle w:val="null3"/>
      </w:pPr>
      <w:r>
        <w:rPr>
          <w:rFonts w:ascii="仿宋_GB2312" w:hAnsi="仿宋_GB2312" w:cs="仿宋_GB2312" w:eastAsia="仿宋_GB2312"/>
        </w:rPr>
        <w:t>4、税收缴纳证明：提供2025年03月至今已缴纳的至少三个月的纳税证明或完税证明（任意税种），依法免税的单位应提供相关证明材料;</w:t>
      </w:r>
    </w:p>
    <w:p>
      <w:pPr>
        <w:pStyle w:val="null3"/>
      </w:pPr>
      <w:r>
        <w:rPr>
          <w:rFonts w:ascii="仿宋_GB2312" w:hAnsi="仿宋_GB2312" w:cs="仿宋_GB2312" w:eastAsia="仿宋_GB2312"/>
        </w:rPr>
        <w:t>5、社会保障资金缴纳证明：提供2025年03月至今已缴纳的至少三个月的社会保障资金缴存单据或社保机构开具的社会保险参保缴费情况证明,依法不需要缴纳社会保障资金的单位应提供相关证明材料;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6、设备和专业技术能力提供声明：提供具有履行合同所必需的设备和专业技术能力的声明；</w:t>
      </w:r>
    </w:p>
    <w:p>
      <w:pPr>
        <w:pStyle w:val="null3"/>
      </w:pPr>
      <w:r>
        <w:rPr>
          <w:rFonts w:ascii="仿宋_GB2312" w:hAnsi="仿宋_GB2312" w:cs="仿宋_GB2312" w:eastAsia="仿宋_GB2312"/>
        </w:rPr>
        <w:t>7、无重大违法记录声明：参加政府采购活动前三年内，在经营活动中没有重大违法记录的书面声明；</w:t>
      </w:r>
    </w:p>
    <w:p>
      <w:pPr>
        <w:pStyle w:val="null3"/>
      </w:pPr>
      <w:r>
        <w:rPr>
          <w:rFonts w:ascii="仿宋_GB2312" w:hAnsi="仿宋_GB2312" w:cs="仿宋_GB2312" w:eastAsia="仿宋_GB2312"/>
        </w:rPr>
        <w:t>8、信誉截图：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9、不接受联合体：本项目不接受联合体投标。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书或法定代表人授权委托书：法定代表人参加磋商的，提供法定代表人身份证明书（附法定代表人身份证复印件);法定代表人授权他人参加磋商的，提供法定代表人授权委托书(附法定代表人身份证复印件及被授权人身份证复印件);</w:t>
      </w:r>
    </w:p>
    <w:p>
      <w:pPr>
        <w:pStyle w:val="null3"/>
      </w:pPr>
      <w:r>
        <w:rPr>
          <w:rFonts w:ascii="仿宋_GB2312" w:hAnsi="仿宋_GB2312" w:cs="仿宋_GB2312" w:eastAsia="仿宋_GB2312"/>
        </w:rPr>
        <w:t>3、财务状况报告：提供2023年度或2024年度的经审计的财务会计报告（成立时间至提交磋商响应文件截止时间不足一年的可提供成立后任意时段的资产负债表），或其投标截止日近半年内基本存款账户开户银行出具的资信证明及基本存款账户开户许可证（基本账户信息表）；</w:t>
      </w:r>
    </w:p>
    <w:p>
      <w:pPr>
        <w:pStyle w:val="null3"/>
      </w:pPr>
      <w:r>
        <w:rPr>
          <w:rFonts w:ascii="仿宋_GB2312" w:hAnsi="仿宋_GB2312" w:cs="仿宋_GB2312" w:eastAsia="仿宋_GB2312"/>
        </w:rPr>
        <w:t>4、税收缴纳证明：提供2025年03月至今已缴纳的至少三个月的纳税证明或完税证明（任意税种），依法免税的单位应提供相关证明材料;</w:t>
      </w:r>
    </w:p>
    <w:p>
      <w:pPr>
        <w:pStyle w:val="null3"/>
      </w:pPr>
      <w:r>
        <w:rPr>
          <w:rFonts w:ascii="仿宋_GB2312" w:hAnsi="仿宋_GB2312" w:cs="仿宋_GB2312" w:eastAsia="仿宋_GB2312"/>
        </w:rPr>
        <w:t>5、社会保障资金缴纳证明：提供2025年03月至今已缴纳的至少三个月的社会保障资金缴存单据或社保机构开具的社会保险参保缴费情况证明,依法不需要缴纳社会保障资金的单位应提供相关证明材料;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6、设备和专业技术能力提供声明：提供具有履行合同所必需的设备和专业技术能力的声明；</w:t>
      </w:r>
    </w:p>
    <w:p>
      <w:pPr>
        <w:pStyle w:val="null3"/>
      </w:pPr>
      <w:r>
        <w:rPr>
          <w:rFonts w:ascii="仿宋_GB2312" w:hAnsi="仿宋_GB2312" w:cs="仿宋_GB2312" w:eastAsia="仿宋_GB2312"/>
        </w:rPr>
        <w:t>7、无重大违法记录声明：参加政府采购活动前三年内，在经营活动中没有重大违法记录的书面声明；</w:t>
      </w:r>
    </w:p>
    <w:p>
      <w:pPr>
        <w:pStyle w:val="null3"/>
      </w:pPr>
      <w:r>
        <w:rPr>
          <w:rFonts w:ascii="仿宋_GB2312" w:hAnsi="仿宋_GB2312" w:cs="仿宋_GB2312" w:eastAsia="仿宋_GB2312"/>
        </w:rPr>
        <w:t>8、信誉截图：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9、不接受联合体：本项目不接受联合体投标。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宜君县残疾人联合会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宜君县县委办公楼1楼101室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张艳英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0919-5996180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陕西浩优项目管理有限公司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陕西省西安市雁塔区陕西省西安市曲江新区商通大道6号智慧大厦一幢203室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李金娥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029-89553153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蔡富春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采购包1：180,000.00元</w:t>
            </w:r>
          </w:p>
          <w:p>
            <w:pPr>
              <w:pStyle w:val="null3"/>
            </w:pPr>
            <w:r>
              <w:rPr>
                <w:rFonts w:ascii="仿宋_GB2312" w:hAnsi="仿宋_GB2312" w:cs="仿宋_GB2312" w:eastAsia="仿宋_GB2312"/>
              </w:rPr>
              <w:t>采购包2：140,000.00元</w:t>
            </w:r>
          </w:p>
          <w:p>
            <w:pPr>
              <w:pStyle w:val="null3"/>
            </w:pPr>
            <w:r>
              <w:rPr>
                <w:rFonts w:ascii="仿宋_GB2312" w:hAnsi="仿宋_GB2312" w:cs="仿宋_GB2312" w:eastAsia="仿宋_GB2312"/>
              </w:rPr>
              <w:t>采购包3：87,500.00元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取参考国家计委颁布的《招标代理服务收费管理暂行办法》（计价格[2002]1980号）和（发改办价格[2003]857号）文收费标准收取;2.采购代理服务费收取：户名：陕西浩优项目管理有限公司 开户银行：中国建设银行股份有限公司西安曲江支行 账号：6105 0191 0004 0000 4479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宜君县残疾人联合会</w:t>
      </w:r>
      <w:r>
        <w:rPr>
          <w:rFonts w:ascii="仿宋_GB2312" w:hAnsi="仿宋_GB2312" w:cs="仿宋_GB2312" w:eastAsia="仿宋_GB2312"/>
        </w:rPr>
        <w:t>和</w:t>
      </w:r>
      <w:r>
        <w:rPr>
          <w:rFonts w:ascii="仿宋_GB2312" w:hAnsi="仿宋_GB2312" w:cs="仿宋_GB2312" w:eastAsia="仿宋_GB2312"/>
        </w:rPr>
        <w:t>陕西浩优项目管理有限公司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宜君县残疾人联合会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陕西浩优项目管理有限公司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宜君县残疾人联合会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陕西浩优项目管理有限公司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陕西浩优项目管理有限公司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陕西浩优项目管理有限公司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陕西浩优项目管理有限公司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联系人：李金娥</w:t>
      </w:r>
    </w:p>
    <w:p>
      <w:pPr>
        <w:pStyle w:val="null3"/>
      </w:pPr>
      <w:r>
        <w:rPr>
          <w:rFonts w:ascii="仿宋_GB2312" w:hAnsi="仿宋_GB2312" w:cs="仿宋_GB2312" w:eastAsia="仿宋_GB2312"/>
        </w:rPr>
        <w:t>联系电话：029-89553153</w:t>
      </w:r>
    </w:p>
    <w:p>
      <w:pPr>
        <w:pStyle w:val="null3"/>
      </w:pPr>
      <w:r>
        <w:rPr>
          <w:rFonts w:ascii="仿宋_GB2312" w:hAnsi="仿宋_GB2312" w:cs="仿宋_GB2312" w:eastAsia="仿宋_GB2312"/>
        </w:rPr>
        <w:t>地址：陕西省西安市曲江新区商通大道6号智慧大厦一幢203室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完善宜君县残疾人托养照护服务体系，精准对接辖区内残疾人多元化的托养照护需求，切实减轻残疾人家庭照护负担，提升残疾人的生活质量和幸福感。鉴于宜君县农村残疾人占比较高、照护资源较为分散的实际状况，确保残疾人能够享受到便捷、专业且暖心的托养照护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寄宿托养</w:t>
            </w:r>
          </w:p>
        </w:tc>
        <w:tc>
          <w:tcPr>
            <w:tcW w:type="dxa" w:w="831"/>
          </w:tcPr>
          <w:p>
            <w:pPr>
              <w:pStyle w:val="null3"/>
              <w:jc w:val="right"/>
            </w:pPr>
            <w:r>
              <w:rPr>
                <w:rFonts w:ascii="仿宋_GB2312" w:hAnsi="仿宋_GB2312" w:cs="仿宋_GB2312" w:eastAsia="仿宋_GB2312"/>
              </w:rPr>
              <w:t>30.00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人次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140,000.00</w:t>
      </w:r>
    </w:p>
    <w:p>
      <w:pPr>
        <w:pStyle w:val="null3"/>
      </w:pPr>
      <w:r>
        <w:rPr>
          <w:rFonts w:ascii="仿宋_GB2312" w:hAnsi="仿宋_GB2312" w:cs="仿宋_GB2312" w:eastAsia="仿宋_GB2312"/>
        </w:rPr>
        <w:t>采购包最高限价（元）: 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日间照料</w:t>
            </w:r>
          </w:p>
        </w:tc>
        <w:tc>
          <w:tcPr>
            <w:tcW w:type="dxa" w:w="831"/>
          </w:tcPr>
          <w:p>
            <w:pPr>
              <w:pStyle w:val="null3"/>
              <w:jc w:val="right"/>
            </w:pPr>
            <w:r>
              <w:rPr>
                <w:rFonts w:ascii="仿宋_GB2312" w:hAnsi="仿宋_GB2312" w:cs="仿宋_GB2312" w:eastAsia="仿宋_GB2312"/>
              </w:rPr>
              <w:t>35.00</w:t>
            </w:r>
          </w:p>
        </w:tc>
        <w:tc>
          <w:tcPr>
            <w:tcW w:type="dxa" w:w="831"/>
          </w:tcPr>
          <w:p>
            <w:pPr>
              <w:pStyle w:val="null3"/>
              <w:jc w:val="right"/>
            </w:pPr>
            <w:r>
              <w:rPr>
                <w:rFonts w:ascii="仿宋_GB2312" w:hAnsi="仿宋_GB2312" w:cs="仿宋_GB2312" w:eastAsia="仿宋_GB2312"/>
              </w:rPr>
              <w:t>140,000.00</w:t>
            </w:r>
          </w:p>
        </w:tc>
        <w:tc>
          <w:tcPr>
            <w:tcW w:type="dxa" w:w="831"/>
          </w:tcPr>
          <w:p>
            <w:pPr>
              <w:pStyle w:val="null3"/>
            </w:pPr>
            <w:r>
              <w:rPr>
                <w:rFonts w:ascii="仿宋_GB2312" w:hAnsi="仿宋_GB2312" w:cs="仿宋_GB2312" w:eastAsia="仿宋_GB2312"/>
              </w:rPr>
              <w:t>人次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87,500.00</w:t>
      </w:r>
    </w:p>
    <w:p>
      <w:pPr>
        <w:pStyle w:val="null3"/>
      </w:pPr>
      <w:r>
        <w:rPr>
          <w:rFonts w:ascii="仿宋_GB2312" w:hAnsi="仿宋_GB2312" w:cs="仿宋_GB2312" w:eastAsia="仿宋_GB2312"/>
        </w:rPr>
        <w:t>采购包最高限价（元）: 87,500.00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居家托养</w:t>
            </w:r>
          </w:p>
        </w:tc>
        <w:tc>
          <w:tcPr>
            <w:tcW w:type="dxa" w:w="831"/>
          </w:tcPr>
          <w:p>
            <w:pPr>
              <w:pStyle w:val="null3"/>
              <w:jc w:val="right"/>
            </w:pPr>
            <w:r>
              <w:rPr>
                <w:rFonts w:ascii="仿宋_GB2312" w:hAnsi="仿宋_GB2312" w:cs="仿宋_GB2312" w:eastAsia="仿宋_GB2312"/>
              </w:rPr>
              <w:t>35.00</w:t>
            </w:r>
          </w:p>
        </w:tc>
        <w:tc>
          <w:tcPr>
            <w:tcW w:type="dxa" w:w="831"/>
          </w:tcPr>
          <w:p>
            <w:pPr>
              <w:pStyle w:val="null3"/>
              <w:jc w:val="right"/>
            </w:pPr>
            <w:r>
              <w:rPr>
                <w:rFonts w:ascii="仿宋_GB2312" w:hAnsi="仿宋_GB2312" w:cs="仿宋_GB2312" w:eastAsia="仿宋_GB2312"/>
              </w:rPr>
              <w:t>87,500.00</w:t>
            </w:r>
          </w:p>
        </w:tc>
        <w:tc>
          <w:tcPr>
            <w:tcW w:type="dxa" w:w="831"/>
          </w:tcPr>
          <w:p>
            <w:pPr>
              <w:pStyle w:val="null3"/>
            </w:pPr>
            <w:r>
              <w:rPr>
                <w:rFonts w:ascii="仿宋_GB2312" w:hAnsi="仿宋_GB2312" w:cs="仿宋_GB2312" w:eastAsia="仿宋_GB2312"/>
              </w:rPr>
              <w:t>人次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标的名称：寄宿托养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一、服务内容</w:t>
            </w:r>
          </w:p>
          <w:p>
            <w:pPr>
              <w:pStyle w:val="null3"/>
              <w:ind w:firstLine="480"/>
              <w:jc w:val="both"/>
            </w:pPr>
            <w:r>
              <w:rPr>
                <w:rFonts w:ascii="仿宋_GB2312" w:hAnsi="仿宋_GB2312" w:cs="仿宋_GB2312" w:eastAsia="仿宋_GB2312"/>
                <w:sz w:val="24"/>
              </w:rPr>
              <w:t>（一）寄宿制托养照护机构</w:t>
            </w:r>
          </w:p>
          <w:p>
            <w:pPr>
              <w:pStyle w:val="null3"/>
              <w:ind w:firstLine="480"/>
              <w:jc w:val="both"/>
            </w:pPr>
            <w:r>
              <w:rPr>
                <w:rFonts w:ascii="仿宋_GB2312" w:hAnsi="仿宋_GB2312" w:cs="仿宋_GB2312" w:eastAsia="仿宋_GB2312"/>
                <w:sz w:val="24"/>
              </w:rPr>
              <w:t>生活照料和护理；生活自理能力训练；社会适应能力辅导；职业康复和劳动技能训练；运动功能训练。</w:t>
            </w:r>
          </w:p>
          <w:p>
            <w:pPr>
              <w:pStyle w:val="null3"/>
              <w:ind w:firstLine="482"/>
              <w:jc w:val="both"/>
            </w:pPr>
            <w:r>
              <w:rPr>
                <w:rFonts w:ascii="仿宋_GB2312" w:hAnsi="仿宋_GB2312" w:cs="仿宋_GB2312" w:eastAsia="仿宋_GB2312"/>
                <w:sz w:val="24"/>
                <w:b/>
              </w:rPr>
              <w:t>二、服务预算</w:t>
            </w:r>
          </w:p>
          <w:p>
            <w:pPr>
              <w:pStyle w:val="null3"/>
              <w:ind w:firstLine="480"/>
              <w:jc w:val="both"/>
            </w:pPr>
            <w:r>
              <w:rPr>
                <w:rFonts w:ascii="仿宋_GB2312" w:hAnsi="仿宋_GB2312" w:cs="仿宋_GB2312" w:eastAsia="仿宋_GB2312"/>
                <w:sz w:val="24"/>
              </w:rPr>
              <w:t>（一）寄宿制托养服务</w:t>
            </w:r>
          </w:p>
          <w:p>
            <w:pPr>
              <w:pStyle w:val="null3"/>
              <w:ind w:firstLine="480"/>
              <w:jc w:val="both"/>
            </w:pPr>
            <w:r>
              <w:rPr>
                <w:rFonts w:ascii="仿宋_GB2312" w:hAnsi="仿宋_GB2312" w:cs="仿宋_GB2312" w:eastAsia="仿宋_GB2312"/>
                <w:sz w:val="24"/>
              </w:rPr>
              <w:t>任务量为</w:t>
            </w:r>
            <w:r>
              <w:rPr>
                <w:rFonts w:ascii="仿宋_GB2312" w:hAnsi="仿宋_GB2312" w:cs="仿宋_GB2312" w:eastAsia="仿宋_GB2312"/>
                <w:sz w:val="24"/>
              </w:rPr>
              <w:t>30人，每服务3个月计为1人次，每人次购买标准不低于6000元。</w:t>
            </w:r>
            <w:r>
              <w:rPr>
                <w:rFonts w:ascii="仿宋_GB2312" w:hAnsi="仿宋_GB2312" w:cs="仿宋_GB2312" w:eastAsia="仿宋_GB2312"/>
                <w:sz w:val="24"/>
              </w:rPr>
              <w:t>最终服务任务将结合上级资金下达进度科学统筹安排。</w:t>
            </w:r>
          </w:p>
          <w:p>
            <w:pPr>
              <w:pStyle w:val="null3"/>
              <w:ind w:firstLine="482"/>
              <w:jc w:val="both"/>
            </w:pPr>
            <w:r>
              <w:rPr>
                <w:rFonts w:ascii="仿宋_GB2312" w:hAnsi="仿宋_GB2312" w:cs="仿宋_GB2312" w:eastAsia="仿宋_GB2312"/>
                <w:sz w:val="24"/>
                <w:b/>
              </w:rPr>
              <w:t>三、服务对象</w:t>
            </w:r>
          </w:p>
          <w:p>
            <w:pPr>
              <w:pStyle w:val="null3"/>
              <w:ind w:firstLine="480"/>
              <w:jc w:val="both"/>
            </w:pPr>
            <w:r>
              <w:rPr>
                <w:rFonts w:ascii="仿宋_GB2312" w:hAnsi="仿宋_GB2312" w:cs="仿宋_GB2312" w:eastAsia="仿宋_GB2312"/>
                <w:sz w:val="24"/>
              </w:rPr>
              <w:t>（一）残疾人托养服务</w:t>
            </w:r>
          </w:p>
          <w:p>
            <w:pPr>
              <w:pStyle w:val="null3"/>
              <w:ind w:firstLine="480"/>
              <w:jc w:val="both"/>
            </w:pPr>
            <w:r>
              <w:rPr>
                <w:rFonts w:ascii="仿宋_GB2312" w:hAnsi="仿宋_GB2312" w:cs="仿宋_GB2312" w:eastAsia="仿宋_GB2312"/>
                <w:sz w:val="24"/>
              </w:rPr>
              <w:t>具有宜君县户籍、处于就业年龄段（</w:t>
            </w:r>
            <w:r>
              <w:rPr>
                <w:rFonts w:ascii="仿宋_GB2312" w:hAnsi="仿宋_GB2312" w:cs="仿宋_GB2312" w:eastAsia="仿宋_GB2312"/>
                <w:sz w:val="24"/>
              </w:rPr>
              <w:t>16周岁至法定退休年龄）、持有《中华人民共和国残疾人证》，且有托养服务需求的以下类型残疾人：</w:t>
            </w:r>
          </w:p>
          <w:p>
            <w:pPr>
              <w:pStyle w:val="null3"/>
              <w:ind w:firstLine="480"/>
              <w:jc w:val="both"/>
            </w:pPr>
            <w:r>
              <w:rPr>
                <w:rFonts w:ascii="仿宋_GB2312" w:hAnsi="仿宋_GB2312" w:cs="仿宋_GB2312" w:eastAsia="仿宋_GB2312"/>
                <w:sz w:val="24"/>
              </w:rPr>
              <w:t>1.智力残疾人;</w:t>
            </w:r>
          </w:p>
          <w:p>
            <w:pPr>
              <w:pStyle w:val="null3"/>
              <w:ind w:firstLine="480"/>
              <w:jc w:val="both"/>
            </w:pPr>
            <w:r>
              <w:rPr>
                <w:rFonts w:ascii="仿宋_GB2312" w:hAnsi="仿宋_GB2312" w:cs="仿宋_GB2312" w:eastAsia="仿宋_GB2312"/>
                <w:sz w:val="24"/>
              </w:rPr>
              <w:t>2.稳定期的精神残疾人（指精神障碍已在精神专科确诊并接受治疗，急性期症状得到控制，目前处于较稳定状态，并经精神科医师风险评估可转介托养的精神残疾人）；</w:t>
            </w:r>
          </w:p>
          <w:p>
            <w:pPr>
              <w:pStyle w:val="null3"/>
              <w:ind w:firstLine="480"/>
              <w:jc w:val="both"/>
            </w:pPr>
            <w:r>
              <w:rPr>
                <w:rFonts w:ascii="仿宋_GB2312" w:hAnsi="仿宋_GB2312" w:cs="仿宋_GB2312" w:eastAsia="仿宋_GB2312"/>
                <w:sz w:val="24"/>
              </w:rPr>
              <w:t>3.重度肢体残疾人；</w:t>
            </w:r>
          </w:p>
          <w:p>
            <w:pPr>
              <w:pStyle w:val="null3"/>
              <w:ind w:firstLine="480"/>
              <w:jc w:val="both"/>
            </w:pPr>
            <w:r>
              <w:rPr>
                <w:rFonts w:ascii="仿宋_GB2312" w:hAnsi="仿宋_GB2312" w:cs="仿宋_GB2312" w:eastAsia="仿宋_GB2312"/>
                <w:sz w:val="24"/>
              </w:rPr>
              <w:t>4.同时存在智力残疾或精神残疾的多重残疾人。</w:t>
            </w:r>
          </w:p>
          <w:p>
            <w:pPr>
              <w:pStyle w:val="null3"/>
              <w:ind w:firstLine="480"/>
              <w:jc w:val="both"/>
            </w:pPr>
            <w:r>
              <w:rPr>
                <w:rFonts w:ascii="仿宋_GB2312" w:hAnsi="仿宋_GB2312" w:cs="仿宋_GB2312" w:eastAsia="仿宋_GB2312"/>
                <w:sz w:val="24"/>
              </w:rPr>
              <w:t>（二）社会救助家庭中生活不能自理残疾人照护服务</w:t>
            </w:r>
          </w:p>
          <w:p>
            <w:pPr>
              <w:pStyle w:val="null3"/>
              <w:ind w:firstLine="480"/>
              <w:jc w:val="both"/>
            </w:pPr>
            <w:r>
              <w:rPr>
                <w:rFonts w:ascii="仿宋_GB2312" w:hAnsi="仿宋_GB2312" w:cs="仿宋_GB2312" w:eastAsia="仿宋_GB2312"/>
                <w:sz w:val="24"/>
              </w:rPr>
              <w:t>具有宜君县户籍、</w:t>
            </w:r>
            <w:r>
              <w:rPr>
                <w:rFonts w:ascii="仿宋_GB2312" w:hAnsi="仿宋_GB2312" w:cs="仿宋_GB2312" w:eastAsia="仿宋_GB2312"/>
                <w:sz w:val="24"/>
              </w:rPr>
              <w:t>16周岁以上、持有《中华人民共和国残疾人证》、属于低保或低保边缘家庭、生活不能自理、有照护需求和意愿的残疾人。已纳入特困救助供养、服务类救助、失能老年人照护服务、长期护理保险、残疾人托养服务、精神卫生社区康复服务等相关照护政策或项目覆盖范围的，不作为本服务对象。优先保障符合上述条件的重度残疾人。其中，生活不能自理残疾人的判定依据自主吃饭、穿衣、上下床、如厕、室内行走、洗澡等指标。</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标的名称：日间照料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一、服务内容</w:t>
            </w:r>
          </w:p>
          <w:p>
            <w:pPr>
              <w:pStyle w:val="null3"/>
              <w:ind w:firstLine="480"/>
              <w:jc w:val="both"/>
            </w:pPr>
            <w:r>
              <w:rPr>
                <w:rFonts w:ascii="仿宋_GB2312" w:hAnsi="仿宋_GB2312" w:cs="仿宋_GB2312" w:eastAsia="仿宋_GB2312"/>
                <w:sz w:val="24"/>
              </w:rPr>
              <w:t>（一）日间照料机构</w:t>
            </w:r>
          </w:p>
          <w:p>
            <w:pPr>
              <w:pStyle w:val="null3"/>
              <w:ind w:firstLine="480"/>
              <w:jc w:val="both"/>
            </w:pPr>
            <w:r>
              <w:rPr>
                <w:rFonts w:ascii="仿宋_GB2312" w:hAnsi="仿宋_GB2312" w:cs="仿宋_GB2312" w:eastAsia="仿宋_GB2312"/>
                <w:sz w:val="24"/>
              </w:rPr>
              <w:t>生活照料和护理；生活自理能力训练；社会适应能力辅导；职业康复和劳动技能训练；运动功能训练。</w:t>
            </w:r>
          </w:p>
          <w:p>
            <w:pPr>
              <w:pStyle w:val="null3"/>
              <w:ind w:firstLine="482"/>
              <w:jc w:val="both"/>
            </w:pPr>
            <w:r>
              <w:rPr>
                <w:rFonts w:ascii="仿宋_GB2312" w:hAnsi="仿宋_GB2312" w:cs="仿宋_GB2312" w:eastAsia="仿宋_GB2312"/>
                <w:sz w:val="24"/>
                <w:b/>
              </w:rPr>
              <w:t>二、服务预算</w:t>
            </w:r>
          </w:p>
          <w:p>
            <w:pPr>
              <w:pStyle w:val="null3"/>
              <w:ind w:firstLine="480"/>
              <w:jc w:val="both"/>
            </w:pPr>
            <w:r>
              <w:rPr>
                <w:rFonts w:ascii="仿宋_GB2312" w:hAnsi="仿宋_GB2312" w:cs="仿宋_GB2312" w:eastAsia="仿宋_GB2312"/>
                <w:sz w:val="24"/>
              </w:rPr>
              <w:t>（一）日间照料服务</w:t>
            </w:r>
          </w:p>
          <w:p>
            <w:pPr>
              <w:pStyle w:val="null3"/>
              <w:ind w:firstLine="480"/>
              <w:jc w:val="both"/>
            </w:pPr>
            <w:r>
              <w:rPr>
                <w:rFonts w:ascii="仿宋_GB2312" w:hAnsi="仿宋_GB2312" w:cs="仿宋_GB2312" w:eastAsia="仿宋_GB2312"/>
                <w:sz w:val="24"/>
              </w:rPr>
              <w:t>任务量为</w:t>
            </w:r>
            <w:r>
              <w:rPr>
                <w:rFonts w:ascii="仿宋_GB2312" w:hAnsi="仿宋_GB2312" w:cs="仿宋_GB2312" w:eastAsia="仿宋_GB2312"/>
                <w:sz w:val="24"/>
              </w:rPr>
              <w:t>35人，每服务70天计为1人次，每人次购买标准不低于4000元。</w:t>
            </w:r>
            <w:r>
              <w:rPr>
                <w:rFonts w:ascii="仿宋_GB2312" w:hAnsi="仿宋_GB2312" w:cs="仿宋_GB2312" w:eastAsia="仿宋_GB2312"/>
                <w:sz w:val="24"/>
              </w:rPr>
              <w:t>最终服务任务将结合上级资金下达进度科学统筹安排。</w:t>
            </w:r>
          </w:p>
          <w:p>
            <w:pPr>
              <w:pStyle w:val="null3"/>
              <w:ind w:firstLine="482"/>
              <w:jc w:val="both"/>
            </w:pPr>
            <w:r>
              <w:rPr>
                <w:rFonts w:ascii="仿宋_GB2312" w:hAnsi="仿宋_GB2312" w:cs="仿宋_GB2312" w:eastAsia="仿宋_GB2312"/>
                <w:sz w:val="24"/>
                <w:b/>
              </w:rPr>
              <w:t>三、服务对象</w:t>
            </w:r>
          </w:p>
          <w:p>
            <w:pPr>
              <w:pStyle w:val="null3"/>
              <w:ind w:firstLine="480"/>
              <w:jc w:val="both"/>
            </w:pPr>
            <w:r>
              <w:rPr>
                <w:rFonts w:ascii="仿宋_GB2312" w:hAnsi="仿宋_GB2312" w:cs="仿宋_GB2312" w:eastAsia="仿宋_GB2312"/>
                <w:sz w:val="24"/>
              </w:rPr>
              <w:t>（一）残疾人托养服务</w:t>
            </w:r>
          </w:p>
          <w:p>
            <w:pPr>
              <w:pStyle w:val="null3"/>
              <w:ind w:firstLine="480"/>
              <w:jc w:val="both"/>
            </w:pPr>
            <w:r>
              <w:rPr>
                <w:rFonts w:ascii="仿宋_GB2312" w:hAnsi="仿宋_GB2312" w:cs="仿宋_GB2312" w:eastAsia="仿宋_GB2312"/>
                <w:sz w:val="24"/>
              </w:rPr>
              <w:t>具有宜君县户籍、处于就业年龄段（</w:t>
            </w:r>
            <w:r>
              <w:rPr>
                <w:rFonts w:ascii="仿宋_GB2312" w:hAnsi="仿宋_GB2312" w:cs="仿宋_GB2312" w:eastAsia="仿宋_GB2312"/>
                <w:sz w:val="24"/>
              </w:rPr>
              <w:t>16周岁至法定退休年龄）、持有《中华人民共和国残疾人证》，且有托养服务需求的以下类型残疾人：</w:t>
            </w:r>
          </w:p>
          <w:p>
            <w:pPr>
              <w:pStyle w:val="null3"/>
              <w:ind w:firstLine="480"/>
              <w:jc w:val="both"/>
            </w:pPr>
            <w:r>
              <w:rPr>
                <w:rFonts w:ascii="仿宋_GB2312" w:hAnsi="仿宋_GB2312" w:cs="仿宋_GB2312" w:eastAsia="仿宋_GB2312"/>
                <w:sz w:val="24"/>
              </w:rPr>
              <w:t>1.智力残疾人;</w:t>
            </w:r>
          </w:p>
          <w:p>
            <w:pPr>
              <w:pStyle w:val="null3"/>
              <w:ind w:firstLine="480"/>
              <w:jc w:val="both"/>
            </w:pPr>
            <w:r>
              <w:rPr>
                <w:rFonts w:ascii="仿宋_GB2312" w:hAnsi="仿宋_GB2312" w:cs="仿宋_GB2312" w:eastAsia="仿宋_GB2312"/>
                <w:sz w:val="24"/>
              </w:rPr>
              <w:t>2.稳定期的精神残疾人（指精神障碍已在精神专科确诊并接受治疗，急性期症状得到控制，目前处于较稳定状态，并经精神科医师风险评估可转介托养的精神残疾人）；</w:t>
            </w:r>
          </w:p>
          <w:p>
            <w:pPr>
              <w:pStyle w:val="null3"/>
              <w:ind w:firstLine="480"/>
              <w:jc w:val="both"/>
            </w:pPr>
            <w:r>
              <w:rPr>
                <w:rFonts w:ascii="仿宋_GB2312" w:hAnsi="仿宋_GB2312" w:cs="仿宋_GB2312" w:eastAsia="仿宋_GB2312"/>
                <w:sz w:val="24"/>
              </w:rPr>
              <w:t>3.重度肢体残疾人；</w:t>
            </w:r>
          </w:p>
          <w:p>
            <w:pPr>
              <w:pStyle w:val="null3"/>
              <w:ind w:firstLine="480"/>
              <w:jc w:val="both"/>
            </w:pPr>
            <w:r>
              <w:rPr>
                <w:rFonts w:ascii="仿宋_GB2312" w:hAnsi="仿宋_GB2312" w:cs="仿宋_GB2312" w:eastAsia="仿宋_GB2312"/>
                <w:sz w:val="24"/>
              </w:rPr>
              <w:t>4.同时存在智力残疾或精神残疾的多重残疾人。</w:t>
            </w:r>
          </w:p>
          <w:p>
            <w:pPr>
              <w:pStyle w:val="null3"/>
              <w:ind w:firstLine="480"/>
              <w:jc w:val="both"/>
            </w:pPr>
            <w:r>
              <w:rPr>
                <w:rFonts w:ascii="仿宋_GB2312" w:hAnsi="仿宋_GB2312" w:cs="仿宋_GB2312" w:eastAsia="仿宋_GB2312"/>
                <w:sz w:val="24"/>
              </w:rPr>
              <w:t>（二）社会救助家庭中生活不能自理残疾人照护服务</w:t>
            </w:r>
          </w:p>
          <w:p>
            <w:pPr>
              <w:pStyle w:val="null3"/>
              <w:ind w:firstLine="480"/>
              <w:jc w:val="both"/>
            </w:pPr>
            <w:r>
              <w:rPr>
                <w:rFonts w:ascii="仿宋_GB2312" w:hAnsi="仿宋_GB2312" w:cs="仿宋_GB2312" w:eastAsia="仿宋_GB2312"/>
                <w:sz w:val="24"/>
              </w:rPr>
              <w:t>具有宜君县户籍、</w:t>
            </w:r>
            <w:r>
              <w:rPr>
                <w:rFonts w:ascii="仿宋_GB2312" w:hAnsi="仿宋_GB2312" w:cs="仿宋_GB2312" w:eastAsia="仿宋_GB2312"/>
                <w:sz w:val="24"/>
              </w:rPr>
              <w:t>16周岁以上、持有《中华人民共和国残疾人证》、属于低保或低保边缘家庭、生活不能自理、有照护需求和意愿的残疾人。已纳入特困救助供养、服务类救助、失能老年人照护服务、长期护理保险、残疾人托养服务、精神卫生社区康复服务等相关照护政策或项目覆盖范围的，不作为本服务对象。优先保障符合上述条件的重度残疾人。其中，生活不能自理残疾人的判定依据自主吃饭、穿衣、上下床、如厕、室内行走、洗澡等指标。</w:t>
            </w:r>
          </w:p>
          <w:p>
            <w:pPr>
              <w:pStyle w:val="null3"/>
              <w:ind w:firstLine="480"/>
              <w:jc w:val="both"/>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标的名称：居家托养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一、服务内容</w:t>
            </w:r>
          </w:p>
          <w:p>
            <w:pPr>
              <w:pStyle w:val="null3"/>
              <w:ind w:firstLine="480"/>
              <w:jc w:val="both"/>
            </w:pPr>
            <w:r>
              <w:rPr>
                <w:rFonts w:ascii="仿宋_GB2312" w:hAnsi="仿宋_GB2312" w:cs="仿宋_GB2312" w:eastAsia="仿宋_GB2312"/>
                <w:sz w:val="24"/>
              </w:rPr>
              <w:t>（一）居家服务机构</w:t>
            </w:r>
          </w:p>
          <w:p>
            <w:pPr>
              <w:pStyle w:val="null3"/>
              <w:ind w:firstLine="480"/>
              <w:jc w:val="both"/>
            </w:pPr>
            <w:r>
              <w:rPr>
                <w:rFonts w:ascii="仿宋_GB2312" w:hAnsi="仿宋_GB2312" w:cs="仿宋_GB2312" w:eastAsia="仿宋_GB2312"/>
                <w:sz w:val="24"/>
              </w:rPr>
              <w:t>生活照料和护理；社会适应能力辅导；运动功能训练。</w:t>
            </w:r>
          </w:p>
          <w:p>
            <w:pPr>
              <w:pStyle w:val="null3"/>
              <w:ind w:firstLine="482"/>
              <w:jc w:val="both"/>
            </w:pPr>
            <w:r>
              <w:rPr>
                <w:rFonts w:ascii="仿宋_GB2312" w:hAnsi="仿宋_GB2312" w:cs="仿宋_GB2312" w:eastAsia="仿宋_GB2312"/>
                <w:sz w:val="24"/>
                <w:b/>
              </w:rPr>
              <w:t>二、服务预算</w:t>
            </w:r>
          </w:p>
          <w:p>
            <w:pPr>
              <w:pStyle w:val="null3"/>
              <w:ind w:firstLine="480"/>
              <w:jc w:val="both"/>
            </w:pPr>
            <w:r>
              <w:rPr>
                <w:rFonts w:ascii="仿宋_GB2312" w:hAnsi="仿宋_GB2312" w:cs="仿宋_GB2312" w:eastAsia="仿宋_GB2312"/>
                <w:sz w:val="24"/>
              </w:rPr>
              <w:t>（一）居家托养</w:t>
            </w:r>
          </w:p>
          <w:p>
            <w:pPr>
              <w:pStyle w:val="null3"/>
              <w:ind w:firstLine="480"/>
              <w:jc w:val="both"/>
            </w:pPr>
            <w:r>
              <w:rPr>
                <w:rFonts w:ascii="仿宋_GB2312" w:hAnsi="仿宋_GB2312" w:cs="仿宋_GB2312" w:eastAsia="仿宋_GB2312"/>
                <w:sz w:val="24"/>
              </w:rPr>
              <w:t>任务量为</w:t>
            </w:r>
            <w:r>
              <w:rPr>
                <w:rFonts w:ascii="仿宋_GB2312" w:hAnsi="仿宋_GB2312" w:cs="仿宋_GB2312" w:eastAsia="仿宋_GB2312"/>
                <w:sz w:val="24"/>
              </w:rPr>
              <w:t>35人，每月服务次数不少于12次，每人次购买标准为2500元。最终服务任务将结合上级资金下达进度科学统筹安排。</w:t>
            </w:r>
          </w:p>
          <w:p>
            <w:pPr>
              <w:pStyle w:val="null3"/>
              <w:ind w:firstLine="482"/>
              <w:jc w:val="both"/>
            </w:pPr>
            <w:r>
              <w:rPr>
                <w:rFonts w:ascii="仿宋_GB2312" w:hAnsi="仿宋_GB2312" w:cs="仿宋_GB2312" w:eastAsia="仿宋_GB2312"/>
                <w:sz w:val="24"/>
                <w:b/>
              </w:rPr>
              <w:t>三、服务对象</w:t>
            </w:r>
          </w:p>
          <w:p>
            <w:pPr>
              <w:pStyle w:val="null3"/>
              <w:ind w:firstLine="480"/>
              <w:jc w:val="both"/>
            </w:pPr>
            <w:r>
              <w:rPr>
                <w:rFonts w:ascii="仿宋_GB2312" w:hAnsi="仿宋_GB2312" w:cs="仿宋_GB2312" w:eastAsia="仿宋_GB2312"/>
                <w:sz w:val="24"/>
              </w:rPr>
              <w:t>（一）残疾人托养服务</w:t>
            </w:r>
          </w:p>
          <w:p>
            <w:pPr>
              <w:pStyle w:val="null3"/>
              <w:ind w:firstLine="480"/>
              <w:jc w:val="both"/>
            </w:pPr>
            <w:r>
              <w:rPr>
                <w:rFonts w:ascii="仿宋_GB2312" w:hAnsi="仿宋_GB2312" w:cs="仿宋_GB2312" w:eastAsia="仿宋_GB2312"/>
                <w:sz w:val="24"/>
              </w:rPr>
              <w:t>具有宜君县户籍、处于就业年龄段（</w:t>
            </w:r>
            <w:r>
              <w:rPr>
                <w:rFonts w:ascii="仿宋_GB2312" w:hAnsi="仿宋_GB2312" w:cs="仿宋_GB2312" w:eastAsia="仿宋_GB2312"/>
                <w:sz w:val="24"/>
              </w:rPr>
              <w:t>16周岁至法定退休年龄）、持有《中华人民共和国残疾人证》，且有托养服务需求的以下类型残疾人：</w:t>
            </w:r>
          </w:p>
          <w:p>
            <w:pPr>
              <w:pStyle w:val="null3"/>
              <w:ind w:firstLine="480"/>
              <w:jc w:val="both"/>
            </w:pPr>
            <w:r>
              <w:rPr>
                <w:rFonts w:ascii="仿宋_GB2312" w:hAnsi="仿宋_GB2312" w:cs="仿宋_GB2312" w:eastAsia="仿宋_GB2312"/>
                <w:sz w:val="24"/>
              </w:rPr>
              <w:t>1.智力残疾人;</w:t>
            </w:r>
          </w:p>
          <w:p>
            <w:pPr>
              <w:pStyle w:val="null3"/>
              <w:ind w:firstLine="480"/>
              <w:jc w:val="both"/>
            </w:pPr>
            <w:r>
              <w:rPr>
                <w:rFonts w:ascii="仿宋_GB2312" w:hAnsi="仿宋_GB2312" w:cs="仿宋_GB2312" w:eastAsia="仿宋_GB2312"/>
                <w:sz w:val="24"/>
              </w:rPr>
              <w:t>2.稳定期的精神残疾人（指精神障碍已在精神专科确诊并接受治疗，急性期症状得到控制，目前处于较稳定状态，并经精神科医师风险评估可转介托养的精神残疾人）；</w:t>
            </w:r>
          </w:p>
          <w:p>
            <w:pPr>
              <w:pStyle w:val="null3"/>
              <w:ind w:firstLine="480"/>
              <w:jc w:val="both"/>
            </w:pPr>
            <w:r>
              <w:rPr>
                <w:rFonts w:ascii="仿宋_GB2312" w:hAnsi="仿宋_GB2312" w:cs="仿宋_GB2312" w:eastAsia="仿宋_GB2312"/>
                <w:sz w:val="24"/>
              </w:rPr>
              <w:t>3.重度肢体残疾人；</w:t>
            </w:r>
          </w:p>
          <w:p>
            <w:pPr>
              <w:pStyle w:val="null3"/>
              <w:ind w:firstLine="480"/>
              <w:jc w:val="both"/>
            </w:pPr>
            <w:r>
              <w:rPr>
                <w:rFonts w:ascii="仿宋_GB2312" w:hAnsi="仿宋_GB2312" w:cs="仿宋_GB2312" w:eastAsia="仿宋_GB2312"/>
                <w:sz w:val="24"/>
              </w:rPr>
              <w:t>4.同时存在智力残疾或精神残疾的多重残疾人。</w:t>
            </w:r>
          </w:p>
          <w:p>
            <w:pPr>
              <w:pStyle w:val="null3"/>
              <w:ind w:firstLine="480"/>
              <w:jc w:val="both"/>
            </w:pPr>
            <w:r>
              <w:rPr>
                <w:rFonts w:ascii="仿宋_GB2312" w:hAnsi="仿宋_GB2312" w:cs="仿宋_GB2312" w:eastAsia="仿宋_GB2312"/>
                <w:sz w:val="24"/>
              </w:rPr>
              <w:t>（二）社会救助家庭中生活不能自理残疾人照护服务</w:t>
            </w:r>
          </w:p>
          <w:p>
            <w:pPr>
              <w:pStyle w:val="null3"/>
              <w:ind w:firstLine="480"/>
              <w:jc w:val="both"/>
            </w:pPr>
            <w:r>
              <w:rPr>
                <w:rFonts w:ascii="仿宋_GB2312" w:hAnsi="仿宋_GB2312" w:cs="仿宋_GB2312" w:eastAsia="仿宋_GB2312"/>
                <w:sz w:val="24"/>
              </w:rPr>
              <w:t>具有宜君县户籍、</w:t>
            </w:r>
            <w:r>
              <w:rPr>
                <w:rFonts w:ascii="仿宋_GB2312" w:hAnsi="仿宋_GB2312" w:cs="仿宋_GB2312" w:eastAsia="仿宋_GB2312"/>
                <w:sz w:val="24"/>
              </w:rPr>
              <w:t>16周岁以上、持有《中华人民共和国残疾人证》、属于低保或低保边缘家庭、生活不能自理、有照护需求和意愿的残疾人。已纳入特困救助供养、服务类救助、失能老年人照护服务、长期护理保险、残疾人托养服务、精神卫生社区康复服务等相关照护政策或项目覆盖范围的，不作为本服务对象。优先保障符合上述条件的重度残疾人。其中，生活不能自理残疾人的判定依据自主吃饭、穿衣、上下床、如厕、室内行走、洗澡等指标。</w:t>
            </w:r>
          </w:p>
          <w:p>
            <w:pPr>
              <w:pStyle w:val="null3"/>
              <w:ind w:firstLine="48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详见磋商文件相关内容。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详见磋商文件相关内容。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详见磋商文件相关内容。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详见磋商文件相关内容。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详见磋商文件相关内容。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详见磋商文件相关内容。</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180,000.00元为一年的预算。合同价是供应商响应本项目要求的全部工作内容的价格体现，包括供应商完成本项目所需支出的一切成本和费用(包括但不限于人工劳务、设施设备投入、风险、售后服务、税金等)、获得的合法合理利润及其响应文件中所给与的一切附加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140,000.00元为一年的预算。合同价是供应商响应本项目要求的全部工作内容的价格体现，包括供应商完成本项目所需支出的一切成本和费用(包括但不限于人工劳务、设施设备投入、风险、售后服务、税金等)、获得的合法合理利润及其响应文件中所给与的一切附加服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87,500.00元为一年的预算。合同价是供应商响应本项目要求的全部工作内容的价格体现，包括供应商完成本项目所需支出的一切成本和费用(包括但不限于人工劳务、设施设备投入、风险、售后服务、税金等)、获得的合法合理利润及其响应文件中所给与的一切附加服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2026年12月31日前执行完任务目标。服务期3年，合同一年一签。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2026年12月31日前执行完任务目标。服务期3年，合同一年一签。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2026年12月31日前执行完任务目标。服务期3年，合同一年一签。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1.项目完成后，成交供应商书面提出验收申请，由采购人或组织相关人员成立验收小组对项目进行验收，完善项目资料，形成验收报告。 2.承接的托养和照护服务类型应符合《就业年龄段智力、精神及重度肢体残疾人托养服务规范》(国家市场监督管理总局、中国国家标准化管理委员会发布的中华人民共和国国家标准GB/T37516-2019)、《政府购买残疾人服务技术标准与规范(试行)》(残联发〔2016]6号)中关于机构人员和准入标准的有关规定。3.其他未尽事宜应严格按照《财政部关于进一步加强政府采购需求和履约验收管理的指导意见》(财库(2016) 205号)的要求进行。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1.项目完成后，成交供应商书面提出验收申请，由采购人或组织相关人员成立验收小组对项目进行验收，完善项目资料，形成验收报告。 2.承接的托养和照护服务类型应符合《就业年龄段智力、精神及重度肢体残疾人托养服务规范》(国家市场监督管理总局、中国国家标准化管理委员会发布的中华人民共和国国家标准GB/T37516-2019)、《政府购买残疾人服务技术标准与规范(试行)》(残联发〔2016]6号)中关于机构人员和准入标准的有关规定。3.其他未尽事宜应严格按照《财政部关于进一步加强政府采购需求和履约验收管理的指导意见》(财库(2016) 205号)的要求进行。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1.项目完成后，成交供应商书面提出验收申请，由采购人或组织相关人员成立验收小组对项目进行验收，完善项目资料，形成验收报告。 2.承接的托养和照护服务类型应符合《就业年龄段智力、精神及重度肢体残疾人托养服务规范》(国家市场监督管理总局、中国国家标准化管理委员会发布的中华人民共和国国家标准GB/T37516-2019)、《政府购买残疾人服务技术标准与规范(试行)》(残联发〔2016]6号)中关于机构人员和准入标准的有关规定。3.其他未尽事宜应严格按照《财政部关于进一步加强政府采购需求和履约验收管理的指导意见》(财库(2016) 205号)的要求进行。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项目启动初期</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在服务开展期间，将依据实际服务完成进度进行阶段性跟进支付。待服务全部完成，服务结束后根据相关部门验收结果通过财政局授权支付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项目启动初期</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在服务开展期间，将依据实际服务完成进度进行阶段性跟进支付。待服务全部完成，服务结束后根据相关部门验收结果通过财政局授权支付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项目启动初期</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在服务开展期间，将依据实际服务完成进度进行阶段性跟进支付。待服务全部完成，服务结束后根据相关部门验收结果通过财政局授权支付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1、质量标准：符合国家及行业质量验收标准； 2、成交供应商须在结果公告发布之日起5个工作日内，提交响应文件一正一副（建议正反面打印）至陕西省西安市雁塔区陕西省西安市曲江新区商通大道6号智慧大厦一幢203室（陕西浩优项目管理有限公司）；联系人：李金娥；联系电话：029-89553153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 人授权委托书</w:t>
            </w:r>
          </w:p>
        </w:tc>
        <w:tc>
          <w:tcPr>
            <w:tcW w:type="dxa" w:w="3322"/>
          </w:tcPr>
          <w:p>
            <w:pPr>
              <w:pStyle w:val="null3"/>
            </w:pPr>
            <w:r>
              <w:rPr>
                <w:rFonts w:ascii="仿宋_GB2312" w:hAnsi="仿宋_GB2312" w:cs="仿宋_GB2312" w:eastAsia="仿宋_GB2312"/>
              </w:rPr>
              <w:t>法定代表人参加磋商的，提供法定代表人身份证明书（附法定代表人身份证复印件);法定代表人授权他人参加磋商的，提供法定代表人授权委托书(附法定代表人身份证复印件及被授权人身份证复印件);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的经审计的财务会计报告（成立时间至提交磋商响应文件截止时间不足一年的可提供成立后任意时段的资产负债表），或其投标截止日近半年内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提供2025年03月至今已缴纳的至少三个月的纳税证明或完税证明（任意税种），依法免税的单位应提供相关证明材料;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提供2025年03月至今已缴纳的至少三个月的社会保障资金缴存单据或社保机构开具的社会保险参保缴费情况证明,依法不需要缴纳社会保障资金的单位应提供相关证明材料;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设备和专业技术能力提供声明</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信誉截图</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 人授权委托书</w:t>
            </w:r>
          </w:p>
        </w:tc>
        <w:tc>
          <w:tcPr>
            <w:tcW w:type="dxa" w:w="3322"/>
          </w:tcPr>
          <w:p>
            <w:pPr>
              <w:pStyle w:val="null3"/>
            </w:pPr>
            <w:r>
              <w:rPr>
                <w:rFonts w:ascii="仿宋_GB2312" w:hAnsi="仿宋_GB2312" w:cs="仿宋_GB2312" w:eastAsia="仿宋_GB2312"/>
              </w:rPr>
              <w:t>法定代表人参加磋商的，提供法定代表人身份证明书（附法定代表人身份证复印件);法定代表人授权他人参加磋商的，提供法定代表人授权委托书(附法定代表人身份证复印件及被授权人身份证复印件);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的经审计的财务会计报告（成立时间至提交磋商响应文件截止时间不足一年的可提供成立后任意时段的资产负债表），或其投标截止日近半年内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提供2025年03月至今已缴纳的至少三个月的纳税证明或完税证明（任意税种），依法免税的单位应提供相关证明材料;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提供2025年03月至今已缴纳的至少三个月的社会保障资金缴存单据或社保机构开具的社会保险参保缴费情况证明,依法不需要缴纳社会保障资金的单位应提供相关证明材料;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设备和专业技术能力提供声明</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信誉截图</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法定代表人参加磋商的，提供法定代表人身份证明书（附法定代表人身份证复印件);法定代表人授权他人参加磋商的，提供法定代表人授权委托书(附法定代表人身份证复印件及被授权人身份证复印件);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的经审计的财务会计报告（成立时间至提交磋商响应文件截止时间不足一年的可提供成立后任意时段的资产负债表），或其投标截止日近半年内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提供2025年03月至今已缴纳的至少三个月的纳税证明或完税证明（任意税种），依法免税的单位应提供相关证明材料;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提供2025年03月至今已缴纳的至少三个月的社会保障资金缴存单据或社保机构开具的社会保险参保缴费情况证明,依法不需要缴纳社会保障资金的单位应提供相关证明材料;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设备和专业技术能力提供声明</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信誉截图</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供应商认为需要提交的其他资料.docx 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反商业贿赂承诺函.docx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磋商响应文件的签署、盖章合法、有效</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磋商响应文件格式、语言、计量单 位、报价货币</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磋商一览表.docx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w:t>
            </w:r>
          </w:p>
        </w:tc>
        <w:tc>
          <w:tcPr>
            <w:tcW w:type="dxa" w:w="1661"/>
          </w:tcPr>
          <w:p>
            <w:pPr>
              <w:pStyle w:val="null3"/>
            </w:pPr>
            <w:r>
              <w:rPr>
                <w:rFonts w:ascii="仿宋_GB2312" w:hAnsi="仿宋_GB2312" w:cs="仿宋_GB2312" w:eastAsia="仿宋_GB2312"/>
              </w:rPr>
              <w:t>响应文件封面 磋商一览表.docx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其他未达到磋商文件要求的情况</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反商业贿赂承诺函.docx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磋商响应文件的签署、盖章合法、有效</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磋商响应文件格式、语言、计量单 位、报价货币</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磋商一览表.docx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w:t>
            </w:r>
          </w:p>
        </w:tc>
        <w:tc>
          <w:tcPr>
            <w:tcW w:type="dxa" w:w="1661"/>
          </w:tcPr>
          <w:p>
            <w:pPr>
              <w:pStyle w:val="null3"/>
            </w:pPr>
            <w:r>
              <w:rPr>
                <w:rFonts w:ascii="仿宋_GB2312" w:hAnsi="仿宋_GB2312" w:cs="仿宋_GB2312" w:eastAsia="仿宋_GB2312"/>
              </w:rPr>
              <w:t>响应文件封面 磋商一览表.docx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其他未达到磋商文件要求的情况</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反商业贿赂承诺函.docx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磋商响应文件的签署、盖章合法、有效</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磋商响应文件格式、语言、计量单 位、报价货币</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磋商一览表.docx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w:t>
            </w:r>
          </w:p>
        </w:tc>
        <w:tc>
          <w:tcPr>
            <w:tcW w:type="dxa" w:w="1661"/>
          </w:tcPr>
          <w:p>
            <w:pPr>
              <w:pStyle w:val="null3"/>
            </w:pPr>
            <w:r>
              <w:rPr>
                <w:rFonts w:ascii="仿宋_GB2312" w:hAnsi="仿宋_GB2312" w:cs="仿宋_GB2312" w:eastAsia="仿宋_GB2312"/>
              </w:rPr>
              <w:t>响应文件封面 磋商一览表.docx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其他未达到磋商文件要求的情况</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寄宿制托养服务方案</w:t>
            </w:r>
          </w:p>
        </w:tc>
        <w:tc>
          <w:tcPr>
            <w:tcW w:type="dxa" w:w="2492"/>
          </w:tcPr>
          <w:p>
            <w:pPr>
              <w:pStyle w:val="null3"/>
            </w:pPr>
            <w:r>
              <w:rPr>
                <w:rFonts w:ascii="仿宋_GB2312" w:hAnsi="仿宋_GB2312" w:cs="仿宋_GB2312" w:eastAsia="仿宋_GB2312"/>
              </w:rPr>
              <w:t>供应商针对本项目提供服务方案，方案需包含①生活照料和护理方案；②生活自理能力训练方案；③社会适应能力辅导方案；④职业康复和劳动技能训练方案；⑤运动功能训练方案。注：每具有一项得10分，最多得50分。 在此基础上，方案中存在缺陷的，每 一 项中每有一处 扣1分，每项最多扣10分，扣完为止。内容缺陷是指：非专门针对本项目或不适用项目特性的情形、内容不完整或缺少关键节点、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供应商的管理制度进行评审，评审内容包括：①财务管理制度；②资产管理制度；③档案管理制度；④环境卫生管理制度；⑤安全管理制度；以上五项内容全面详细、逻辑条理清晰明确且符合本项目需求，能有效保障本项目实施，每具有一项得[0-2]分，最多得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供应商针对本项目提供相应的康复器材（设备、器具），列出相应的清单并对设施情况进行必要的阐述及说明。 ①拟投入康复器材数量充足，种类丰富，设备情况完好，完全满足项目使用，有利于项目实施的得（6-10]分； ②拟投入康复器材数量较为充足，种类相对单一，基本能满足项目使用，得（3-6]分； ③拟投入康复器材数量及种类有欠缺，不能满足项目使用，得[0-3]分；未提供不得分。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专业人员配备</w:t>
            </w:r>
          </w:p>
        </w:tc>
        <w:tc>
          <w:tcPr>
            <w:tcW w:type="dxa" w:w="2492"/>
          </w:tcPr>
          <w:p>
            <w:pPr>
              <w:pStyle w:val="null3"/>
            </w:pPr>
            <w:r>
              <w:rPr>
                <w:rFonts w:ascii="仿宋_GB2312" w:hAnsi="仿宋_GB2312" w:cs="仿宋_GB2312" w:eastAsia="仿宋_GB2312"/>
              </w:rPr>
              <w:t>项目成员有康复相关专业人员和护理相关人员，（需提专业证书）能完成本项目的能力，以及丰富的经验； ①人员架构合理，专业性强，经验丰富，得（6-10]分；②人员架构一般，专业性及经验一般，得（3-6]分； ③人员架构不明确，专业性及经验较差，得[0-3]分；未提供不得分。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由于服务对象的特殊性，各供应商针对在本项目服务过程中出现的突发应急事件，提供思路清晰，突出重点、内容全面的应急处置方案。 ①应急突发事件的处置方案全面、科学、合理、可行，得(4-6]分；②应急处置方案内容及实用性一般，得(2-4]分；③应急处置方案内容重点不突出，实用性较差，得[0-2]分；未提供不得分。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供应商须提供2023年3月至今（以合同签订时间为准）类似项目业绩(同时提供合同复印件加盖公章)，每提供一份得2分，最高得4分。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供应商认为需要提交的其他资料.docx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满足磋商文件要求且最终报价最低的供应商的价格为磋商基准价，其价格得分为满分。其他供应商的价 格得分统一按照下列公式计算： 磋商报价得分=（磋商基准价/最终磋商报价）*价格分值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日间照料服务方案</w:t>
            </w:r>
          </w:p>
        </w:tc>
        <w:tc>
          <w:tcPr>
            <w:tcW w:type="dxa" w:w="2492"/>
          </w:tcPr>
          <w:p>
            <w:pPr>
              <w:pStyle w:val="null3"/>
            </w:pPr>
            <w:r>
              <w:rPr>
                <w:rFonts w:ascii="仿宋_GB2312" w:hAnsi="仿宋_GB2312" w:cs="仿宋_GB2312" w:eastAsia="仿宋_GB2312"/>
              </w:rPr>
              <w:t>供应商针对本项目提供服务方案，方案需包含①生活照料和护理方案；②生活自理能力训练方案；③社会适应能力辅导方案；④职业康复和劳动技能训练方案；⑤运动功能训练方案。注：每具有一项得10分，最多得50分。 在此基础上，方案中存在缺陷的，每 一 项中每有一处 扣1分，每项最多扣10分，扣完为止。内容缺陷是指：非专门针对本项目或不适用项目特性的情形、内容不完整或缺少关键节点、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供应商的管理制度进行评审，评审内容包括：①财务管理制度；②资产管理制度；③档案管理制度；④环境卫生管理制度；⑤安全管理制度；以上五项内容全面详细、逻辑条理清晰明确且符合本项目需求，能有效保障本项目实施，每具有一项得[0-2]分，最多得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供应商针对本项目提供相应的康复器材（设备、器具），列出相应的清单并对设施情况进行必要的阐述及说明。 ①拟投入康复器材数量充足，种类丰富，设备情况完好，完全满足项目使用，有利于项目实施的得（6-10]分； ②拟投入康复器材数量较为充足，种类相对单一，基本能满足项目使用，得（3-6]分； ③拟投入康复器材数量及种类有欠缺，不能满足项目使用，得[0-3]分；未提供不得分。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专业人员配备</w:t>
            </w:r>
          </w:p>
        </w:tc>
        <w:tc>
          <w:tcPr>
            <w:tcW w:type="dxa" w:w="2492"/>
          </w:tcPr>
          <w:p>
            <w:pPr>
              <w:pStyle w:val="null3"/>
            </w:pPr>
            <w:r>
              <w:rPr>
                <w:rFonts w:ascii="仿宋_GB2312" w:hAnsi="仿宋_GB2312" w:cs="仿宋_GB2312" w:eastAsia="仿宋_GB2312"/>
              </w:rPr>
              <w:t>项目成员有康复相关专业人员和护理相关人员，（需提专业证书）能完成本项目的能力，以及丰富的经验； ①人员架构合理，专业性强，经验丰富，得（6-10]分；②人员架构一般，专业性及经验一般，得（3-6]分； ③人员架构不明确，专业性及经验较差，得[0-3]分；未提供不得分。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由于服务对象的特殊性，各供应商针对在本项目服务过程中出现的突发应急事件，提供思路清晰，突出重点、内容全面的应急处置方案。 ①应急突发事件的处置方案全面、科学、合理、可行，得(4-6]分；②应急处置方案内容及实用性一般，得(2-4]分；③应急处置方案内容重点不突出，实用性较差，得[0-2]分；未提供不得分。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供应商须提供2023年3月至今（以合同签订时间为准）类似项目业绩(同时提供合同复印件加盖公章)，每提供一份得2分，最高得4分。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供应商认为需要提交的其他资料.docx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满足磋商文件要求且最终报价最低的供应商的价格为磋商基准价，其价格得分为满分。其他供应商的价 格得分统一按照下列公式计算： 磋商报价得分=（磋商基准价/最终磋商报价）*价格分值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居家托养服务方案</w:t>
            </w:r>
          </w:p>
        </w:tc>
        <w:tc>
          <w:tcPr>
            <w:tcW w:type="dxa" w:w="2492"/>
          </w:tcPr>
          <w:p>
            <w:pPr>
              <w:pStyle w:val="null3"/>
            </w:pPr>
            <w:r>
              <w:rPr>
                <w:rFonts w:ascii="仿宋_GB2312" w:hAnsi="仿宋_GB2312" w:cs="仿宋_GB2312" w:eastAsia="仿宋_GB2312"/>
              </w:rPr>
              <w:t>供应商针对本项目提供服务方案，方案需包含①生活照料和护理方案；②社会适应能力辅导方案；③运动功能训练方案；注：每具有一项得15分，最多得45分。 在此基础上，方案中存在缺陷的，每 一 项中每有一处 扣1.5分，每项最多扣15分，扣完为止。内容缺陷是指：非专门针对本项目或不适用项目特性的情形、内容不完整或缺少关键节点、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供应商的管理制度进行评审，评审内容包括：①财务管理制度；②资产管理制度；③档案管理制度；④环境卫生管理制度；⑤安全管理制度；以上五项内容全面详细、逻辑条理清晰明确且符合本项目需求，能有效保障本项目实施，每具有一项得[0-3]分，最多得15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供应商针对本项目提供相应的康复器材（设备、器具），列出相应的清单并对设施情况进行必要的阐述及说明。 ①拟投入康复器材数量充足，种类丰富，设备情况完好，完全满足项目使用，有利于项目实施的得（6-10]分； ②拟投入康复器材数量较为充足，种类相对单一，基本能满足项目使用，得（3-6]分； ③拟投入康复器材数量及种类有欠缺，不能满足项目使用，得[0-3]分；未提供不得分。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专业人员配备</w:t>
            </w:r>
          </w:p>
        </w:tc>
        <w:tc>
          <w:tcPr>
            <w:tcW w:type="dxa" w:w="2492"/>
          </w:tcPr>
          <w:p>
            <w:pPr>
              <w:pStyle w:val="null3"/>
            </w:pPr>
            <w:r>
              <w:rPr>
                <w:rFonts w:ascii="仿宋_GB2312" w:hAnsi="仿宋_GB2312" w:cs="仿宋_GB2312" w:eastAsia="仿宋_GB2312"/>
              </w:rPr>
              <w:t>项目成员有康复相关专业人员和护理相关人员，（需提专业证书）能完成本项目的的能力，以及丰富的经验； ①人员架构合理，专业性强，经验丰富，得（6-10]分；②人员架构一般，专业性及经验一般，得（3-6]分； ③人员架构不明确，专业性及经验较差，得[0-3]分；未提供不得分。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由于服务对象的特殊性，各供应商针对在本项目服务过程中出现的突发应急事件，提供思路清晰，突出重点、内容全面的应急处置方案。 ①应急突发事件的处置方案全面、科学、合理、可行，得(4-6]分；②应急处置方案内容及实用性一般，得(2-4]分；③应急处置方案内容重点不突出，实用性较差，得[0-2]分；未提供不得分。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供应商须提供2023年3月至今（以合同签订时间为准）类似项目业绩(同时提供合同复印件加盖公章)，每提供一份得2分，最高得4分。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供应商认为需要提交的其他资料.docx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满足磋商文件要求且最终报价最低的供应商的价格为磋商基准价，其价格得分为满分。其他供应商的价 格得分统一按照下列公式计算： 磋商报价得分=（磋商基准价/最终磋商报价）*价格分值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详见附件：磋商一览表.docx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详见附件：反商业贿赂承诺函.docx</w:t>
      </w:r>
    </w:p>
    <w:p>
      <w:pPr>
        <w:pStyle w:val="null3"/>
        <w:ind w:firstLine="960"/>
      </w:pPr>
      <w:r>
        <w:rPr>
          <w:rFonts w:ascii="仿宋_GB2312" w:hAnsi="仿宋_GB2312" w:cs="仿宋_GB2312" w:eastAsia="仿宋_GB2312"/>
        </w:rPr>
        <w:t>详见附件：供应商认为需要提交的其他资料.docx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详见附件：磋商一览表.docx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详见附件：反商业贿赂承诺函.docx</w:t>
      </w:r>
    </w:p>
    <w:p>
      <w:pPr>
        <w:pStyle w:val="null3"/>
        <w:ind w:firstLine="960"/>
      </w:pPr>
      <w:r>
        <w:rPr>
          <w:rFonts w:ascii="仿宋_GB2312" w:hAnsi="仿宋_GB2312" w:cs="仿宋_GB2312" w:eastAsia="仿宋_GB2312"/>
        </w:rPr>
        <w:t>详见附件：供应商认为需要提交的其他资料.docx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详见附件：磋商一览表.docx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详见附件：反商业贿赂承诺函.docx</w:t>
      </w:r>
    </w:p>
    <w:p>
      <w:pPr>
        <w:pStyle w:val="null3"/>
        <w:ind w:firstLine="960"/>
      </w:pPr>
      <w:r>
        <w:rPr>
          <w:rFonts w:ascii="仿宋_GB2312" w:hAnsi="仿宋_GB2312" w:cs="仿宋_GB2312" w:eastAsia="仿宋_GB2312"/>
        </w:rPr>
        <w:t>详见附件：供应商认为需要提交的其他资料.docx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