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版本号：XBZB-SE20260309-11020260413001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宜君县县城环卫作业外包服务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XBZB-SE20260309-110</w:t>
      </w:r>
      <w:r>
        <w:br/>
      </w:r>
      <w:r>
        <w:br/>
      </w:r>
      <w:r>
        <w:br/>
      </w:r>
    </w:p>
    <w:p>
      <w:pPr>
        <w:pStyle w:val="null3"/>
        <w:jc w:val="center"/>
        <w:outlineLvl w:val="2"/>
      </w:pPr>
      <w:r>
        <w:rPr>
          <w:rFonts w:ascii="仿宋_GB2312" w:hAnsi="仿宋_GB2312" w:cs="仿宋_GB2312" w:eastAsia="仿宋_GB2312"/>
          <w:sz w:val="28"/>
          <w:b/>
        </w:rPr>
        <w:t>宜君县市容环卫所</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宜君县市容环卫所</w:t>
      </w:r>
      <w:r>
        <w:rPr>
          <w:rFonts w:ascii="仿宋_GB2312" w:hAnsi="仿宋_GB2312" w:cs="仿宋_GB2312" w:eastAsia="仿宋_GB2312"/>
        </w:rPr>
        <w:t>委托，拟对</w:t>
      </w:r>
      <w:r>
        <w:rPr>
          <w:rFonts w:ascii="仿宋_GB2312" w:hAnsi="仿宋_GB2312" w:cs="仿宋_GB2312" w:eastAsia="仿宋_GB2312"/>
        </w:rPr>
        <w:t>宜君县县城环卫作业外包服务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XBZB-SE20260309-110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宜君县县城环卫作业外包服务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宜君县县城环卫作业外包服务，服务主要包括以下内容：道路清扫保洁、广场清扫保洁、公厕清扫保洁、冬季铲雪保畅、垃圾清运、垃圾场运行管理等。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2、供应商应授权合法的人员参加投标全过程：法定代表人直接参加投标的，须出具法定代表人身份证明及身份证；法定代表人授权代表参加投标的，须出具法定代表人授权委托书及授权代表身份证；</w:t>
      </w:r>
    </w:p>
    <w:p>
      <w:pPr>
        <w:pStyle w:val="null3"/>
      </w:pPr>
      <w:r>
        <w:rPr>
          <w:rFonts w:ascii="仿宋_GB2312" w:hAnsi="仿宋_GB2312" w:cs="仿宋_GB2312" w:eastAsia="仿宋_GB2312"/>
        </w:rPr>
        <w:t>3、财务状况报告：提供（1）或提供（2）：（1）提供2024年度或2025年度财务报告复印件，应满足以下要求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资信证明须为递交响应文件截止时间前六个月内由供应商基本账户开户银行出具。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p>
      <w:pPr>
        <w:pStyle w:val="null3"/>
      </w:pPr>
      <w:r>
        <w:rPr>
          <w:rFonts w:ascii="仿宋_GB2312" w:hAnsi="仿宋_GB2312" w:cs="仿宋_GB2312" w:eastAsia="仿宋_GB2312"/>
        </w:rPr>
        <w:t>4、税收缴纳证明：提供投标截止时间前一年内任意1个月已缴纳的纳税证明或完税证明（成立未满1个月的提供成立至今），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5、社会保障资金缴纳证明：提供投标截止时间前一年内任意1个月已缴纳的社会保障资金缴存单据或社保机构开具的社会保险参保缴费情况证明（社会保障资金缴存单据或社保机构开具的社会保险参保缴费情况证明）（成立未满1个月的提供成立至今），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6、信用查询：供应商不得为“信用中国(www.creditchina.gov.cn)”中列入失信被执行人和重大税收违法案件当事人名单的供应商，不得为“中国政府采购网(www.ccgp.gov.cn)”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7、履约能力：出具具备履行合同所必需的设备和专业技术能力的书面声明；供应商需在项目电子化交易系统中按要求上传相应证明文件并进行电子签章。</w:t>
      </w:r>
    </w:p>
    <w:p>
      <w:pPr>
        <w:pStyle w:val="null3"/>
      </w:pPr>
      <w:r>
        <w:rPr>
          <w:rFonts w:ascii="仿宋_GB2312" w:hAnsi="仿宋_GB2312" w:cs="仿宋_GB2312" w:eastAsia="仿宋_GB2312"/>
        </w:rPr>
        <w:t>8、书面声明：出具具备履行合同所必需的设备和专业技术能力的书面声明；供应商需在项目电子化交易系统中按要求上传相应证明文件并进行电子签章。</w:t>
      </w:r>
    </w:p>
    <w:p>
      <w:pPr>
        <w:pStyle w:val="null3"/>
      </w:pPr>
      <w:r>
        <w:rPr>
          <w:rFonts w:ascii="仿宋_GB2312" w:hAnsi="仿宋_GB2312" w:cs="仿宋_GB2312" w:eastAsia="仿宋_GB2312"/>
        </w:rPr>
        <w:t>9、其他：本项目不接受联合体投标，投标单位负责人为同一人或者存在控股、管理关系的不同单位，不得参加同一招标项目投标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宜君县市容环卫所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陕西省铜川市宜君县人社楼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0919-8161593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陕西省西安市碑林区长安国际中心F座17层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15202924802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采购包1：5,603,345.86元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及造价咨询服务费由成交供应商在领取《成交通知书》时，一次性足额向采购代理机构支付；2.收费依据：招标代理服务费以成交价作为基数，按照《国家计委关于印发&lt;招标代理服务收费管理暂行办法&gt;的通知》（计价格[2002]1980号）及《国家发展改革委办公厅关于招标代理服务收费有关问题的通知》（发改价格[2003]857号）文件的通知标准收取；造价咨询费以委托人核准的最高限价作为计费基数，按陕西省物价局及陕西省建设厅文件陕价行发[2014]88号文件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宜君县市容环卫所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宜君县市容环卫所</w:t>
      </w:r>
      <w:r>
        <w:rPr>
          <w:rFonts w:ascii="仿宋_GB2312" w:hAnsi="仿宋_GB2312" w:cs="仿宋_GB2312" w:eastAsia="仿宋_GB2312"/>
        </w:rPr>
        <w:t>负责解释。除上述招标文件内容，其他内容由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宜君县市容环卫所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联系人：张圆</w:t>
      </w:r>
    </w:p>
    <w:p>
      <w:pPr>
        <w:pStyle w:val="null3"/>
      </w:pPr>
      <w:r>
        <w:rPr>
          <w:rFonts w:ascii="仿宋_GB2312" w:hAnsi="仿宋_GB2312" w:cs="仿宋_GB2312" w:eastAsia="仿宋_GB2312"/>
        </w:rPr>
        <w:t>联系电话：15202924802</w:t>
      </w:r>
    </w:p>
    <w:p>
      <w:pPr>
        <w:pStyle w:val="null3"/>
      </w:pPr>
      <w:r>
        <w:rPr>
          <w:rFonts w:ascii="仿宋_GB2312" w:hAnsi="仿宋_GB2312" w:cs="仿宋_GB2312" w:eastAsia="仿宋_GB2312"/>
        </w:rPr>
        <w:t>地址：陕西省西安市未央区西派中心写字楼C座1单元10层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宜君县县城环卫作业外包服务，服务主要包括以下内容：道路清扫保洁、广场清扫保洁、公厕清扫保洁、冬季铲雪保畅、垃圾清运、垃圾场运行管理等。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5,603,345.86</w:t>
      </w:r>
    </w:p>
    <w:p>
      <w:pPr>
        <w:pStyle w:val="null3"/>
      </w:pPr>
      <w:r>
        <w:rPr>
          <w:rFonts w:ascii="仿宋_GB2312" w:hAnsi="仿宋_GB2312" w:cs="仿宋_GB2312" w:eastAsia="仿宋_GB2312"/>
        </w:rPr>
        <w:t>采购包最高限价（元）: 5,603,345.86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宜君县县城环卫作业外包服务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5,603,345.86</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标的名称：宜君县县城环卫作业外包服务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shd w:fill="FFFFFF" w:val="clear"/>
              </w:rPr>
              <w:t>本项目预算金额为</w:t>
            </w:r>
            <w:r>
              <w:rPr>
                <w:rFonts w:ascii="仿宋_GB2312" w:hAnsi="仿宋_GB2312" w:cs="仿宋_GB2312" w:eastAsia="仿宋_GB2312"/>
                <w:sz w:val="20"/>
                <w:shd w:fill="FFFFFF" w:val="clear"/>
              </w:rPr>
              <w:t>560.334586万元/年。</w:t>
            </w:r>
          </w:p>
          <w:p>
            <w:pPr>
              <w:pStyle w:val="null3"/>
              <w:spacing w:after="150"/>
              <w:jc w:val="left"/>
              <w:outlineLvl w:val="0"/>
            </w:pPr>
            <w:r>
              <w:rPr>
                <w:rFonts w:ascii="仿宋_GB2312" w:hAnsi="仿宋_GB2312" w:cs="仿宋_GB2312" w:eastAsia="仿宋_GB2312"/>
                <w:sz w:val="20"/>
                <w:b/>
              </w:rPr>
              <w:t>1、项目概述</w:t>
            </w:r>
          </w:p>
          <w:p>
            <w:pPr>
              <w:pStyle w:val="null3"/>
              <w:ind w:firstLine="400"/>
              <w:jc w:val="left"/>
            </w:pPr>
            <w:r>
              <w:rPr>
                <w:rFonts w:ascii="仿宋_GB2312" w:hAnsi="仿宋_GB2312" w:cs="仿宋_GB2312" w:eastAsia="仿宋_GB2312"/>
                <w:sz w:val="20"/>
                <w:shd w:fill="FFFFFF" w:val="clear"/>
              </w:rPr>
              <w:t>项目名称：宜君县县城环卫作业外包服务项目，主要包括以下内容：</w:t>
            </w:r>
          </w:p>
          <w:p>
            <w:pPr>
              <w:pStyle w:val="null3"/>
              <w:ind w:firstLine="400"/>
              <w:jc w:val="left"/>
            </w:pPr>
            <w:r>
              <w:rPr>
                <w:rFonts w:ascii="仿宋_GB2312" w:hAnsi="仿宋_GB2312" w:cs="仿宋_GB2312" w:eastAsia="仿宋_GB2312"/>
                <w:sz w:val="20"/>
                <w:shd w:fill="FFFFFF" w:val="clear"/>
              </w:rPr>
              <w:t>宜君县县城环卫作业外包服务项目，主要包括以下内容：</w:t>
            </w:r>
          </w:p>
          <w:p>
            <w:pPr>
              <w:pStyle w:val="null3"/>
              <w:ind w:firstLine="400"/>
              <w:jc w:val="left"/>
            </w:pPr>
            <w:r>
              <w:rPr>
                <w:rFonts w:ascii="仿宋_GB2312" w:hAnsi="仿宋_GB2312" w:cs="仿宋_GB2312" w:eastAsia="仿宋_GB2312"/>
                <w:sz w:val="20"/>
                <w:shd w:fill="FFFFFF" w:val="clear"/>
              </w:rPr>
              <w:t>1、道路清扫保洁（共233811</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）：宜阳南街</w:t>
            </w:r>
            <w:r>
              <w:rPr>
                <w:rFonts w:ascii="仿宋_GB2312" w:hAnsi="仿宋_GB2312" w:cs="仿宋_GB2312" w:eastAsia="仿宋_GB2312"/>
                <w:sz w:val="20"/>
                <w:shd w:fill="FFFFFF" w:val="clear"/>
              </w:rPr>
              <w:t>10080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、宜阳中街</w:t>
            </w:r>
            <w:r>
              <w:rPr>
                <w:rFonts w:ascii="仿宋_GB2312" w:hAnsi="仿宋_GB2312" w:cs="仿宋_GB2312" w:eastAsia="仿宋_GB2312"/>
                <w:sz w:val="20"/>
                <w:shd w:fill="FFFFFF" w:val="clear"/>
              </w:rPr>
              <w:t>21712</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、宜阳北街</w:t>
            </w:r>
            <w:r>
              <w:rPr>
                <w:rFonts w:ascii="仿宋_GB2312" w:hAnsi="仿宋_GB2312" w:cs="仿宋_GB2312" w:eastAsia="仿宋_GB2312"/>
                <w:sz w:val="20"/>
                <w:shd w:fill="FFFFFF" w:val="clear"/>
              </w:rPr>
              <w:t>22400m2、南山公园40000m2、、南山公园延伸段至花溪谷游乐场5000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、玉华路</w:t>
            </w:r>
            <w:r>
              <w:rPr>
                <w:rFonts w:ascii="仿宋_GB2312" w:hAnsi="仿宋_GB2312" w:cs="仿宋_GB2312" w:eastAsia="仿宋_GB2312"/>
                <w:sz w:val="20"/>
                <w:shd w:fill="FFFFFF" w:val="clear"/>
              </w:rPr>
              <w:t>14300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、兴宜路</w:t>
            </w:r>
            <w:r>
              <w:rPr>
                <w:rFonts w:ascii="仿宋_GB2312" w:hAnsi="仿宋_GB2312" w:cs="仿宋_GB2312" w:eastAsia="仿宋_GB2312"/>
                <w:sz w:val="20"/>
                <w:shd w:fill="FFFFFF" w:val="clear"/>
              </w:rPr>
              <w:t>2610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、文化西路</w:t>
            </w:r>
            <w:r>
              <w:rPr>
                <w:rFonts w:ascii="仿宋_GB2312" w:hAnsi="仿宋_GB2312" w:cs="仿宋_GB2312" w:eastAsia="仿宋_GB2312"/>
                <w:sz w:val="20"/>
                <w:shd w:fill="FFFFFF" w:val="clear"/>
              </w:rPr>
              <w:t>880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、友谊西路</w:t>
            </w:r>
            <w:r>
              <w:rPr>
                <w:rFonts w:ascii="仿宋_GB2312" w:hAnsi="仿宋_GB2312" w:cs="仿宋_GB2312" w:eastAsia="仿宋_GB2312"/>
                <w:sz w:val="20"/>
                <w:shd w:fill="FFFFFF" w:val="clear"/>
              </w:rPr>
              <w:t>780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、友谊东路</w:t>
            </w:r>
            <w:r>
              <w:rPr>
                <w:rFonts w:ascii="仿宋_GB2312" w:hAnsi="仿宋_GB2312" w:cs="仿宋_GB2312" w:eastAsia="仿宋_GB2312"/>
                <w:sz w:val="20"/>
                <w:shd w:fill="FFFFFF" w:val="clear"/>
              </w:rPr>
              <w:t>1264</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、玉华路</w:t>
            </w:r>
            <w:r>
              <w:rPr>
                <w:rFonts w:ascii="仿宋_GB2312" w:hAnsi="仿宋_GB2312" w:cs="仿宋_GB2312" w:eastAsia="仿宋_GB2312"/>
                <w:sz w:val="20"/>
                <w:shd w:fill="FFFFFF" w:val="clear"/>
              </w:rPr>
              <w:t>14300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、万寿路</w:t>
            </w:r>
            <w:r>
              <w:rPr>
                <w:rFonts w:ascii="仿宋_GB2312" w:hAnsi="仿宋_GB2312" w:cs="仿宋_GB2312" w:eastAsia="仿宋_GB2312"/>
                <w:sz w:val="20"/>
                <w:shd w:fill="FFFFFF" w:val="clear"/>
              </w:rPr>
              <w:t>5954</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、兴宜路</w:t>
            </w:r>
            <w:r>
              <w:rPr>
                <w:rFonts w:ascii="仿宋_GB2312" w:hAnsi="仿宋_GB2312" w:cs="仿宋_GB2312" w:eastAsia="仿宋_GB2312"/>
                <w:sz w:val="20"/>
                <w:shd w:fill="FFFFFF" w:val="clear"/>
              </w:rPr>
              <w:t>6090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、老街前段</w:t>
            </w:r>
            <w:r>
              <w:rPr>
                <w:rFonts w:ascii="仿宋_GB2312" w:hAnsi="仿宋_GB2312" w:cs="仿宋_GB2312" w:eastAsia="仿宋_GB2312"/>
                <w:sz w:val="20"/>
                <w:shd w:fill="FFFFFF" w:val="clear"/>
              </w:rPr>
              <w:t>14080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、绕城路</w:t>
            </w:r>
            <w:r>
              <w:rPr>
                <w:rFonts w:ascii="仿宋_GB2312" w:hAnsi="仿宋_GB2312" w:cs="仿宋_GB2312" w:eastAsia="仿宋_GB2312"/>
                <w:sz w:val="20"/>
                <w:shd w:fill="FFFFFF" w:val="clear"/>
              </w:rPr>
              <w:t>30000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、人民东路</w:t>
            </w:r>
            <w:r>
              <w:rPr>
                <w:rFonts w:ascii="仿宋_GB2312" w:hAnsi="仿宋_GB2312" w:cs="仿宋_GB2312" w:eastAsia="仿宋_GB2312"/>
                <w:sz w:val="20"/>
                <w:shd w:fill="FFFFFF" w:val="clear"/>
              </w:rPr>
              <w:t>1232</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、人民西路</w:t>
            </w:r>
            <w:r>
              <w:rPr>
                <w:rFonts w:ascii="仿宋_GB2312" w:hAnsi="仿宋_GB2312" w:cs="仿宋_GB2312" w:eastAsia="仿宋_GB2312"/>
                <w:sz w:val="20"/>
                <w:shd w:fill="FFFFFF" w:val="clear"/>
              </w:rPr>
              <w:t>300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、文化东路</w:t>
            </w:r>
            <w:r>
              <w:rPr>
                <w:rFonts w:ascii="仿宋_GB2312" w:hAnsi="仿宋_GB2312" w:cs="仿宋_GB2312" w:eastAsia="仿宋_GB2312"/>
                <w:sz w:val="20"/>
                <w:shd w:fill="FFFFFF" w:val="clear"/>
              </w:rPr>
              <w:t>472</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、文化西路</w:t>
            </w:r>
            <w:r>
              <w:rPr>
                <w:rFonts w:ascii="仿宋_GB2312" w:hAnsi="仿宋_GB2312" w:cs="仿宋_GB2312" w:eastAsia="仿宋_GB2312"/>
                <w:sz w:val="20"/>
                <w:shd w:fill="FFFFFF" w:val="clear"/>
              </w:rPr>
              <w:t>8000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、花园路</w:t>
            </w:r>
            <w:r>
              <w:rPr>
                <w:rFonts w:ascii="仿宋_GB2312" w:hAnsi="仿宋_GB2312" w:cs="仿宋_GB2312" w:eastAsia="仿宋_GB2312"/>
                <w:sz w:val="20"/>
                <w:shd w:fill="FFFFFF" w:val="clear"/>
              </w:rPr>
              <w:t>800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、教场路</w:t>
            </w:r>
            <w:r>
              <w:rPr>
                <w:rFonts w:ascii="仿宋_GB2312" w:hAnsi="仿宋_GB2312" w:cs="仿宋_GB2312" w:eastAsia="仿宋_GB2312"/>
                <w:sz w:val="20"/>
                <w:shd w:fill="FFFFFF" w:val="clear"/>
              </w:rPr>
              <w:t>1987</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、文教局路</w:t>
            </w:r>
            <w:r>
              <w:rPr>
                <w:rFonts w:ascii="仿宋_GB2312" w:hAnsi="仿宋_GB2312" w:cs="仿宋_GB2312" w:eastAsia="仿宋_GB2312"/>
                <w:sz w:val="20"/>
                <w:shd w:fill="FFFFFF" w:val="clear"/>
              </w:rPr>
              <w:t>1500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、利民路</w:t>
            </w:r>
            <w:r>
              <w:rPr>
                <w:rFonts w:ascii="仿宋_GB2312" w:hAnsi="仿宋_GB2312" w:cs="仿宋_GB2312" w:eastAsia="仿宋_GB2312"/>
                <w:sz w:val="20"/>
                <w:shd w:fill="FFFFFF" w:val="clear"/>
              </w:rPr>
              <w:t>600m2、兴农路13000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、一中通道</w:t>
            </w:r>
            <w:r>
              <w:rPr>
                <w:rFonts w:ascii="仿宋_GB2312" w:hAnsi="仿宋_GB2312" w:cs="仿宋_GB2312" w:eastAsia="仿宋_GB2312"/>
                <w:sz w:val="20"/>
                <w:shd w:fill="FFFFFF" w:val="clear"/>
              </w:rPr>
              <w:t>660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、微波站通道</w:t>
            </w:r>
            <w:r>
              <w:rPr>
                <w:rFonts w:ascii="仿宋_GB2312" w:hAnsi="仿宋_GB2312" w:cs="仿宋_GB2312" w:eastAsia="仿宋_GB2312"/>
                <w:sz w:val="20"/>
                <w:shd w:fill="FFFFFF" w:val="clear"/>
              </w:rPr>
              <w:t>480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、公安局巷</w:t>
            </w:r>
            <w:r>
              <w:rPr>
                <w:rFonts w:ascii="仿宋_GB2312" w:hAnsi="仿宋_GB2312" w:cs="仿宋_GB2312" w:eastAsia="仿宋_GB2312"/>
                <w:sz w:val="20"/>
                <w:shd w:fill="FFFFFF" w:val="clear"/>
              </w:rPr>
              <w:t>340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、惠民巷</w:t>
            </w:r>
            <w:r>
              <w:rPr>
                <w:rFonts w:ascii="仿宋_GB2312" w:hAnsi="仿宋_GB2312" w:cs="仿宋_GB2312" w:eastAsia="仿宋_GB2312"/>
                <w:sz w:val="20"/>
                <w:shd w:fill="FFFFFF" w:val="clear"/>
              </w:rPr>
              <w:t>400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、老街延伸段</w:t>
            </w:r>
            <w:r>
              <w:rPr>
                <w:rFonts w:ascii="仿宋_GB2312" w:hAnsi="仿宋_GB2312" w:cs="仿宋_GB2312" w:eastAsia="仿宋_GB2312"/>
                <w:sz w:val="20"/>
                <w:shd w:fill="FFFFFF" w:val="clear"/>
              </w:rPr>
              <w:t>13500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、老街停车道路</w:t>
            </w:r>
            <w:r>
              <w:rPr>
                <w:rFonts w:ascii="仿宋_GB2312" w:hAnsi="仿宋_GB2312" w:cs="仿宋_GB2312" w:eastAsia="仿宋_GB2312"/>
                <w:sz w:val="20"/>
                <w:shd w:fill="FFFFFF" w:val="clear"/>
              </w:rPr>
              <w:t>1090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w:t>
            </w:r>
          </w:p>
          <w:p>
            <w:pPr>
              <w:pStyle w:val="null3"/>
              <w:ind w:firstLine="400"/>
              <w:jc w:val="left"/>
            </w:pPr>
            <w:r>
              <w:rPr>
                <w:rFonts w:ascii="仿宋_GB2312" w:hAnsi="仿宋_GB2312" w:cs="仿宋_GB2312" w:eastAsia="仿宋_GB2312"/>
                <w:sz w:val="20"/>
                <w:shd w:fill="FFFFFF" w:val="clear"/>
              </w:rPr>
              <w:t>2、广场清扫保洁（共20543</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）：休闲广场</w:t>
            </w:r>
            <w:r>
              <w:rPr>
                <w:rFonts w:ascii="仿宋_GB2312" w:hAnsi="仿宋_GB2312" w:cs="仿宋_GB2312" w:eastAsia="仿宋_GB2312"/>
                <w:sz w:val="20"/>
                <w:shd w:fill="FFFFFF" w:val="clear"/>
              </w:rPr>
              <w:t>10843</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、龟山广场及道路</w:t>
            </w:r>
            <w:r>
              <w:rPr>
                <w:rFonts w:ascii="仿宋_GB2312" w:hAnsi="仿宋_GB2312" w:cs="仿宋_GB2312" w:eastAsia="仿宋_GB2312"/>
                <w:sz w:val="20"/>
                <w:shd w:fill="FFFFFF" w:val="clear"/>
              </w:rPr>
              <w:t>4000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、工行家属楼广场</w:t>
            </w:r>
            <w:r>
              <w:rPr>
                <w:rFonts w:ascii="仿宋_GB2312" w:hAnsi="仿宋_GB2312" w:cs="仿宋_GB2312" w:eastAsia="仿宋_GB2312"/>
                <w:sz w:val="20"/>
                <w:shd w:fill="FFFFFF" w:val="clear"/>
              </w:rPr>
              <w:t>300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、世纪停车场</w:t>
            </w:r>
            <w:r>
              <w:rPr>
                <w:rFonts w:ascii="仿宋_GB2312" w:hAnsi="仿宋_GB2312" w:cs="仿宋_GB2312" w:eastAsia="仿宋_GB2312"/>
                <w:sz w:val="20"/>
                <w:shd w:fill="FFFFFF" w:val="clear"/>
              </w:rPr>
              <w:t>500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、中心广场</w:t>
            </w:r>
            <w:r>
              <w:rPr>
                <w:rFonts w:ascii="仿宋_GB2312" w:hAnsi="仿宋_GB2312" w:cs="仿宋_GB2312" w:eastAsia="仿宋_GB2312"/>
                <w:sz w:val="20"/>
                <w:shd w:fill="FFFFFF" w:val="clear"/>
              </w:rPr>
              <w:t>4900</w:t>
            </w:r>
            <w:r>
              <w:rPr>
                <w:rFonts w:ascii="仿宋_GB2312" w:hAnsi="仿宋_GB2312" w:cs="仿宋_GB2312" w:eastAsia="仿宋_GB2312"/>
                <w:sz w:val="24"/>
                <w:shd w:fill="FFFFFF" w:val="clear"/>
              </w:rPr>
              <w:t>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0"/>
                <w:shd w:fill="FFFFFF" w:val="clear"/>
              </w:rPr>
              <w:t>。</w:t>
            </w:r>
          </w:p>
          <w:p>
            <w:pPr>
              <w:pStyle w:val="null3"/>
              <w:ind w:firstLine="400"/>
              <w:jc w:val="left"/>
            </w:pPr>
            <w:r>
              <w:rPr>
                <w:rFonts w:ascii="仿宋_GB2312" w:hAnsi="仿宋_GB2312" w:cs="仿宋_GB2312" w:eastAsia="仿宋_GB2312"/>
                <w:sz w:val="20"/>
                <w:shd w:fill="FFFFFF" w:val="clear"/>
              </w:rPr>
              <w:t>3、公厕清扫保洁：酒厂公厕、北街公厕、操场公厕、休闲广场公厕、宜阳府邸公厕、轩辕公厕、龙山广场公厕、南山广场公厕、南山管理处斜对面公厕、水景广场公厕、龟山广场公厕1和2、果库对面公厕。</w:t>
            </w:r>
          </w:p>
          <w:p>
            <w:pPr>
              <w:pStyle w:val="null3"/>
              <w:ind w:firstLine="400"/>
              <w:jc w:val="left"/>
            </w:pPr>
            <w:r>
              <w:rPr>
                <w:rFonts w:ascii="仿宋_GB2312" w:hAnsi="仿宋_GB2312" w:cs="仿宋_GB2312" w:eastAsia="仿宋_GB2312"/>
                <w:sz w:val="20"/>
                <w:shd w:fill="FFFFFF" w:val="clear"/>
              </w:rPr>
              <w:t>4、小区清扫保洁区域（共约38606㎡）：林业局家属楼、林苑小区1、2号楼、景园小区、安居工程1号、安居工程2号、粮食局小区1234号楼、盐业公司家属楼、政府2号家属楼。</w:t>
            </w:r>
          </w:p>
          <w:tbl>
            <w:tblPr>
              <w:tblInd w:type="dxa" w:w="210"/>
              <w:tblBorders>
                <w:top w:val="none" w:color="000000" w:sz="4"/>
                <w:left w:val="none" w:color="000000" w:sz="4"/>
                <w:bottom w:val="none" w:color="000000" w:sz="4"/>
                <w:right w:val="none" w:color="000000" w:sz="4"/>
                <w:insideH w:val="none"/>
                <w:insideV w:val="none"/>
              </w:tblBorders>
            </w:tblPr>
            <w:tblGrid>
              <w:gridCol w:w="338"/>
              <w:gridCol w:w="813"/>
              <w:gridCol w:w="360"/>
              <w:gridCol w:w="547"/>
              <w:gridCol w:w="484"/>
            </w:tblGrid>
            <w:tr>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小区名称</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户数</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面积㎡</w:t>
                  </w:r>
                </w:p>
              </w:tc>
              <w:tc>
                <w:tcPr>
                  <w:tcW w:type="dxa" w:w="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楼栋</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林业局家属楼</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4380</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1幢</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林苑小区</w:t>
                  </w:r>
                  <w:r>
                    <w:rPr>
                      <w:rFonts w:ascii="仿宋_GB2312" w:hAnsi="仿宋_GB2312" w:cs="仿宋_GB2312" w:eastAsia="仿宋_GB2312"/>
                      <w:sz w:val="20"/>
                    </w:rPr>
                    <w:t>1、2号楼</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5714</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2幢</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景园小区</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15000</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4幢</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安居工程</w:t>
                  </w:r>
                  <w:r>
                    <w:rPr>
                      <w:rFonts w:ascii="仿宋_GB2312" w:hAnsi="仿宋_GB2312" w:cs="仿宋_GB2312" w:eastAsia="仿宋_GB2312"/>
                      <w:sz w:val="20"/>
                    </w:rPr>
                    <w:t>1号</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2670</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2幢</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安居工程</w:t>
                  </w:r>
                  <w:r>
                    <w:rPr>
                      <w:rFonts w:ascii="仿宋_GB2312" w:hAnsi="仿宋_GB2312" w:cs="仿宋_GB2312" w:eastAsia="仿宋_GB2312"/>
                      <w:sz w:val="20"/>
                    </w:rPr>
                    <w:t>2号</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2820</w:t>
                  </w:r>
                </w:p>
              </w:tc>
              <w:tc>
                <w:tcPr>
                  <w:tcW w:type="dxa" w:w="484"/>
                  <w:vMerge/>
                  <w:tcBorders>
                    <w:top w:val="none" w:color="000000" w:sz="4"/>
                    <w:left w:val="none" w:color="000000" w:sz="4"/>
                    <w:bottom w:val="single" w:color="000000" w:sz="4"/>
                    <w:right w:val="single" w:color="000000" w:sz="4"/>
                  </w:tcBorders>
                </w:tc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城建安置楼</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2640</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1幢</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盐业公司家属楼</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2370</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1幢</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政府</w:t>
                  </w:r>
                  <w:r>
                    <w:rPr>
                      <w:rFonts w:ascii="仿宋_GB2312" w:hAnsi="仿宋_GB2312" w:cs="仿宋_GB2312" w:eastAsia="仿宋_GB2312"/>
                      <w:sz w:val="20"/>
                    </w:rPr>
                    <w:t>2号家属楼</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3012</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1幢</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1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小计</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38606</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0"/>
                <w:shd w:fill="FFFFFF" w:val="clear"/>
              </w:rPr>
              <w:t>5、高铁站及附属区域清扫保洁：广场1.1万平方米，停车场5000平方米，道路2公里，路宽12米，人行道、绿化6米。</w:t>
            </w:r>
          </w:p>
          <w:p>
            <w:pPr>
              <w:pStyle w:val="null3"/>
              <w:ind w:firstLine="400"/>
              <w:jc w:val="left"/>
            </w:pPr>
            <w:r>
              <w:rPr>
                <w:rFonts w:ascii="仿宋_GB2312" w:hAnsi="仿宋_GB2312" w:cs="仿宋_GB2312" w:eastAsia="仿宋_GB2312"/>
                <w:sz w:val="20"/>
                <w:shd w:fill="FFFFFF" w:val="clear"/>
              </w:rPr>
              <w:t>6、冬季铲雪：针对宜君县主次干道、背街小巷以及广场等公共区域，积雪收运作业。</w:t>
            </w:r>
          </w:p>
          <w:p>
            <w:pPr>
              <w:pStyle w:val="null3"/>
              <w:ind w:firstLine="400"/>
              <w:jc w:val="left"/>
            </w:pPr>
            <w:r>
              <w:rPr>
                <w:rFonts w:ascii="仿宋_GB2312" w:hAnsi="仿宋_GB2312" w:cs="仿宋_GB2312" w:eastAsia="仿宋_GB2312"/>
                <w:sz w:val="20"/>
                <w:shd w:fill="FFFFFF" w:val="clear"/>
              </w:rPr>
              <w:t>7、垃圾清运：城区50t/天的生活垃圾清运以及采购人指定位置的垃圾清运。</w:t>
            </w:r>
          </w:p>
          <w:p>
            <w:pPr>
              <w:pStyle w:val="null3"/>
              <w:ind w:firstLine="400"/>
              <w:jc w:val="left"/>
            </w:pPr>
            <w:r>
              <w:rPr>
                <w:rFonts w:ascii="仿宋_GB2312" w:hAnsi="仿宋_GB2312" w:cs="仿宋_GB2312" w:eastAsia="仿宋_GB2312"/>
                <w:sz w:val="20"/>
                <w:shd w:fill="FFFFFF" w:val="clear"/>
              </w:rPr>
              <w:t>8、垃圾场运行管理：垃圾场日常运行管理、焚烧发电厂垃圾处置运行管理（包含：垃圾清运、焚烧）。</w:t>
            </w:r>
          </w:p>
          <w:p>
            <w:pPr>
              <w:pStyle w:val="null3"/>
              <w:jc w:val="left"/>
            </w:pPr>
            <w:r>
              <w:rPr>
                <w:rFonts w:ascii="仿宋_GB2312" w:hAnsi="仿宋_GB2312" w:cs="仿宋_GB2312" w:eastAsia="仿宋_GB2312"/>
                <w:sz w:val="20"/>
                <w:shd w:fill="FFFFFF" w:val="clear"/>
              </w:rPr>
              <w:t>2、质量要求</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1）道路和广场、小区、高铁站及附属区域等区域清扫保洁质量要求</w:t>
            </w:r>
          </w:p>
          <w:p>
            <w:pPr>
              <w:pStyle w:val="null3"/>
              <w:ind w:firstLine="400"/>
              <w:jc w:val="left"/>
            </w:pPr>
            <w:r>
              <w:rPr>
                <w:rFonts w:ascii="仿宋_GB2312" w:hAnsi="仿宋_GB2312" w:cs="仿宋_GB2312" w:eastAsia="仿宋_GB2312"/>
                <w:sz w:val="20"/>
                <w:shd w:fill="FFFFFF" w:val="clear"/>
              </w:rPr>
              <w:t>严格执行一天两扫和全天保洁的工作规定，夏季（</w:t>
            </w:r>
            <w:r>
              <w:rPr>
                <w:rFonts w:ascii="仿宋_GB2312" w:hAnsi="仿宋_GB2312" w:cs="仿宋_GB2312" w:eastAsia="仿宋_GB2312"/>
                <w:sz w:val="20"/>
                <w:shd w:fill="FFFFFF" w:val="clear"/>
              </w:rPr>
              <w:t xml:space="preserve">5月1日至9月30日）一扫最迟在早7：00前完成，冬季（10月1日至次年4月30日）一扫最迟在早7:30前完成；8:00开始保洁至中午12:00；下午班工作人员中午12:00接班开始二扫；并清扫保洁至下午18：00时休息吃饭，19:00开始保洁至22:00时下班休息。确保垃圾桶（箱、屋）不外溢按照人均工作量基本均衡的原则，严格按照划定的责任区和规定的工作时间进行清扫保洁，清扫保洁过程要认真、细致，确保质量，切实做到“六净六无”即车行道净、人行道净、道沿石下净、墙基树穴净、隔离带净、雨污水口净；无抛洒物、无漏扫丢堆、无积存污水、无人畜粪便、无乱倒垃圾、无焚烧树叶杂物等。清洁时必须用大扫帚进行清扫，产生的垃圾必须倒入指定的垃圾桶（屋、箱）内，不得乱堆乱倒。按规定时间进行清扫保洁，不得擅自离岗，不得凑堆，不得谝闲传。爱护清扫保洁设备和街道公共设施，损坏或丢失照价赔尝。及时清掏果皮箱，保持果皮箱有足够的容量。上街作业时必须坚持安全第一的原则，穿戴安全标志服，垃圾车作业时设置安全作业标志牌。  </w:t>
            </w:r>
          </w:p>
          <w:p>
            <w:pPr>
              <w:pStyle w:val="null3"/>
              <w:ind w:firstLine="400"/>
              <w:jc w:val="left"/>
            </w:pP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本次保洁范围包含保洁面积（含区域绿化）</w:t>
            </w:r>
            <w:r>
              <w:rPr>
                <w:rFonts w:ascii="仿宋_GB2312" w:hAnsi="仿宋_GB2312" w:cs="仿宋_GB2312" w:eastAsia="仿宋_GB2312"/>
                <w:sz w:val="20"/>
                <w:shd w:fill="FFFFFF" w:val="clear"/>
              </w:rPr>
              <w:t>、环卫设施、路灯擦洗等市政设施或采购人指定的其他范围。</w:t>
            </w:r>
            <w:r>
              <w:rPr>
                <w:rFonts w:ascii="仿宋_GB2312" w:hAnsi="仿宋_GB2312" w:cs="仿宋_GB2312" w:eastAsia="仿宋_GB2312"/>
                <w:sz w:val="20"/>
                <w:shd w:fill="FFFFFF" w:val="clear"/>
              </w:rPr>
              <w:t xml:space="preserve">                              </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2）公厕清扫保洁质量要求</w:t>
            </w:r>
          </w:p>
          <w:p>
            <w:pPr>
              <w:pStyle w:val="null3"/>
              <w:ind w:firstLine="400"/>
              <w:jc w:val="left"/>
            </w:pPr>
            <w:r>
              <w:rPr>
                <w:rFonts w:ascii="仿宋_GB2312" w:hAnsi="仿宋_GB2312" w:cs="仿宋_GB2312" w:eastAsia="仿宋_GB2312"/>
                <w:sz w:val="20"/>
                <w:shd w:fill="FFFFFF" w:val="clear"/>
              </w:rPr>
              <w:t>公厕开放时间：</w:t>
            </w:r>
            <w:r>
              <w:rPr>
                <w:rFonts w:ascii="仿宋_GB2312" w:hAnsi="仿宋_GB2312" w:cs="仿宋_GB2312" w:eastAsia="仿宋_GB2312"/>
                <w:sz w:val="20"/>
                <w:shd w:fill="FFFFFF" w:val="clear"/>
              </w:rPr>
              <w:t>24小时全天开放（停水停电除外）。公厕管理人员要负责管护好公厕内外公共设施，每天打扫厕内外卫生，擦洗公共设施，拖净地面，始终保持室内外卫生清洁优良。公厕设有醒目标志牌，方便群众入厕；公厕有专人管理；公厕每天应及时清扫，保持室内外清洁；公厕内通风良好，无明显臭味；公厕内无积灰、污迹、无乱涂乱画等；公厕内地面应干净、无积水；公厕便槽两侧无粪便污物；小便槽（斗）无水锈、尿垢、垃圾等，管道保持畅通；公厕内照明灯具、洗手器具、冲水设备等完好；定时喷洒药物，控制蝇蛆滋生。</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3）垃圾清运</w:t>
            </w:r>
          </w:p>
          <w:p>
            <w:pPr>
              <w:pStyle w:val="null3"/>
              <w:ind w:firstLine="400"/>
              <w:jc w:val="left"/>
            </w:pPr>
            <w:r>
              <w:rPr>
                <w:rFonts w:ascii="仿宋_GB2312" w:hAnsi="仿宋_GB2312" w:cs="仿宋_GB2312" w:eastAsia="仿宋_GB2312"/>
                <w:sz w:val="20"/>
                <w:shd w:fill="FFFFFF" w:val="clear"/>
              </w:rPr>
              <w:t>必须按规定时间和路线进行清运</w:t>
            </w:r>
            <w:r>
              <w:rPr>
                <w:rFonts w:ascii="仿宋_GB2312" w:hAnsi="仿宋_GB2312" w:cs="仿宋_GB2312" w:eastAsia="仿宋_GB2312"/>
                <w:sz w:val="20"/>
                <w:shd w:fill="FFFFFF" w:val="clear"/>
              </w:rPr>
              <w:t>(春夏季8:30前，秋冬季9:00前)，清运次数根据垃圾量大小确定。装卸人员必须爱护垃圾桶、垃圾箱、垃圾台、清运车辆等环卫设施，禁止野蛮操作。作业完毕，必须将垃圾桶摆放整齐，必要时用钢丝绳链住垃圾桶，垃圾房地面打扫干净。驾驶人员要经常检查车辆密封构件，确保完好，垃圾运输必须覆盖篷布，不泄露，不得沿街抛洒。垃圾清运车驾驶人员必须亲自驾车，严禁将车辆交予其他人员使用，每日工作完毕及时清理车辆，排干污水。垃圾车驾驶人员必须遵守《交通安全法》，文明驾驶，按规定定期对车辆进行保养，保证车辆正常使用。</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4）作业标准</w:t>
            </w:r>
          </w:p>
          <w:p>
            <w:pPr>
              <w:pStyle w:val="null3"/>
              <w:ind w:firstLine="400"/>
              <w:jc w:val="left"/>
            </w:pPr>
            <w:r>
              <w:rPr>
                <w:rFonts w:ascii="仿宋_GB2312" w:hAnsi="仿宋_GB2312" w:cs="仿宋_GB2312" w:eastAsia="仿宋_GB2312"/>
                <w:sz w:val="20"/>
                <w:shd w:fill="FFFFFF" w:val="clear"/>
              </w:rPr>
              <w:t>针对宜君县主次干道、背街小巷以及广场等公共区域，全面开展除雪工作，确保各区域道路畅通，出行安全，有效维护城市公共区域的正常秩序与良好环境，为居民的生活提供有力保障，积雪收运作业均由中标供应商负责。</w:t>
            </w:r>
          </w:p>
          <w:p>
            <w:pPr>
              <w:pStyle w:val="null3"/>
              <w:ind w:firstLine="400"/>
              <w:jc w:val="left"/>
            </w:pPr>
            <w:r>
              <w:rPr>
                <w:rFonts w:ascii="仿宋_GB2312" w:hAnsi="仿宋_GB2312" w:cs="仿宋_GB2312" w:eastAsia="仿宋_GB2312"/>
                <w:sz w:val="20"/>
                <w:shd w:fill="FFFFFF" w:val="clear"/>
              </w:rPr>
              <w:t>《按照城市道路除雪作业技术规程》要求，达到</w:t>
            </w:r>
            <w:r>
              <w:rPr>
                <w:rFonts w:ascii="仿宋_GB2312" w:hAnsi="仿宋_GB2312" w:cs="仿宋_GB2312" w:eastAsia="仿宋_GB2312"/>
                <w:sz w:val="20"/>
                <w:shd w:fill="FFFFFF" w:val="clear"/>
              </w:rPr>
              <w:t>“雪下即清、主次分明、不留死角、路见本色、及时清运、定点堆放”的标准，清扫后的积雪堆放到指定地点。不得在道路交叉口、消防通道以及公共交通站点、垃圾容器、公共厕所等公共设施周围堆放冰雪，不得向雪堆倾倒垃圾污物，不得向道路、广场等公共区域抛洒冰雪。</w:t>
            </w:r>
          </w:p>
          <w:p>
            <w:pPr>
              <w:pStyle w:val="null3"/>
              <w:ind w:firstLine="400"/>
              <w:jc w:val="left"/>
            </w:pPr>
            <w:r>
              <w:rPr>
                <w:rFonts w:ascii="仿宋_GB2312" w:hAnsi="仿宋_GB2312" w:cs="仿宋_GB2312" w:eastAsia="仿宋_GB2312"/>
                <w:sz w:val="20"/>
                <w:shd w:fill="FFFFFF" w:val="clear"/>
              </w:rPr>
              <w:t>属于小雪</w:t>
            </w:r>
            <w:r>
              <w:rPr>
                <w:rFonts w:ascii="仿宋_GB2312" w:hAnsi="仿宋_GB2312" w:cs="仿宋_GB2312" w:eastAsia="仿宋_GB2312"/>
                <w:sz w:val="20"/>
                <w:shd w:fill="FFFFFF" w:val="clear"/>
              </w:rPr>
              <w:t>(降雪量2.4mm以下)、中雪(降雪量2.5mmn-4.9mm)量级的，应当在降雪停止后12小时以内清扫完;属于大雪(降雪量5mm-9.9mm)量级的，应当在降雪后48小时以内完成;属于暴雪(降雪量10mm-19.9mm)量级的，应当在降雪后60小时以内完成;清扫后的积雪统一堆放在路边石以下，不影响交通。清运应当在清扫时限后24小时内由城管部门运到指定堆放地点。</w:t>
            </w:r>
          </w:p>
          <w:p>
            <w:pPr>
              <w:pStyle w:val="null3"/>
              <w:ind w:firstLine="2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5）垃圾场运行管理质量要求</w:t>
            </w:r>
          </w:p>
          <w:p>
            <w:pPr>
              <w:pStyle w:val="null3"/>
              <w:ind w:firstLine="400"/>
              <w:jc w:val="left"/>
            </w:pPr>
            <w:r>
              <w:rPr>
                <w:rFonts w:ascii="仿宋_GB2312" w:hAnsi="仿宋_GB2312" w:cs="仿宋_GB2312" w:eastAsia="仿宋_GB2312"/>
                <w:sz w:val="20"/>
                <w:shd w:fill="FFFFFF" w:val="clear"/>
              </w:rPr>
              <w:t>① 垃圾场日常运行管理</w:t>
            </w:r>
          </w:p>
          <w:p>
            <w:pPr>
              <w:pStyle w:val="null3"/>
              <w:ind w:firstLine="400"/>
              <w:jc w:val="left"/>
            </w:pPr>
            <w:r>
              <w:rPr>
                <w:rFonts w:ascii="仿宋_GB2312" w:hAnsi="仿宋_GB2312" w:cs="仿宋_GB2312" w:eastAsia="仿宋_GB2312"/>
                <w:sz w:val="20"/>
                <w:shd w:fill="FFFFFF" w:val="clear"/>
              </w:rPr>
              <w:t>登记好入场垃圾情况</w:t>
            </w:r>
            <w:r>
              <w:rPr>
                <w:rFonts w:ascii="仿宋_GB2312" w:hAnsi="仿宋_GB2312" w:cs="仿宋_GB2312" w:eastAsia="仿宋_GB2312"/>
                <w:sz w:val="20"/>
                <w:shd w:fill="FFFFFF" w:val="clear"/>
              </w:rPr>
              <w:t>,所有入场的垃圾运输车辆必须将垃圾倒入场内，不得乱倒。垃圾填埋场周边环境卫生良好，无乱倒垃圾现象,管理人员必须坚持在垃圾场周巡视检查，指导入场车辆倾倒垃圾，不得杜塞道路。经常检查垃圾填埋场设施，确保设施正常使用,垃圾倾倒后，及时进行黄土填埋。蚊蝇滋生季节要定期进行蚊蝇消杀,按时完成对垃圾场的环保监测任务。</w:t>
            </w:r>
          </w:p>
          <w:p>
            <w:pPr>
              <w:pStyle w:val="null3"/>
              <w:ind w:firstLine="400"/>
              <w:jc w:val="left"/>
            </w:pPr>
            <w:r>
              <w:rPr>
                <w:rFonts w:ascii="仿宋_GB2312" w:hAnsi="仿宋_GB2312" w:cs="仿宋_GB2312" w:eastAsia="仿宋_GB2312"/>
                <w:sz w:val="20"/>
                <w:shd w:fill="FFFFFF" w:val="clear"/>
              </w:rPr>
              <w:t>② 焚烧发电厂垃圾处置运行管理（包含：垃圾清运、焚烧）。</w:t>
            </w:r>
          </w:p>
          <w:p>
            <w:pPr>
              <w:pStyle w:val="null3"/>
              <w:ind w:firstLine="400"/>
              <w:jc w:val="left"/>
            </w:pPr>
            <w:r>
              <w:rPr>
                <w:rFonts w:ascii="仿宋_GB2312" w:hAnsi="仿宋_GB2312" w:cs="仿宋_GB2312" w:eastAsia="仿宋_GB2312"/>
                <w:sz w:val="20"/>
                <w:shd w:fill="FFFFFF" w:val="clear"/>
              </w:rPr>
              <w:t>渗滤液站运行管理：负责垃圾场所产生的渗滤液处理工作。严格按照部颁标准进行渗滤液处理，达到国家规定标准。做好垃圾渗滤液的正常收集，确保污水不外流，按时监测渗滤液、地下水等指标并确保达标。做好日常的维护工作，确保渗滤液处理正常运行负责、组织部门不定期对设备、工艺系统进行检查。负责厂区的环境卫生工作。积极完成管理处领导交给的临时性任务。</w:t>
            </w:r>
          </w:p>
          <w:p>
            <w:pPr>
              <w:pStyle w:val="null3"/>
              <w:ind w:firstLine="400"/>
              <w:jc w:val="left"/>
            </w:pPr>
            <w:r>
              <w:rPr>
                <w:rFonts w:ascii="仿宋_GB2312" w:hAnsi="仿宋_GB2312" w:cs="仿宋_GB2312" w:eastAsia="仿宋_GB2312"/>
                <w:sz w:val="20"/>
                <w:shd w:fill="FFFFFF" w:val="clear"/>
              </w:rPr>
              <w:t>焚烧发电厂垃圾处置运行管理：按照</w:t>
            </w:r>
            <w:r>
              <w:rPr>
                <w:rFonts w:ascii="仿宋_GB2312" w:hAnsi="仿宋_GB2312" w:cs="仿宋_GB2312" w:eastAsia="仿宋_GB2312"/>
                <w:sz w:val="20"/>
                <w:shd w:fill="FFFFFF" w:val="clear"/>
              </w:rPr>
              <w:t>GB 18485-2014《生活垃圾焚烧污染控制标准》等法规要求送至指定焚烧发电厂垃圾处置。负责厂区的环境卫生工作。积极完成管理处领导交给的临时性任务。</w:t>
            </w:r>
          </w:p>
          <w:p>
            <w:pPr>
              <w:pStyle w:val="null3"/>
              <w:jc w:val="left"/>
            </w:pPr>
            <w:r>
              <w:rPr>
                <w:rFonts w:ascii="仿宋_GB2312" w:hAnsi="仿宋_GB2312" w:cs="仿宋_GB2312" w:eastAsia="仿宋_GB2312"/>
                <w:sz w:val="20"/>
                <w:shd w:fill="FFFFFF" w:val="clear"/>
              </w:rPr>
              <w:t>3、供应商须知</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1）由市容环卫所组织每月30日之前完成对承包公司的考核，次月5日之前将上月考核结果送达承包公司，承包公司以考核结果为依据，申请采购人兑付月服务费。</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2）报价费用含税固定总价一次性包死，超支或亏损由承包人自行承担，不受市场价格变化因素的影响。</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3）承包方不得将项目非法分包或转包给任何单位和个人，否则，终止合同，承包方因此承担相应的责任。</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4）承包期间，所有项目如因未执行国家相关政策法规、或因管理不善、服务不规范等原因引发事故、纠纷，或受到主管部门的处罚，由承包方承担全部责任并承担相应费用。</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5）在承包期内不能很好地履行承包职责，如因环卫工人上访至局里产生不良影响的扣3000元/次，如因环卫工人上访至县政府的产生不良影响的扣5000元/次。所有惩罚扣款计入当月清扫保洁费用结算单内一并扣除。</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6）在承包期内不能很好地履行承包职责，如因保洁工作不到位，导致居民投诉产生不良影响的扣3000元/次，如因上级环保部门通报批评的产生不良影响的扣5000元/次，所有惩罚扣款计入当月清扫保洁费用结算单内一并扣除。</w:t>
            </w:r>
          </w:p>
          <w:p>
            <w:pPr>
              <w:pStyle w:val="null3"/>
              <w:spacing w:after="150"/>
              <w:jc w:val="left"/>
              <w:outlineLvl w:val="0"/>
            </w:pPr>
            <w:r>
              <w:rPr>
                <w:rFonts w:ascii="仿宋_GB2312" w:hAnsi="仿宋_GB2312" w:cs="仿宋_GB2312" w:eastAsia="仿宋_GB2312"/>
                <w:sz w:val="20"/>
                <w:b/>
              </w:rPr>
              <w:t>二、宜君县县城环卫作业外包服务考核办法</w:t>
            </w:r>
          </w:p>
          <w:p>
            <w:pPr>
              <w:pStyle w:val="null3"/>
              <w:ind w:firstLine="400"/>
              <w:jc w:val="left"/>
            </w:pPr>
            <w:r>
              <w:rPr>
                <w:rFonts w:ascii="仿宋_GB2312" w:hAnsi="仿宋_GB2312" w:cs="仿宋_GB2312" w:eastAsia="仿宋_GB2312"/>
                <w:sz w:val="20"/>
                <w:shd w:fill="FFFFFF" w:val="clear"/>
              </w:rPr>
              <w:t>为健全县城环卫作业外包服务管理的监督考核机制，有效地促进长效管理措施落实，进一步提高县城环卫作业管理质量，改善县城环境卫生，为市民创造良好的生产、生活和工作环境，特制定本考核办法。</w:t>
            </w:r>
          </w:p>
          <w:p>
            <w:pPr>
              <w:pStyle w:val="null3"/>
              <w:ind w:firstLine="400"/>
              <w:jc w:val="left"/>
            </w:pPr>
            <w:r>
              <w:rPr>
                <w:rFonts w:ascii="仿宋_GB2312" w:hAnsi="仿宋_GB2312" w:cs="仿宋_GB2312" w:eastAsia="仿宋_GB2312"/>
                <w:sz w:val="20"/>
                <w:shd w:fill="FFFFFF" w:val="clear"/>
              </w:rPr>
              <w:t>1、考核范围和对象</w:t>
            </w:r>
          </w:p>
          <w:p>
            <w:pPr>
              <w:pStyle w:val="null3"/>
              <w:ind w:firstLine="400"/>
              <w:jc w:val="left"/>
            </w:pPr>
            <w:r>
              <w:rPr>
                <w:rFonts w:ascii="仿宋_GB2312" w:hAnsi="仿宋_GB2312" w:cs="仿宋_GB2312" w:eastAsia="仿宋_GB2312"/>
                <w:sz w:val="20"/>
                <w:shd w:fill="FFFFFF" w:val="clear"/>
              </w:rPr>
              <w:t>考核范围：列入外包服务的全部作业内容；考核对象：环卫作业承包人。</w:t>
            </w:r>
          </w:p>
          <w:p>
            <w:pPr>
              <w:pStyle w:val="null3"/>
              <w:ind w:firstLine="400"/>
              <w:jc w:val="left"/>
            </w:pPr>
            <w:r>
              <w:rPr>
                <w:rFonts w:ascii="仿宋_GB2312" w:hAnsi="仿宋_GB2312" w:cs="仿宋_GB2312" w:eastAsia="仿宋_GB2312"/>
                <w:sz w:val="20"/>
                <w:shd w:fill="FFFFFF" w:val="clear"/>
              </w:rPr>
              <w:t>2、考核机制</w:t>
            </w:r>
          </w:p>
          <w:p>
            <w:pPr>
              <w:pStyle w:val="null3"/>
              <w:ind w:firstLine="400"/>
              <w:jc w:val="left"/>
            </w:pPr>
            <w:r>
              <w:rPr>
                <w:rFonts w:ascii="仿宋_GB2312" w:hAnsi="仿宋_GB2312" w:cs="仿宋_GB2312" w:eastAsia="仿宋_GB2312"/>
                <w:sz w:val="20"/>
                <w:shd w:fill="FFFFFF" w:val="clear"/>
              </w:rPr>
              <w:t>建立日常检查与月度考核相结合的百分制考核机制，由县市容环卫所对承包人实行不定期检查和每月（每月</w:t>
            </w:r>
            <w:r>
              <w:rPr>
                <w:rFonts w:ascii="仿宋_GB2312" w:hAnsi="仿宋_GB2312" w:cs="仿宋_GB2312" w:eastAsia="仿宋_GB2312"/>
                <w:sz w:val="20"/>
                <w:shd w:fill="FFFFFF" w:val="clear"/>
              </w:rPr>
              <w:t>25日至30日之间）月考核（采取暗访形式）。实行月考核100分和日常检查100分，每月考核占质量考核总分的30%，日常检查占质量考核总分的70%。</w:t>
            </w:r>
          </w:p>
          <w:p>
            <w:pPr>
              <w:pStyle w:val="null3"/>
              <w:ind w:firstLine="400"/>
              <w:jc w:val="left"/>
            </w:pPr>
            <w:r>
              <w:rPr>
                <w:rFonts w:ascii="仿宋_GB2312" w:hAnsi="仿宋_GB2312" w:cs="仿宋_GB2312" w:eastAsia="仿宋_GB2312"/>
                <w:sz w:val="20"/>
                <w:shd w:fill="FFFFFF" w:val="clear"/>
              </w:rPr>
              <w:t>月质量考核总分得分</w:t>
            </w:r>
            <w:r>
              <w:rPr>
                <w:rFonts w:ascii="仿宋_GB2312" w:hAnsi="仿宋_GB2312" w:cs="仿宋_GB2312" w:eastAsia="仿宋_GB2312"/>
                <w:sz w:val="20"/>
                <w:shd w:fill="FFFFFF" w:val="clear"/>
              </w:rPr>
              <w:t>90分以上（不含90分），视为考核优秀、不扣服务费用。得分在90分-70分（不含70分），视为合格，每降低1分扣当月服务费4000元。得分在70分（含70分）以下，视为基本合格，扣当月服务费30%，连续两个月或全年3个月得分在70分以下，采购方有权终止协议。</w:t>
            </w:r>
          </w:p>
          <w:p>
            <w:pPr>
              <w:pStyle w:val="null3"/>
              <w:ind w:firstLine="400"/>
              <w:jc w:val="left"/>
            </w:pPr>
            <w:r>
              <w:rPr>
                <w:rFonts w:ascii="仿宋_GB2312" w:hAnsi="仿宋_GB2312" w:cs="仿宋_GB2312" w:eastAsia="仿宋_GB2312"/>
                <w:sz w:val="20"/>
                <w:shd w:fill="FFFFFF" w:val="clear"/>
              </w:rPr>
              <w:t>有下列情形（一次性否决事项）之一，视为当月考核不合格。</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1）公司员工无理聚众闹事、上访的，造成恶劣影响的。</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2）不服从环卫部门统一安排和调度的，造成重大失误的。</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3）当月内因管理不善导致重大事故的。</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4）环卫部门通报质量问题的具体情况，半小时内公司无人到场处理，事后狡辩的。</w:t>
            </w:r>
          </w:p>
          <w:p>
            <w:pPr>
              <w:pStyle w:val="null3"/>
              <w:ind w:firstLine="400"/>
              <w:jc w:val="left"/>
            </w:pPr>
            <w:r>
              <w:rPr>
                <w:rFonts w:ascii="仿宋_GB2312" w:hAnsi="仿宋_GB2312" w:cs="仿宋_GB2312" w:eastAsia="仿宋_GB2312"/>
                <w:sz w:val="20"/>
                <w:shd w:fill="FFFFFF" w:val="clear"/>
              </w:rPr>
              <w:t>3、考核标准及评分办法</w:t>
            </w:r>
          </w:p>
          <w:p>
            <w:pPr>
              <w:pStyle w:val="null3"/>
              <w:ind w:firstLine="400"/>
              <w:jc w:val="left"/>
            </w:pPr>
            <w:r>
              <w:rPr>
                <w:rFonts w:ascii="仿宋_GB2312" w:hAnsi="仿宋_GB2312" w:cs="仿宋_GB2312" w:eastAsia="仿宋_GB2312"/>
                <w:sz w:val="20"/>
                <w:shd w:fill="FFFFFF" w:val="clear"/>
              </w:rPr>
              <w:t>见附表：《宜君县县城环卫作业外包服务考核标准及评分办法》。</w:t>
            </w:r>
          </w:p>
          <w:p>
            <w:pPr>
              <w:pStyle w:val="null3"/>
              <w:ind w:firstLine="400"/>
              <w:jc w:val="left"/>
            </w:pPr>
            <w:r>
              <w:rPr>
                <w:rFonts w:ascii="仿宋_GB2312" w:hAnsi="仿宋_GB2312" w:cs="仿宋_GB2312" w:eastAsia="仿宋_GB2312"/>
                <w:sz w:val="20"/>
                <w:shd w:fill="FFFFFF" w:val="clear"/>
              </w:rPr>
              <w:t>4、服务费的兑付</w:t>
            </w:r>
          </w:p>
          <w:p>
            <w:pPr>
              <w:pStyle w:val="null3"/>
              <w:ind w:firstLine="400"/>
              <w:jc w:val="left"/>
            </w:pPr>
            <w:r>
              <w:rPr>
                <w:rFonts w:ascii="仿宋_GB2312" w:hAnsi="仿宋_GB2312" w:cs="仿宋_GB2312" w:eastAsia="仿宋_GB2312"/>
                <w:sz w:val="20"/>
                <w:shd w:fill="FFFFFF" w:val="clear"/>
              </w:rPr>
              <w:t>由市容环卫所组织每月</w:t>
            </w:r>
            <w:r>
              <w:rPr>
                <w:rFonts w:ascii="仿宋_GB2312" w:hAnsi="仿宋_GB2312" w:cs="仿宋_GB2312" w:eastAsia="仿宋_GB2312"/>
                <w:sz w:val="20"/>
                <w:shd w:fill="FFFFFF" w:val="clear"/>
              </w:rPr>
              <w:t>30日之前完成对承包公司的考核，次月5日之前将上月考核结果送达承包公司，承包公司以考核结果为依据，申请采购人兑付月服务费。</w:t>
            </w:r>
          </w:p>
          <w:p>
            <w:pPr>
              <w:pStyle w:val="null3"/>
              <w:ind w:firstLine="400"/>
              <w:jc w:val="left"/>
            </w:pPr>
            <w:r>
              <w:rPr>
                <w:rFonts w:ascii="仿宋_GB2312" w:hAnsi="仿宋_GB2312" w:cs="仿宋_GB2312" w:eastAsia="仿宋_GB2312"/>
                <w:sz w:val="20"/>
                <w:shd w:fill="FFFFFF" w:val="clear"/>
              </w:rPr>
              <w:t>5、奖励和惩罚</w:t>
            </w:r>
          </w:p>
          <w:p>
            <w:pPr>
              <w:pStyle w:val="null3"/>
              <w:ind w:firstLine="400"/>
              <w:jc w:val="left"/>
            </w:pPr>
            <w:r>
              <w:rPr>
                <w:rFonts w:ascii="仿宋_GB2312" w:hAnsi="仿宋_GB2312" w:cs="仿宋_GB2312" w:eastAsia="仿宋_GB2312"/>
                <w:sz w:val="20"/>
                <w:shd w:fill="FFFFFF" w:val="clear"/>
              </w:rPr>
              <w:t>工作受到省，每次奖</w:t>
            </w:r>
            <w:r>
              <w:rPr>
                <w:rFonts w:ascii="仿宋_GB2312" w:hAnsi="仿宋_GB2312" w:cs="仿宋_GB2312" w:eastAsia="仿宋_GB2312"/>
                <w:sz w:val="20"/>
                <w:shd w:fill="FFFFFF" w:val="clear"/>
              </w:rPr>
              <w:t>8分；市通，每次奖5分；县级领导大会表扬、通报表彰的，每次奖3分；以具体通报、表扬文件为准。</w:t>
            </w:r>
          </w:p>
          <w:p>
            <w:pPr>
              <w:pStyle w:val="null3"/>
              <w:ind w:firstLine="400"/>
              <w:jc w:val="left"/>
            </w:pPr>
            <w:r>
              <w:rPr>
                <w:rFonts w:ascii="仿宋_GB2312" w:hAnsi="仿宋_GB2312" w:cs="仿宋_GB2312" w:eastAsia="仿宋_GB2312"/>
                <w:sz w:val="20"/>
                <w:shd w:fill="FFFFFF" w:val="clear"/>
              </w:rPr>
              <w:t>在承包期内不能很好地履行承包职责，造成失误的每次扣</w:t>
            </w:r>
            <w:r>
              <w:rPr>
                <w:rFonts w:ascii="仿宋_GB2312" w:hAnsi="仿宋_GB2312" w:cs="仿宋_GB2312" w:eastAsia="仿宋_GB2312"/>
                <w:sz w:val="20"/>
                <w:shd w:fill="FFFFFF" w:val="clear"/>
              </w:rPr>
              <w:t>1-5分。工作受到县级领导点名批评或局通报批评的每次扣3分。不服从管理，不听从安排，未按时完成工作任务，书面次警告一次扣1分，两次警告扣3分，三次予以终止合同。交由乙方管理的车辆机械不得对外经营作业，发现违反一次扣5分。在重大活动期间因清扫保洁不到位或其它方面造成重大恶劣影响的，每次扣10分。</w:t>
            </w:r>
          </w:p>
          <w:p>
            <w:pPr>
              <w:pStyle w:val="null3"/>
              <w:ind w:firstLine="400"/>
              <w:jc w:val="left"/>
            </w:pPr>
            <w:r>
              <w:rPr>
                <w:rFonts w:ascii="仿宋_GB2312" w:hAnsi="仿宋_GB2312" w:cs="仿宋_GB2312" w:eastAsia="仿宋_GB2312"/>
                <w:sz w:val="20"/>
                <w:shd w:fill="FFFFFF" w:val="clear"/>
              </w:rPr>
              <w:t>所有奖励惩罚计入当月考核得分。</w:t>
            </w:r>
          </w:p>
          <w:p>
            <w:pPr>
              <w:pStyle w:val="null3"/>
            </w:pPr>
            <w:r>
              <w:rPr>
                <w:rFonts w:ascii="仿宋_GB2312" w:hAnsi="仿宋_GB2312" w:cs="仿宋_GB2312" w:eastAsia="仿宋_GB2312"/>
                <w:sz w:val="20"/>
              </w:rPr>
              <w:t>附件一：宜君县县城环卫作业外包服务考核标准（见附件）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包服务期限为：服务期限为三年。首次签订政府采购合同的服务期限为1年，自合同签订之日起生效；首次服务期限届满后，后续两年服务的延续，在采购单位对上年度服务验收合格后，按政府采购相关要求续签，办理合同续签手续，最多续签2次，每次续签服务期限为1年，累计服务期限不超过3年，且续签需确保年度预算能够足额保障服务开展；若采购单位对上一年度服务验收不合格，将不予续签本合同，采购人不承担违约责任。</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验收标准：参照《财政部关于进一步加强政府采购需求和履约验收管理的指导意见》(财库(2016) 205号)</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第1个月支付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第2个月支付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第3个月支付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第4个月支付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第5个月支付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第6个月支付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第7个月支付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第8个月支付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第9个月支付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第10个月支付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第11个月支付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第12个月支付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与解决争议的方法：1、按《中华人民共和国民法典》中的相关条款执行。2、未按合同要求提供服务或服务质量不能满足技术要求的，采购人有权终止合同，并对中标供应商违约行为进行追究，同时按《中华人民共和国政府采购法》及实施条例的有关规定进行处罚。（未尽事宜双方合同签订时约定）。 二、合同其他条款：1.发生群体性上访事件或者因上访事件造成巨大不良影响的，经核查中标单位存在相应责任属实的，采购人有权直接解除合同。2.无论何种原因中标供应商要解除合同的，必须提前3个月通知采购人，该三个月内中标供应商仍需按照合同约定履行合同义务，且需按照采购人要求办理撤场交接工作。（其他未尽事宜双方合同签订时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预算金额为560.334586万元/年。为顺利推进政府采购电子化交易平台应用工作，供应商需要在线提交所有通过电子化交易平台实施的政府采购项目的投标文件，同时，中标供应商于领取通知书前提交投标响应客户端生成带水印的投标文件纸质版至铜川市新区海林雅苑4号楼2单元702室会议室，投标文件正本一份，副本二份，电子 U 盘二份。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提供（1）或提供（2）：（1）提供2024年度或2025年度财务报告复印件，应满足以下要求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资信证明须为递交响应文件截止时间前六个月内由供应商基本账户开户银行出具。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法定代表人直接参加投标的，须出具法定代表人身份证明及身份证；法定代表人授权代表参加投标的，须出具法定代表人授权委托书及授权代表身份证；</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提供（1）或提供（2）：（1）提供2024年度或2025年度财务报告复印件，应满足以下要求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资信证明须为递交响应文件截止时间前六个月内由供应商基本账户开户银行出具。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一年内任意1个月已缴纳的纳税证明或完税证明（成立未满1个月的提供成立至今），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一年内任意1个月已缴纳的社会保障资金缴存单据或社保机构开具的社会保险参保缴费情况证明（社会保障资金缴存单据或社保机构开具的社会保险参保缴费情况证明）（成立未满1个月的提供成立至今），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出具具备履行合同所必需的设备和专业技术能力的书面声明；供应商需在项目电子化交易系统中按要求上传相应证明文件并进行电子签章。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本项目不接受联合体投标，投标单位负责人为同一人或者存在控股、管理关系的不同单位，不得参加同一招标项目投标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响应文件格式及签字盖章</w:t>
            </w:r>
          </w:p>
        </w:tc>
        <w:tc>
          <w:tcPr>
            <w:tcW w:type="dxa" w:w="3322"/>
          </w:tcPr>
          <w:p>
            <w:pPr>
              <w:pStyle w:val="null3"/>
            </w:pPr>
            <w:r>
              <w:rPr>
                <w:rFonts w:ascii="仿宋_GB2312" w:hAnsi="仿宋_GB2312" w:cs="仿宋_GB2312" w:eastAsia="仿宋_GB2312"/>
              </w:rPr>
              <w:t>完全满足招标文件格式要求签字盖章</w:t>
            </w:r>
          </w:p>
        </w:tc>
        <w:tc>
          <w:tcPr>
            <w:tcW w:type="dxa" w:w="1661"/>
          </w:tcPr>
          <w:p>
            <w:pPr>
              <w:pStyle w:val="null3"/>
            </w:pPr>
            <w:r>
              <w:rPr>
                <w:rFonts w:ascii="仿宋_GB2312" w:hAnsi="仿宋_GB2312" w:cs="仿宋_GB2312" w:eastAsia="仿宋_GB2312"/>
              </w:rPr>
              <w:t>开标一览表.docx 开标一览表 中小企业声明函 商务应答表 法定代表人身份证明书.docx 投标函 残疾人福利性单位声明函 服务方案 标的清单 投标文件封面 供应商资格证明文件.docx 服务内容及服务邀请应答表.docx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只能有一个有效报价，且未超过最高限价。</w:t>
            </w:r>
          </w:p>
        </w:tc>
        <w:tc>
          <w:tcPr>
            <w:tcW w:type="dxa" w:w="1661"/>
          </w:tcPr>
          <w:p>
            <w:pPr>
              <w:pStyle w:val="null3"/>
            </w:pPr>
            <w:r>
              <w:rPr>
                <w:rFonts w:ascii="仿宋_GB2312" w:hAnsi="仿宋_GB2312" w:cs="仿宋_GB2312" w:eastAsia="仿宋_GB2312"/>
              </w:rPr>
              <w:t>开标一览表.docx 开标一览表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开标一览表.docx 开标一览表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服务内容及服务邀请应答表.docx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项目理解及服务方案</w:t>
            </w:r>
          </w:p>
        </w:tc>
        <w:tc>
          <w:tcPr>
            <w:tcW w:type="dxa" w:w="2492"/>
          </w:tcPr>
          <w:p>
            <w:pPr>
              <w:pStyle w:val="null3"/>
            </w:pPr>
            <w:r>
              <w:rPr>
                <w:rFonts w:ascii="仿宋_GB2312" w:hAnsi="仿宋_GB2312" w:cs="仿宋_GB2312" w:eastAsia="仿宋_GB2312"/>
              </w:rPr>
              <w:t>针对本项目情况，详细列明服务定位、目标及服务工作计划，至少包括：①服务核心方向②阶段工作安排③服务质量管控节点④服务协同配合机制。 评审依据：每个单项配备类别、数量齐全且相关资料完整得1.5分；每个单项配备类别、数量较为齐全且相关资料较完整得1分；每个单项配备类别、数量基本齐全且相关资料部分缺失得0.5分；未提供相关内容不得分。①-④项合计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根据采购需求要求针对本项目详细列明总体服务方案，至少包括：①清扫保洁服务②道路机械化作业方案③垃圾收集、清运及垃圾场运行设施日常管理方案④公厕清扫保洁管理方案⑤冬季铲雪保畅方案 评审依据：每个单项方案内容全面、合理、规范，可操作性强得4分；每个单项方案内容比较合理和规范，有一定的可操作性得3分；每个单项方案内容比较合理，有可操作性得2分；每个单项方案内容基本合理，可操作性一般得1分；每个单项方案内容简单，可操作性差得 0.5分；未提供相关内容不得分。①-⑤项合计得20分。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拟投入机械设备、车辆、工具用具等</w:t>
            </w:r>
          </w:p>
        </w:tc>
        <w:tc>
          <w:tcPr>
            <w:tcW w:type="dxa" w:w="2492"/>
          </w:tcPr>
          <w:p>
            <w:pPr>
              <w:pStyle w:val="null3"/>
            </w:pPr>
            <w:r>
              <w:rPr>
                <w:rFonts w:ascii="仿宋_GB2312" w:hAnsi="仿宋_GB2312" w:cs="仿宋_GB2312" w:eastAsia="仿宋_GB2312"/>
              </w:rPr>
              <w:t>评审内容：包括①拟投入本项目的机械设备、作业车辆名称、数量；②工具用具及相关物料名称、数量；③相关设备、车辆等来源保障及维护方案。（共三条） 评审依据：每个单项配备类别、数量齐全且相关资料完整得3分；每个单项配备类别、数量较为齐全且相关资料较完整得1.5分；每个单项配备类别、数量基本齐全且相关资料部分缺失得0.5分；未提供相关内容不得分。①-③项合计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拟投入本项目人员配备1</w:t>
            </w:r>
          </w:p>
        </w:tc>
        <w:tc>
          <w:tcPr>
            <w:tcW w:type="dxa" w:w="2492"/>
          </w:tcPr>
          <w:p>
            <w:pPr>
              <w:pStyle w:val="null3"/>
            </w:pPr>
            <w:r>
              <w:rPr>
                <w:rFonts w:ascii="仿宋_GB2312" w:hAnsi="仿宋_GB2312" w:cs="仿宋_GB2312" w:eastAsia="仿宋_GB2312"/>
              </w:rPr>
              <w:t>为保障项目服务质量，需提供专业、合规的人员配备方案，分两部分评审： 一、项目负责人（3分） 1.学历要求：具有专科学历得1分，本科及以上学历得1.5分，满分1.5分； 2.从业经验：担任过类似服务项目负责人年限≥3年＜5年得1分，≥5年得1.5分，满分1.5分； 评审依据：项目负责人学历提供学历证书或学信网证明；工作经验需提供业绩合同，如业绩合同不能体现人员信息还需同时提供业主证明，否则不得分。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拟投入本项目人员配备2</w:t>
            </w:r>
          </w:p>
        </w:tc>
        <w:tc>
          <w:tcPr>
            <w:tcW w:type="dxa" w:w="2492"/>
          </w:tcPr>
          <w:p>
            <w:pPr>
              <w:pStyle w:val="null3"/>
            </w:pPr>
            <w:r>
              <w:rPr>
                <w:rFonts w:ascii="仿宋_GB2312" w:hAnsi="仿宋_GB2312" w:cs="仿宋_GB2312" w:eastAsia="仿宋_GB2312"/>
              </w:rPr>
              <w:t>二、团队人员配备方案（12分）：需包含①岗位设置②人员资质承诺③岗位职责说明④人员保障等。 评审依据：每个单项方案内容全面、合理、规范，可操作性强得3分；每个单项方案内容比较合理和规范，具有一定的可操作性得2分；每个单项方案内容基本合理，可操作性不强得1分；未提供相关内容不得分。①-④项合计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针对本项目需求，详细列明培训考核方案，至少包括：①岗前培训计划②在岗提升培训③考核标准④奖惩机制等。评审依据：每个单项方案内容全面、合理、规范，可操作性强得2分；每个单项方案内容比较合理和规范，具有一定的可操作性得1分；每个单项方案内容基本合理，可操作性不强得0.5分；未提供相关内容不得分。①-④项合计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供应商针对本项目提供内控制度，包括但不限于①岗位工作标准、服务质量标准②作业流程③自查制度④保密制度⑤廉洁敬业制度⑥服装管理制度⑦员工日常管理办法⑧请销假制度⑨奖惩措施等制度。评审依据：每个单项方案内容全面、合理、规范，可操作性强得1分；每个单项方案内容比较合理和规范，具有一定的可操作性得0.5分；每个单项方案内容基本合理，可操作性不强得0.2分；未提供相关内容不得分。①-⑨项合计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针对本项目服务工作，详细列明重点、难点问题及解决方案，至少包括：①清扫保洁服务重点难点及对策②垃圾收集、清运及垃圾场运行设施日常管理方案③设施维保重点难点及对策等。 评审依据：每个单项分析准确、解决方案针对性强得2分；每个单项分析基本准确、解决方案有一定可行性得1分；每个单项分析与实际偏离、解决方案合理性不足得0.5分；未提供相关内容不得分。①-③项合计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针对本项目可能出现的风险，详细列明应急预案，至少包括：①突发事件现场处理方案②特殊雨雪天气预案③临时性大型活动配合方案等。 评审依据：每个单项预案内容详细、针对性强得2分；每个单项预案内容较详细、具有一定针对性得1.5分；每个单项预案内容基本合理、针对性一般得1分；每个单项预案内容简单、缺乏针对性得0.5分； 未提供相关内容不得分。①-③项合计得6分。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针对本项目，详细列明服务承诺，至少包括：①服务考核与监督配合承诺②服务人员稳定及补充承诺③服务质量达标承诺等。 评审依据：每个单项方案内容全面、合理、规范，可操作性强得3分；每个单项方案内容比较合理和规范，有一定的可操作性得2分；每个单项方案内容比较合理，有可操作性得1.5分；每个单项方案内容基本合理，可操作性不强得0.5分；未提供相关内容不得分。①-③项合计得6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企业具有2022年1月1日至今类似项目业绩，1份得1分，最多2分，以加盖单位公章鲜章的合同或协议复印件或扫描件为准，时间以合同或协议签订日期为准。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1、经初审合格的响应文件，其投标报价为有效投标报价，并对有效投标报价进行政策性扣减，并依据扣减后的价格（评审价格）进行价格评审。 2、综合评分法中的价格分统一采用低价优先法计算，即满足采购文件要求且最后报价最低的供应商报价为投标基准价，其价格分为满分。其他供应商的价格分统一按照下列公式计算： 报价得分=（投标基准价/投标报价）×价格权值（10%）×100，超出最高限价的报价为无效报价。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详见附件：合同条款宜君县县城环卫作业外包服务.docx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