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0F839">
      <w:pPr>
        <w:pStyle w:val="4"/>
        <w:pageBreakBefore w:val="0"/>
        <w:numPr>
          <w:ilvl w:val="0"/>
          <w:numId w:val="0"/>
        </w:numPr>
        <w:kinsoku/>
        <w:wordWrap/>
        <w:overflowPunct/>
        <w:topLinePunct w:val="0"/>
        <w:bidi w:val="0"/>
        <w:snapToGrid/>
        <w:spacing w:before="163" w:after="163" w:line="360" w:lineRule="auto"/>
        <w:ind w:firstLine="2891" w:firstLineChars="800"/>
        <w:jc w:val="both"/>
        <w:textAlignment w:val="auto"/>
        <w:rPr>
          <w:rFonts w:hint="eastAsia" w:ascii="宋体" w:hAnsi="宋体" w:eastAsia="宋体" w:cs="宋体"/>
          <w:color w:val="auto"/>
          <w:highlight w:val="none"/>
        </w:rPr>
      </w:pPr>
      <w:bookmarkStart w:id="0" w:name="_GoBack"/>
      <w:bookmarkEnd w:id="0"/>
      <w:r>
        <w:rPr>
          <w:rFonts w:hint="eastAsia" w:ascii="宋体" w:hAnsi="宋体" w:eastAsia="宋体" w:cs="宋体"/>
          <w:color w:val="auto"/>
          <w:highlight w:val="none"/>
        </w:rPr>
        <w:t>政府采购合同</w:t>
      </w:r>
    </w:p>
    <w:p w14:paraId="60D903FE">
      <w:pPr>
        <w:pageBreakBefore w:val="0"/>
        <w:tabs>
          <w:tab w:val="left" w:pos="5040"/>
        </w:tabs>
        <w:kinsoku/>
        <w:wordWrap/>
        <w:overflowPunct/>
        <w:topLinePunct w:val="0"/>
        <w:bidi w:val="0"/>
        <w:snapToGrid/>
        <w:spacing w:line="360" w:lineRule="auto"/>
        <w:jc w:val="center"/>
        <w:textAlignment w:val="auto"/>
        <w:outlineLvl w:val="1"/>
        <w:rPr>
          <w:rFonts w:hint="eastAsia"/>
          <w:color w:val="auto"/>
          <w:highlight w:val="none"/>
        </w:rPr>
      </w:pPr>
      <w:r>
        <w:rPr>
          <w:rStyle w:val="11"/>
          <w:rFonts w:ascii="宋体" w:hAnsi="宋体"/>
          <w:color w:val="auto"/>
          <w:sz w:val="28"/>
          <w:szCs w:val="28"/>
          <w:highlight w:val="none"/>
        </w:rPr>
        <w:t>(最终以甲乙双方实际协商所签协议为准)</w:t>
      </w:r>
    </w:p>
    <w:p w14:paraId="0B5B246B">
      <w:pPr>
        <w:pageBreakBefore w:val="0"/>
        <w:kinsoku/>
        <w:wordWrap/>
        <w:overflowPunct/>
        <w:topLinePunct w:val="0"/>
        <w:bidi w:val="0"/>
        <w:snapToGrid/>
        <w:spacing w:line="360" w:lineRule="auto"/>
        <w:jc w:val="both"/>
        <w:textAlignment w:val="auto"/>
        <w:rPr>
          <w:rFonts w:hint="eastAsia" w:ascii="宋体" w:hAnsi="宋体" w:eastAsia="宋体" w:cs="宋体"/>
          <w:color w:val="auto"/>
          <w:kern w:val="0"/>
          <w:sz w:val="24"/>
          <w:szCs w:val="24"/>
          <w:highlight w:val="none"/>
        </w:rPr>
      </w:pPr>
    </w:p>
    <w:p w14:paraId="0908A52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发包方：</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p>
    <w:p w14:paraId="62B3D35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承包方：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p>
    <w:p w14:paraId="6CA459C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为加快宜君县县城环卫作业服务市场化进程，提高管理效益</w:t>
      </w:r>
      <w:r>
        <w:rPr>
          <w:rFonts w:hint="eastAsia" w:ascii="宋体" w:hAnsi="宋体" w:eastAsia="宋体" w:cs="宋体"/>
          <w:color w:val="auto"/>
          <w:kern w:val="0"/>
          <w:sz w:val="24"/>
          <w:szCs w:val="24"/>
          <w:highlight w:val="none"/>
        </w:rPr>
        <w:t>，经甲、乙双方在平等自愿的基础上，本着公平、公正的原则共同协商，就乙方承揽</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宜君县县城环卫作业外包服务采购</w:t>
      </w:r>
      <w:r>
        <w:rPr>
          <w:rFonts w:hint="eastAsia" w:ascii="宋体" w:hAnsi="宋体" w:eastAsia="宋体" w:cs="宋体"/>
          <w:color w:val="auto"/>
          <w:kern w:val="0"/>
          <w:sz w:val="24"/>
          <w:szCs w:val="24"/>
          <w:highlight w:val="none"/>
          <w:u w:val="single"/>
        </w:rPr>
        <w:t>项目</w:t>
      </w:r>
      <w:r>
        <w:rPr>
          <w:rFonts w:hint="eastAsia" w:ascii="宋体" w:hAnsi="宋体" w:eastAsia="宋体" w:cs="宋体"/>
          <w:color w:val="auto"/>
          <w:kern w:val="0"/>
          <w:sz w:val="24"/>
          <w:szCs w:val="24"/>
          <w:highlight w:val="none"/>
        </w:rPr>
        <w:t>的事宜达成一致，通过招标程序最终确定为本项目承包方。特订立本合同，以资共同遵守。</w:t>
      </w:r>
    </w:p>
    <w:p w14:paraId="3E00B8B5">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第一章  总则</w:t>
      </w:r>
    </w:p>
    <w:p w14:paraId="6B07D93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Cs w:val="28"/>
          <w:highlight w:val="none"/>
        </w:rPr>
      </w:pPr>
      <w:r>
        <w:rPr>
          <w:rFonts w:hint="eastAsia" w:ascii="宋体" w:hAnsi="宋体" w:eastAsia="宋体" w:cs="宋体"/>
          <w:color w:val="auto"/>
          <w:kern w:val="0"/>
          <w:sz w:val="24"/>
          <w:szCs w:val="24"/>
          <w:highlight w:val="none"/>
        </w:rPr>
        <w:t>第一条</w:t>
      </w:r>
      <w:r>
        <w:rPr>
          <w:rFonts w:hint="eastAsia" w:ascii="宋体" w:hAnsi="宋体" w:eastAsia="宋体" w:cs="宋体"/>
          <w:b/>
          <w:color w:val="auto"/>
          <w:kern w:val="0"/>
          <w:sz w:val="24"/>
          <w:szCs w:val="24"/>
          <w:highlight w:val="none"/>
        </w:rPr>
        <w:t xml:space="preserve">  </w:t>
      </w:r>
      <w:r>
        <w:rPr>
          <w:rFonts w:hint="eastAsia" w:ascii="宋体" w:hAnsi="宋体" w:eastAsia="宋体" w:cs="宋体"/>
          <w:color w:val="auto"/>
          <w:kern w:val="0"/>
          <w:sz w:val="24"/>
          <w:szCs w:val="24"/>
          <w:highlight w:val="none"/>
        </w:rPr>
        <w:t>承包单位必须达到</w:t>
      </w:r>
      <w:r>
        <w:rPr>
          <w:rFonts w:hint="eastAsia" w:ascii="宋体" w:hAnsi="宋体" w:eastAsia="宋体" w:cs="宋体"/>
          <w:color w:val="auto"/>
          <w:kern w:val="0"/>
          <w:sz w:val="24"/>
          <w:szCs w:val="24"/>
          <w:highlight w:val="none"/>
          <w:lang w:eastAsia="zh-CN"/>
        </w:rPr>
        <w:t>宜君县</w:t>
      </w:r>
      <w:r>
        <w:rPr>
          <w:rFonts w:hint="eastAsia" w:ascii="宋体" w:hAnsi="宋体" w:eastAsia="宋体" w:cs="宋体"/>
          <w:color w:val="auto"/>
          <w:kern w:val="0"/>
          <w:sz w:val="24"/>
          <w:szCs w:val="24"/>
          <w:highlight w:val="none"/>
        </w:rPr>
        <w:t>城市道路环卫作业相关标准等各项内容并遵守由</w:t>
      </w:r>
      <w:r>
        <w:rPr>
          <w:rFonts w:hint="eastAsia" w:ascii="宋体" w:hAnsi="宋体" w:eastAsia="宋体" w:cs="宋体"/>
          <w:color w:val="auto"/>
          <w:kern w:val="0"/>
          <w:sz w:val="24"/>
          <w:szCs w:val="24"/>
          <w:highlight w:val="none"/>
          <w:lang w:eastAsia="zh-CN"/>
        </w:rPr>
        <w:t>宜君县</w:t>
      </w:r>
      <w:r>
        <w:rPr>
          <w:rFonts w:hint="eastAsia" w:ascii="宋体" w:hAnsi="宋体" w:eastAsia="宋体" w:cs="宋体"/>
          <w:color w:val="auto"/>
          <w:kern w:val="0"/>
          <w:sz w:val="24"/>
          <w:szCs w:val="24"/>
          <w:highlight w:val="none"/>
        </w:rPr>
        <w:t>制定的其它各项市容环境卫生管理规定</w:t>
      </w:r>
      <w:r>
        <w:rPr>
          <w:rFonts w:hint="eastAsia" w:ascii="宋体" w:hAnsi="宋体" w:eastAsia="宋体" w:cs="宋体"/>
          <w:color w:val="auto"/>
          <w:kern w:val="0"/>
          <w:szCs w:val="28"/>
          <w:highlight w:val="none"/>
        </w:rPr>
        <w:t>。</w:t>
      </w:r>
    </w:p>
    <w:p w14:paraId="1E8BC8CD">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第二章  承包的主要指标</w:t>
      </w:r>
    </w:p>
    <w:p w14:paraId="5C699AC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t>第一条</w:t>
      </w:r>
      <w:r>
        <w:rPr>
          <w:rFonts w:hint="eastAsia" w:ascii="宋体" w:hAnsi="宋体" w:eastAsia="宋体" w:cs="宋体"/>
          <w:b/>
          <w:color w:val="auto"/>
          <w:kern w:val="0"/>
          <w:sz w:val="24"/>
          <w:szCs w:val="24"/>
          <w:highlight w:val="none"/>
        </w:rPr>
        <w:t xml:space="preserve">  </w:t>
      </w:r>
      <w:r>
        <w:rPr>
          <w:rFonts w:hint="eastAsia" w:ascii="宋体" w:hAnsi="宋体" w:eastAsia="宋体" w:cs="宋体"/>
          <w:color w:val="auto"/>
          <w:kern w:val="0"/>
          <w:sz w:val="24"/>
          <w:szCs w:val="24"/>
          <w:highlight w:val="none"/>
        </w:rPr>
        <w:t>承包范围：</w:t>
      </w:r>
      <w:r>
        <w:rPr>
          <w:rFonts w:hint="eastAsia" w:ascii="宋体" w:hAnsi="宋体" w:eastAsia="宋体" w:cs="宋体"/>
          <w:color w:val="auto"/>
          <w:kern w:val="0"/>
          <w:sz w:val="24"/>
          <w:szCs w:val="24"/>
          <w:highlight w:val="none"/>
          <w:lang w:eastAsia="zh-CN"/>
        </w:rPr>
        <w:t>宜君县县城环卫作业外包服务项目</w:t>
      </w:r>
      <w:r>
        <w:rPr>
          <w:rFonts w:hint="eastAsia" w:ascii="宋体" w:hAnsi="宋体" w:eastAsia="宋体" w:cs="宋体"/>
          <w:color w:val="auto"/>
          <w:kern w:val="0"/>
          <w:sz w:val="24"/>
          <w:szCs w:val="24"/>
          <w:highlight w:val="none"/>
        </w:rPr>
        <w:t>（详见第四条）</w:t>
      </w:r>
    </w:p>
    <w:p w14:paraId="5BD9C16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第二条</w:t>
      </w:r>
      <w:r>
        <w:rPr>
          <w:rFonts w:hint="eastAsia" w:ascii="宋体" w:hAnsi="宋体" w:eastAsia="宋体" w:cs="宋体"/>
          <w:b/>
          <w:color w:val="auto"/>
          <w:kern w:val="0"/>
          <w:sz w:val="24"/>
          <w:szCs w:val="24"/>
          <w:highlight w:val="none"/>
        </w:rPr>
        <w:t xml:space="preserve">  </w:t>
      </w:r>
      <w:r>
        <w:rPr>
          <w:rFonts w:hint="eastAsia" w:ascii="宋体" w:hAnsi="宋体" w:eastAsia="宋体" w:cs="宋体"/>
          <w:color w:val="auto"/>
          <w:kern w:val="0"/>
          <w:sz w:val="24"/>
          <w:szCs w:val="24"/>
          <w:highlight w:val="none"/>
        </w:rPr>
        <w:t>承包区域的道路面积</w:t>
      </w:r>
      <w:r>
        <w:rPr>
          <w:rFonts w:hint="eastAsia" w:ascii="宋体" w:hAnsi="宋体" w:eastAsia="宋体" w:cs="宋体"/>
          <w:color w:val="auto"/>
          <w:kern w:val="0"/>
          <w:sz w:val="24"/>
          <w:szCs w:val="24"/>
          <w:highlight w:val="none"/>
          <w:lang w:eastAsia="zh-CN"/>
        </w:rPr>
        <w:t>总面积：</w:t>
      </w:r>
    </w:p>
    <w:p w14:paraId="1057CEE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第三条  承包</w:t>
      </w: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期限为：服务期限为</w:t>
      </w:r>
      <w:r>
        <w:rPr>
          <w:rFonts w:hint="eastAsia" w:ascii="宋体" w:hAnsi="宋体" w:eastAsia="宋体" w:cs="宋体"/>
          <w:color w:val="auto"/>
          <w:kern w:val="0"/>
          <w:sz w:val="24"/>
          <w:szCs w:val="24"/>
          <w:highlight w:val="none"/>
          <w:lang w:val="en-US" w:eastAsia="zh-CN"/>
        </w:rPr>
        <w:t>三</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eastAsia="zh-CN"/>
        </w:rPr>
        <w:t>。</w:t>
      </w:r>
    </w:p>
    <w:p w14:paraId="58A8543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首次签订政府采购合同的服务期限为1年，自合同签订之日起生效；首次服务期限届满后，后续两年服务</w:t>
      </w:r>
      <w:r>
        <w:rPr>
          <w:rFonts w:hint="eastAsia" w:ascii="宋体" w:hAnsi="宋体" w:eastAsia="宋体" w:cs="宋体"/>
          <w:color w:val="auto"/>
          <w:kern w:val="0"/>
          <w:sz w:val="24"/>
          <w:szCs w:val="24"/>
          <w:highlight w:val="none"/>
          <w:lang w:val="en-US" w:eastAsia="zh-CN"/>
        </w:rPr>
        <w:t>的</w:t>
      </w:r>
      <w:r>
        <w:rPr>
          <w:rFonts w:hint="eastAsia" w:ascii="宋体" w:hAnsi="宋体" w:eastAsia="宋体" w:cs="宋体"/>
          <w:color w:val="auto"/>
          <w:kern w:val="0"/>
          <w:sz w:val="24"/>
          <w:szCs w:val="24"/>
          <w:highlight w:val="none"/>
        </w:rPr>
        <w:t>延续，在采购单位对上年度服务验收合格后，按政府采购相关要求续签，办理合同续签手续</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最多续签2次</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每次续签服务期限为1年，累计服务期限不超过3年</w:t>
      </w:r>
      <w:r>
        <w:rPr>
          <w:rFonts w:hint="eastAsia" w:ascii="宋体" w:hAnsi="宋体" w:eastAsia="宋体" w:cs="宋体"/>
          <w:color w:val="auto"/>
          <w:kern w:val="0"/>
          <w:sz w:val="24"/>
          <w:szCs w:val="24"/>
          <w:highlight w:val="none"/>
          <w:lang w:eastAsia="zh-CN"/>
        </w:rPr>
        <w:t>，且续签需确保年度预算能够足额保障服务开展</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若采购单位对上一年度服务验收不合格，将不予续签本合同</w:t>
      </w:r>
      <w:r>
        <w:rPr>
          <w:rFonts w:hint="eastAsia" w:ascii="宋体" w:hAnsi="宋体" w:eastAsia="宋体" w:cs="宋体"/>
          <w:color w:val="auto"/>
          <w:kern w:val="0"/>
          <w:sz w:val="24"/>
          <w:szCs w:val="24"/>
          <w:highlight w:val="none"/>
        </w:rPr>
        <w:t>，采购人不承担违约责任。</w:t>
      </w:r>
    </w:p>
    <w:p w14:paraId="2402239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第四条  承包的主要作业内容</w:t>
      </w:r>
    </w:p>
    <w:p w14:paraId="1C45D00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按照双方约定，对甲方所划分的《</w:t>
      </w:r>
      <w:r>
        <w:rPr>
          <w:rFonts w:hint="eastAsia" w:ascii="宋体" w:hAnsi="宋体" w:eastAsia="宋体" w:cs="宋体"/>
          <w:color w:val="auto"/>
          <w:kern w:val="0"/>
          <w:sz w:val="24"/>
          <w:szCs w:val="24"/>
          <w:highlight w:val="none"/>
          <w:lang w:eastAsia="zh-CN"/>
        </w:rPr>
        <w:t xml:space="preserve">宜君县县城环卫作业外包服务项目 </w:t>
      </w:r>
      <w:r>
        <w:rPr>
          <w:rFonts w:hint="eastAsia" w:ascii="宋体" w:hAnsi="宋体" w:eastAsia="宋体" w:cs="宋体"/>
          <w:color w:val="auto"/>
          <w:kern w:val="0"/>
          <w:sz w:val="24"/>
          <w:szCs w:val="24"/>
          <w:highlight w:val="none"/>
        </w:rPr>
        <w:t>》包含的道路进行清扫保洁工作，具体包括：</w:t>
      </w:r>
    </w:p>
    <w:p w14:paraId="628605C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i w:val="0"/>
          <w:iCs w:val="0"/>
          <w:caps w:val="0"/>
          <w:color w:val="auto"/>
          <w:spacing w:val="0"/>
          <w:kern w:val="0"/>
          <w:sz w:val="24"/>
          <w:szCs w:val="24"/>
          <w:shd w:val="clear" w:color="auto" w:fill="FFFFFF"/>
          <w:lang w:val="en-US" w:eastAsia="zh-CN" w:bidi="ar"/>
        </w:rPr>
        <w:t>1、</w:t>
      </w:r>
      <w:r>
        <w:rPr>
          <w:rFonts w:hint="eastAsia" w:ascii="宋体" w:hAnsi="宋体" w:eastAsia="宋体" w:cs="宋体"/>
          <w:color w:val="auto"/>
          <w:kern w:val="0"/>
          <w:sz w:val="24"/>
          <w:szCs w:val="24"/>
          <w:lang w:val="en-US" w:eastAsia="zh-CN"/>
        </w:rPr>
        <w:t>道路清扫保洁（共2</w:t>
      </w:r>
      <w:r>
        <w:rPr>
          <w:rFonts w:hint="eastAsia" w:ascii="宋体" w:hAnsi="宋体" w:cs="宋体"/>
          <w:color w:val="auto"/>
          <w:kern w:val="0"/>
          <w:sz w:val="24"/>
          <w:szCs w:val="24"/>
          <w:lang w:val="en-US" w:eastAsia="zh-CN"/>
        </w:rPr>
        <w:t>33</w:t>
      </w:r>
      <w:r>
        <w:rPr>
          <w:rFonts w:hint="eastAsia" w:ascii="宋体" w:hAnsi="宋体" w:eastAsia="宋体" w:cs="宋体"/>
          <w:color w:val="auto"/>
          <w:kern w:val="0"/>
          <w:sz w:val="24"/>
          <w:szCs w:val="24"/>
          <w:lang w:val="en-US" w:eastAsia="zh-CN"/>
        </w:rPr>
        <w:t>811m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）：宜阳南街10080m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、宜阳中街21712m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、宜阳北街22400m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、南山公园40000m</w:t>
      </w:r>
      <w:r>
        <w:rPr>
          <w:rFonts w:hint="eastAsia" w:ascii="宋体" w:hAnsi="宋体" w:eastAsia="宋体" w:cs="宋体"/>
          <w:color w:val="auto"/>
          <w:kern w:val="0"/>
          <w:sz w:val="24"/>
          <w:szCs w:val="24"/>
          <w:vertAlign w:val="superscript"/>
          <w:lang w:val="en-US" w:eastAsia="zh-CN"/>
        </w:rPr>
        <w:t>2</w:t>
      </w:r>
      <w:r>
        <w:rPr>
          <w:rFonts w:hint="eastAsia" w:ascii="宋体" w:hAnsi="宋体" w:cs="宋体"/>
          <w:color w:val="auto"/>
          <w:kern w:val="0"/>
          <w:sz w:val="24"/>
          <w:szCs w:val="24"/>
          <w:vertAlign w:val="superscript"/>
          <w:lang w:val="en-US" w:eastAsia="zh-CN"/>
        </w:rPr>
        <w:t>、</w:t>
      </w:r>
      <w:r>
        <w:rPr>
          <w:rFonts w:hint="eastAsia" w:ascii="宋体" w:hAnsi="宋体" w:eastAsia="宋体" w:cs="宋体"/>
          <w:color w:val="auto"/>
          <w:kern w:val="0"/>
          <w:sz w:val="24"/>
          <w:szCs w:val="24"/>
          <w:lang w:val="en-US" w:eastAsia="zh-CN"/>
        </w:rPr>
        <w:t>、南山公园</w:t>
      </w:r>
      <w:r>
        <w:rPr>
          <w:rFonts w:hint="eastAsia" w:ascii="宋体" w:hAnsi="宋体" w:cs="宋体"/>
          <w:color w:val="auto"/>
          <w:kern w:val="0"/>
          <w:sz w:val="24"/>
          <w:szCs w:val="24"/>
          <w:lang w:val="en-US" w:eastAsia="zh-CN"/>
        </w:rPr>
        <w:t>延伸段至花溪谷游乐场5</w:t>
      </w:r>
      <w:r>
        <w:rPr>
          <w:rFonts w:hint="eastAsia" w:ascii="宋体" w:hAnsi="宋体" w:eastAsia="宋体" w:cs="宋体"/>
          <w:color w:val="auto"/>
          <w:kern w:val="0"/>
          <w:sz w:val="24"/>
          <w:szCs w:val="24"/>
          <w:lang w:val="en-US" w:eastAsia="zh-CN"/>
        </w:rPr>
        <w:t>000m</w:t>
      </w:r>
      <w:r>
        <w:rPr>
          <w:rFonts w:hint="eastAsia" w:ascii="宋体" w:hAnsi="宋体" w:eastAsia="宋体" w:cs="宋体"/>
          <w:color w:val="auto"/>
          <w:kern w:val="0"/>
          <w:sz w:val="24"/>
          <w:szCs w:val="24"/>
          <w:vertAlign w:val="superscript"/>
          <w:lang w:val="en-US" w:eastAsia="zh-CN"/>
        </w:rPr>
        <w:t>2</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rPr>
        <w:t>玉华路14300m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、兴宜路2610m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、文化西路880m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、友谊西路780m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、友谊东路1264m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、玉华路14300m2、万寿路5954m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、兴宜路6090m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、老街前段14080m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、绕城路30000m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、人民东路1232m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、人民西路300m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、文化东路472m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、文化西路8000m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、花园路800m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、教场路1987m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、文教局路1500m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、利民路600m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、兴农路13000m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、一中通道660m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、微波站通道480m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、公安局巷340m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、惠民巷400m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、老街延伸段13500m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、老街停车道路1090m</w:t>
      </w:r>
      <w:r>
        <w:rPr>
          <w:rFonts w:hint="eastAsia" w:ascii="宋体" w:hAnsi="宋体" w:eastAsia="宋体" w:cs="宋体"/>
          <w:color w:val="auto"/>
          <w:kern w:val="0"/>
          <w:sz w:val="24"/>
          <w:szCs w:val="24"/>
          <w:vertAlign w:val="superscript"/>
          <w:lang w:val="en-US" w:eastAsia="zh-CN"/>
        </w:rPr>
        <w:t>2</w:t>
      </w:r>
      <w:r>
        <w:rPr>
          <w:rFonts w:hint="eastAsia" w:ascii="宋体" w:hAnsi="宋体" w:eastAsia="宋体" w:cs="宋体"/>
          <w:color w:val="auto"/>
          <w:kern w:val="0"/>
          <w:sz w:val="24"/>
          <w:szCs w:val="24"/>
          <w:lang w:val="en-US" w:eastAsia="zh-CN"/>
        </w:rPr>
        <w:t>。</w:t>
      </w:r>
    </w:p>
    <w:p w14:paraId="7B1801C1">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2、广场清扫保洁（共20543m</w:t>
      </w:r>
      <w:r>
        <w:rPr>
          <w:rFonts w:hint="eastAsia" w:ascii="宋体" w:hAnsi="宋体" w:eastAsia="宋体" w:cs="宋体"/>
          <w:i w:val="0"/>
          <w:iCs w:val="0"/>
          <w:caps w:val="0"/>
          <w:color w:val="auto"/>
          <w:spacing w:val="0"/>
          <w:kern w:val="0"/>
          <w:sz w:val="24"/>
          <w:szCs w:val="24"/>
          <w:shd w:val="clear" w:color="auto" w:fill="FFFFFF"/>
          <w:vertAlign w:val="superscript"/>
          <w:lang w:val="en-US" w:eastAsia="zh-CN" w:bidi="ar"/>
        </w:rPr>
        <w:t>2</w:t>
      </w:r>
      <w:r>
        <w:rPr>
          <w:rFonts w:hint="eastAsia" w:ascii="宋体" w:hAnsi="宋体" w:eastAsia="宋体" w:cs="宋体"/>
          <w:i w:val="0"/>
          <w:iCs w:val="0"/>
          <w:caps w:val="0"/>
          <w:color w:val="auto"/>
          <w:spacing w:val="0"/>
          <w:kern w:val="0"/>
          <w:sz w:val="24"/>
          <w:szCs w:val="24"/>
          <w:shd w:val="clear" w:color="auto" w:fill="FFFFFF"/>
          <w:lang w:val="en-US" w:eastAsia="zh-CN" w:bidi="ar"/>
        </w:rPr>
        <w:t>）：休闲广场10843m</w:t>
      </w:r>
      <w:r>
        <w:rPr>
          <w:rFonts w:hint="eastAsia" w:ascii="宋体" w:hAnsi="宋体" w:eastAsia="宋体" w:cs="宋体"/>
          <w:i w:val="0"/>
          <w:iCs w:val="0"/>
          <w:caps w:val="0"/>
          <w:color w:val="auto"/>
          <w:spacing w:val="0"/>
          <w:kern w:val="0"/>
          <w:sz w:val="24"/>
          <w:szCs w:val="24"/>
          <w:shd w:val="clear" w:color="auto" w:fill="FFFFFF"/>
          <w:vertAlign w:val="superscript"/>
          <w:lang w:val="en-US" w:eastAsia="zh-CN" w:bidi="ar"/>
        </w:rPr>
        <w:t>2</w:t>
      </w:r>
      <w:r>
        <w:rPr>
          <w:rFonts w:hint="eastAsia" w:ascii="宋体" w:hAnsi="宋体" w:eastAsia="宋体" w:cs="宋体"/>
          <w:i w:val="0"/>
          <w:iCs w:val="0"/>
          <w:caps w:val="0"/>
          <w:color w:val="auto"/>
          <w:spacing w:val="0"/>
          <w:kern w:val="0"/>
          <w:sz w:val="24"/>
          <w:szCs w:val="24"/>
          <w:shd w:val="clear" w:color="auto" w:fill="FFFFFF"/>
          <w:lang w:val="en-US" w:eastAsia="zh-CN" w:bidi="ar"/>
        </w:rPr>
        <w:t>、龟山广场及道路4000m</w:t>
      </w:r>
      <w:r>
        <w:rPr>
          <w:rFonts w:hint="eastAsia" w:ascii="宋体" w:hAnsi="宋体" w:eastAsia="宋体" w:cs="宋体"/>
          <w:i w:val="0"/>
          <w:iCs w:val="0"/>
          <w:caps w:val="0"/>
          <w:color w:val="auto"/>
          <w:spacing w:val="0"/>
          <w:kern w:val="0"/>
          <w:sz w:val="24"/>
          <w:szCs w:val="24"/>
          <w:shd w:val="clear" w:color="auto" w:fill="FFFFFF"/>
          <w:vertAlign w:val="superscript"/>
          <w:lang w:val="en-US" w:eastAsia="zh-CN" w:bidi="ar"/>
        </w:rPr>
        <w:t>2</w:t>
      </w:r>
      <w:r>
        <w:rPr>
          <w:rFonts w:hint="eastAsia" w:ascii="宋体" w:hAnsi="宋体" w:eastAsia="宋体" w:cs="宋体"/>
          <w:i w:val="0"/>
          <w:iCs w:val="0"/>
          <w:caps w:val="0"/>
          <w:color w:val="auto"/>
          <w:spacing w:val="0"/>
          <w:kern w:val="0"/>
          <w:sz w:val="24"/>
          <w:szCs w:val="24"/>
          <w:shd w:val="clear" w:color="auto" w:fill="FFFFFF"/>
          <w:lang w:val="en-US" w:eastAsia="zh-CN" w:bidi="ar"/>
        </w:rPr>
        <w:t>、工行家属楼广场300m</w:t>
      </w:r>
      <w:r>
        <w:rPr>
          <w:rFonts w:hint="eastAsia" w:ascii="宋体" w:hAnsi="宋体" w:eastAsia="宋体" w:cs="宋体"/>
          <w:i w:val="0"/>
          <w:iCs w:val="0"/>
          <w:caps w:val="0"/>
          <w:color w:val="auto"/>
          <w:spacing w:val="0"/>
          <w:kern w:val="0"/>
          <w:sz w:val="24"/>
          <w:szCs w:val="24"/>
          <w:shd w:val="clear" w:color="auto" w:fill="FFFFFF"/>
          <w:vertAlign w:val="superscript"/>
          <w:lang w:val="en-US" w:eastAsia="zh-CN" w:bidi="ar"/>
        </w:rPr>
        <w:t>2</w:t>
      </w:r>
      <w:r>
        <w:rPr>
          <w:rFonts w:hint="eastAsia" w:ascii="宋体" w:hAnsi="宋体" w:eastAsia="宋体" w:cs="宋体"/>
          <w:i w:val="0"/>
          <w:iCs w:val="0"/>
          <w:caps w:val="0"/>
          <w:color w:val="auto"/>
          <w:spacing w:val="0"/>
          <w:kern w:val="0"/>
          <w:sz w:val="24"/>
          <w:szCs w:val="24"/>
          <w:shd w:val="clear" w:color="auto" w:fill="FFFFFF"/>
          <w:lang w:val="en-US" w:eastAsia="zh-CN" w:bidi="ar"/>
        </w:rPr>
        <w:t>、世纪停车场500m</w:t>
      </w:r>
      <w:r>
        <w:rPr>
          <w:rFonts w:hint="eastAsia" w:ascii="宋体" w:hAnsi="宋体" w:eastAsia="宋体" w:cs="宋体"/>
          <w:i w:val="0"/>
          <w:iCs w:val="0"/>
          <w:caps w:val="0"/>
          <w:color w:val="auto"/>
          <w:spacing w:val="0"/>
          <w:kern w:val="0"/>
          <w:sz w:val="24"/>
          <w:szCs w:val="24"/>
          <w:shd w:val="clear" w:color="auto" w:fill="FFFFFF"/>
          <w:vertAlign w:val="superscript"/>
          <w:lang w:val="en-US" w:eastAsia="zh-CN" w:bidi="ar"/>
        </w:rPr>
        <w:t>2</w:t>
      </w:r>
      <w:r>
        <w:rPr>
          <w:rFonts w:hint="eastAsia" w:ascii="宋体" w:hAnsi="宋体" w:eastAsia="宋体" w:cs="宋体"/>
          <w:i w:val="0"/>
          <w:iCs w:val="0"/>
          <w:caps w:val="0"/>
          <w:color w:val="auto"/>
          <w:spacing w:val="0"/>
          <w:kern w:val="0"/>
          <w:sz w:val="24"/>
          <w:szCs w:val="24"/>
          <w:shd w:val="clear" w:color="auto" w:fill="FFFFFF"/>
          <w:lang w:val="en-US" w:eastAsia="zh-CN" w:bidi="ar"/>
        </w:rPr>
        <w:t>、中心广场4900m</w:t>
      </w:r>
      <w:r>
        <w:rPr>
          <w:rFonts w:hint="eastAsia" w:ascii="宋体" w:hAnsi="宋体" w:eastAsia="宋体" w:cs="宋体"/>
          <w:i w:val="0"/>
          <w:iCs w:val="0"/>
          <w:caps w:val="0"/>
          <w:color w:val="auto"/>
          <w:spacing w:val="0"/>
          <w:kern w:val="0"/>
          <w:sz w:val="24"/>
          <w:szCs w:val="24"/>
          <w:shd w:val="clear" w:color="auto" w:fill="FFFFFF"/>
          <w:vertAlign w:val="superscript"/>
          <w:lang w:val="en-US" w:eastAsia="zh-CN" w:bidi="ar"/>
        </w:rPr>
        <w:t>2</w:t>
      </w:r>
      <w:r>
        <w:rPr>
          <w:rFonts w:hint="eastAsia" w:ascii="宋体" w:hAnsi="宋体" w:eastAsia="宋体" w:cs="宋体"/>
          <w:i w:val="0"/>
          <w:iCs w:val="0"/>
          <w:caps w:val="0"/>
          <w:color w:val="auto"/>
          <w:spacing w:val="0"/>
          <w:kern w:val="0"/>
          <w:sz w:val="24"/>
          <w:szCs w:val="24"/>
          <w:shd w:val="clear" w:color="auto" w:fill="FFFFFF"/>
          <w:lang w:val="en-US" w:eastAsia="zh-CN" w:bidi="ar"/>
        </w:rPr>
        <w:t>。</w:t>
      </w:r>
    </w:p>
    <w:p w14:paraId="0A9D7D4F">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3、公厕清扫保洁：酒厂公厕、北街公厕、操场公厕、休闲广场公厕、宜阳府邸公厕、轩辕公厕、龙山广场公厕、南山广场公厕、南山管理处斜对面公厕、水景广场公厕、龟山广场公厕1和2、果库对面公厕。</w:t>
      </w:r>
    </w:p>
    <w:p w14:paraId="7FD335DF">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s="宋体"/>
          <w:color w:val="auto"/>
          <w:kern w:val="0"/>
          <w:sz w:val="24"/>
          <w:szCs w:val="24"/>
          <w:lang w:val="en-US" w:eastAsia="zh-CN"/>
        </w:rPr>
      </w:pPr>
      <w:r>
        <w:rPr>
          <w:rFonts w:hint="eastAsia" w:ascii="宋体" w:hAnsi="宋体" w:eastAsia="宋体" w:cs="宋体"/>
          <w:i w:val="0"/>
          <w:iCs w:val="0"/>
          <w:caps w:val="0"/>
          <w:color w:val="auto"/>
          <w:spacing w:val="0"/>
          <w:kern w:val="0"/>
          <w:sz w:val="24"/>
          <w:szCs w:val="24"/>
          <w:shd w:val="clear" w:color="auto" w:fill="FFFFFF"/>
          <w:lang w:val="en-US" w:eastAsia="zh-CN" w:bidi="ar"/>
        </w:rPr>
        <w:t>4、</w:t>
      </w:r>
      <w:r>
        <w:rPr>
          <w:rFonts w:hint="eastAsia" w:ascii="宋体" w:hAnsi="宋体" w:cs="宋体"/>
          <w:i w:val="0"/>
          <w:iCs w:val="0"/>
          <w:caps w:val="0"/>
          <w:color w:val="auto"/>
          <w:spacing w:val="0"/>
          <w:kern w:val="0"/>
          <w:sz w:val="24"/>
          <w:szCs w:val="24"/>
          <w:shd w:val="clear" w:color="auto" w:fill="FFFFFF"/>
          <w:lang w:val="en-US" w:eastAsia="zh-CN" w:bidi="ar"/>
        </w:rPr>
        <w:t>小区</w:t>
      </w:r>
      <w:r>
        <w:rPr>
          <w:rFonts w:hint="eastAsia" w:ascii="宋体" w:hAnsi="宋体" w:eastAsia="宋体" w:cs="宋体"/>
          <w:color w:val="auto"/>
          <w:kern w:val="0"/>
          <w:sz w:val="24"/>
          <w:szCs w:val="24"/>
          <w:lang w:val="en-US" w:eastAsia="zh-CN"/>
        </w:rPr>
        <w:t>清扫保洁</w:t>
      </w:r>
      <w:r>
        <w:rPr>
          <w:rFonts w:hint="eastAsia" w:ascii="宋体" w:hAnsi="宋体" w:cs="宋体"/>
          <w:color w:val="auto"/>
          <w:kern w:val="0"/>
          <w:sz w:val="24"/>
          <w:szCs w:val="24"/>
          <w:lang w:val="en-US" w:eastAsia="zh-CN"/>
        </w:rPr>
        <w:t>区域</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共约38606</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color w:val="auto"/>
          <w:kern w:val="0"/>
          <w:sz w:val="24"/>
          <w:szCs w:val="24"/>
          <w:lang w:val="en-US" w:eastAsia="zh-CN"/>
        </w:rPr>
        <w:t>）</w:t>
      </w:r>
      <w:r>
        <w:rPr>
          <w:rFonts w:hint="eastAsia" w:ascii="宋体" w:hAnsi="宋体" w:cs="宋体"/>
          <w:color w:val="auto"/>
          <w:kern w:val="0"/>
          <w:sz w:val="24"/>
          <w:szCs w:val="24"/>
          <w:lang w:val="en-US" w:eastAsia="zh-CN"/>
        </w:rPr>
        <w:t>：林业局家属楼、林苑小区1、2号楼、景园小区、安居工程1号、安居工程2号、城建安置楼、盐业公司家属楼、政府2号家属楼。</w:t>
      </w:r>
    </w:p>
    <w:tbl>
      <w:tblPr>
        <w:tblStyle w:val="9"/>
        <w:tblW w:w="86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8"/>
        <w:gridCol w:w="2748"/>
        <w:gridCol w:w="1224"/>
        <w:gridCol w:w="1851"/>
        <w:gridCol w:w="1646"/>
      </w:tblGrid>
      <w:tr w14:paraId="4E8CC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34B9997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序号</w:t>
            </w:r>
          </w:p>
        </w:tc>
        <w:tc>
          <w:tcPr>
            <w:tcW w:w="2748" w:type="dxa"/>
            <w:tcBorders>
              <w:top w:val="single" w:color="000000" w:sz="4" w:space="0"/>
              <w:left w:val="single" w:color="000000" w:sz="4" w:space="0"/>
              <w:bottom w:val="single" w:color="000000" w:sz="4" w:space="0"/>
              <w:right w:val="single" w:color="000000" w:sz="4" w:space="0"/>
            </w:tcBorders>
            <w:noWrap/>
            <w:vAlign w:val="center"/>
          </w:tcPr>
          <w:p w14:paraId="7FECD5F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小区名称</w:t>
            </w:r>
          </w:p>
        </w:tc>
        <w:tc>
          <w:tcPr>
            <w:tcW w:w="1224" w:type="dxa"/>
            <w:tcBorders>
              <w:top w:val="single" w:color="000000" w:sz="4" w:space="0"/>
              <w:left w:val="single" w:color="000000" w:sz="4" w:space="0"/>
              <w:bottom w:val="single" w:color="000000" w:sz="4" w:space="0"/>
              <w:right w:val="single" w:color="000000" w:sz="4" w:space="0"/>
            </w:tcBorders>
            <w:noWrap/>
            <w:vAlign w:val="center"/>
          </w:tcPr>
          <w:p w14:paraId="2D9649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户数</w:t>
            </w:r>
          </w:p>
        </w:tc>
        <w:tc>
          <w:tcPr>
            <w:tcW w:w="1851" w:type="dxa"/>
            <w:tcBorders>
              <w:top w:val="single" w:color="000000" w:sz="4" w:space="0"/>
              <w:left w:val="single" w:color="000000" w:sz="4" w:space="0"/>
              <w:bottom w:val="single" w:color="000000" w:sz="4" w:space="0"/>
              <w:right w:val="single" w:color="000000" w:sz="4" w:space="0"/>
            </w:tcBorders>
            <w:noWrap/>
            <w:vAlign w:val="center"/>
          </w:tcPr>
          <w:p w14:paraId="7CD8A88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面积㎡</w:t>
            </w:r>
          </w:p>
        </w:tc>
        <w:tc>
          <w:tcPr>
            <w:tcW w:w="1646" w:type="dxa"/>
            <w:tcBorders>
              <w:top w:val="single" w:color="000000" w:sz="4" w:space="0"/>
              <w:left w:val="single" w:color="000000" w:sz="4" w:space="0"/>
              <w:bottom w:val="single" w:color="000000" w:sz="4" w:space="0"/>
              <w:right w:val="single" w:color="000000" w:sz="4" w:space="0"/>
            </w:tcBorders>
            <w:noWrap/>
            <w:vAlign w:val="center"/>
          </w:tcPr>
          <w:p w14:paraId="47FBFA0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楼栋</w:t>
            </w:r>
          </w:p>
        </w:tc>
      </w:tr>
      <w:tr w14:paraId="385CC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776BCB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2748" w:type="dxa"/>
            <w:tcBorders>
              <w:top w:val="single" w:color="000000" w:sz="4" w:space="0"/>
              <w:left w:val="single" w:color="000000" w:sz="4" w:space="0"/>
              <w:bottom w:val="single" w:color="000000" w:sz="4" w:space="0"/>
              <w:right w:val="single" w:color="000000" w:sz="4" w:space="0"/>
            </w:tcBorders>
            <w:noWrap w:val="0"/>
            <w:vAlign w:val="center"/>
          </w:tcPr>
          <w:p w14:paraId="10057C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林业局家属楼</w:t>
            </w:r>
          </w:p>
        </w:tc>
        <w:tc>
          <w:tcPr>
            <w:tcW w:w="1224" w:type="dxa"/>
            <w:tcBorders>
              <w:top w:val="single" w:color="000000" w:sz="4" w:space="0"/>
              <w:left w:val="single" w:color="000000" w:sz="4" w:space="0"/>
              <w:bottom w:val="single" w:color="000000" w:sz="4" w:space="0"/>
              <w:right w:val="single" w:color="000000" w:sz="4" w:space="0"/>
            </w:tcBorders>
            <w:noWrap w:val="0"/>
            <w:vAlign w:val="center"/>
          </w:tcPr>
          <w:p w14:paraId="1B1FC52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36户</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14:paraId="6B0E6A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4380</w:t>
            </w:r>
          </w:p>
        </w:tc>
        <w:tc>
          <w:tcPr>
            <w:tcW w:w="1646" w:type="dxa"/>
            <w:tcBorders>
              <w:top w:val="single" w:color="000000" w:sz="4" w:space="0"/>
              <w:left w:val="single" w:color="000000" w:sz="4" w:space="0"/>
              <w:bottom w:val="single" w:color="000000" w:sz="4" w:space="0"/>
              <w:right w:val="single" w:color="000000" w:sz="4" w:space="0"/>
            </w:tcBorders>
            <w:noWrap/>
            <w:vAlign w:val="center"/>
          </w:tcPr>
          <w:p w14:paraId="3D59358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1幢</w:t>
            </w:r>
          </w:p>
        </w:tc>
      </w:tr>
      <w:tr w14:paraId="202AD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30C2A5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2748" w:type="dxa"/>
            <w:tcBorders>
              <w:top w:val="single" w:color="000000" w:sz="4" w:space="0"/>
              <w:left w:val="single" w:color="000000" w:sz="4" w:space="0"/>
              <w:bottom w:val="single" w:color="000000" w:sz="4" w:space="0"/>
              <w:right w:val="single" w:color="000000" w:sz="4" w:space="0"/>
            </w:tcBorders>
            <w:noWrap w:val="0"/>
            <w:vAlign w:val="center"/>
          </w:tcPr>
          <w:p w14:paraId="2E8B35D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林苑小区1、2号楼</w:t>
            </w:r>
          </w:p>
        </w:tc>
        <w:tc>
          <w:tcPr>
            <w:tcW w:w="1224" w:type="dxa"/>
            <w:tcBorders>
              <w:top w:val="single" w:color="000000" w:sz="4" w:space="0"/>
              <w:left w:val="single" w:color="000000" w:sz="4" w:space="0"/>
              <w:bottom w:val="single" w:color="000000" w:sz="4" w:space="0"/>
              <w:right w:val="single" w:color="000000" w:sz="4" w:space="0"/>
            </w:tcBorders>
            <w:noWrap w:val="0"/>
            <w:vAlign w:val="center"/>
          </w:tcPr>
          <w:p w14:paraId="1523F65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42户</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14:paraId="5364E46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5714</w:t>
            </w:r>
          </w:p>
        </w:tc>
        <w:tc>
          <w:tcPr>
            <w:tcW w:w="1646" w:type="dxa"/>
            <w:tcBorders>
              <w:top w:val="single" w:color="000000" w:sz="4" w:space="0"/>
              <w:left w:val="single" w:color="000000" w:sz="4" w:space="0"/>
              <w:bottom w:val="single" w:color="000000" w:sz="4" w:space="0"/>
              <w:right w:val="single" w:color="000000" w:sz="4" w:space="0"/>
            </w:tcBorders>
            <w:noWrap/>
            <w:vAlign w:val="center"/>
          </w:tcPr>
          <w:p w14:paraId="4A586AA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2幢</w:t>
            </w:r>
          </w:p>
        </w:tc>
      </w:tr>
      <w:tr w14:paraId="2168A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41D24EB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2748" w:type="dxa"/>
            <w:tcBorders>
              <w:top w:val="single" w:color="000000" w:sz="4" w:space="0"/>
              <w:left w:val="single" w:color="000000" w:sz="4" w:space="0"/>
              <w:bottom w:val="single" w:color="000000" w:sz="4" w:space="0"/>
              <w:right w:val="single" w:color="000000" w:sz="4" w:space="0"/>
            </w:tcBorders>
            <w:noWrap/>
            <w:vAlign w:val="center"/>
          </w:tcPr>
          <w:p w14:paraId="0D2847E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景园小区</w:t>
            </w:r>
          </w:p>
        </w:tc>
        <w:tc>
          <w:tcPr>
            <w:tcW w:w="1224" w:type="dxa"/>
            <w:tcBorders>
              <w:top w:val="single" w:color="000000" w:sz="4" w:space="0"/>
              <w:left w:val="single" w:color="000000" w:sz="4" w:space="0"/>
              <w:bottom w:val="single" w:color="000000" w:sz="4" w:space="0"/>
              <w:right w:val="single" w:color="000000" w:sz="4" w:space="0"/>
            </w:tcBorders>
            <w:noWrap/>
            <w:vAlign w:val="center"/>
          </w:tcPr>
          <w:p w14:paraId="28D8ECF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w:t>
            </w:r>
          </w:p>
        </w:tc>
        <w:tc>
          <w:tcPr>
            <w:tcW w:w="1851" w:type="dxa"/>
            <w:tcBorders>
              <w:top w:val="single" w:color="000000" w:sz="4" w:space="0"/>
              <w:left w:val="single" w:color="000000" w:sz="4" w:space="0"/>
              <w:bottom w:val="single" w:color="000000" w:sz="4" w:space="0"/>
              <w:right w:val="single" w:color="000000" w:sz="4" w:space="0"/>
            </w:tcBorders>
            <w:noWrap/>
            <w:vAlign w:val="center"/>
          </w:tcPr>
          <w:p w14:paraId="43F965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15000</w:t>
            </w:r>
          </w:p>
        </w:tc>
        <w:tc>
          <w:tcPr>
            <w:tcW w:w="1646" w:type="dxa"/>
            <w:tcBorders>
              <w:top w:val="single" w:color="000000" w:sz="4" w:space="0"/>
              <w:left w:val="single" w:color="000000" w:sz="4" w:space="0"/>
              <w:bottom w:val="single" w:color="000000" w:sz="4" w:space="0"/>
              <w:right w:val="single" w:color="000000" w:sz="4" w:space="0"/>
            </w:tcBorders>
            <w:noWrap/>
            <w:vAlign w:val="center"/>
          </w:tcPr>
          <w:p w14:paraId="560400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4幢</w:t>
            </w:r>
          </w:p>
        </w:tc>
      </w:tr>
      <w:tr w14:paraId="0580D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319B12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2748" w:type="dxa"/>
            <w:tcBorders>
              <w:top w:val="single" w:color="000000" w:sz="4" w:space="0"/>
              <w:left w:val="single" w:color="000000" w:sz="4" w:space="0"/>
              <w:bottom w:val="single" w:color="000000" w:sz="4" w:space="0"/>
              <w:right w:val="single" w:color="000000" w:sz="4" w:space="0"/>
            </w:tcBorders>
            <w:noWrap w:val="0"/>
            <w:vAlign w:val="center"/>
          </w:tcPr>
          <w:p w14:paraId="23C813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安居工程1号</w:t>
            </w:r>
          </w:p>
        </w:tc>
        <w:tc>
          <w:tcPr>
            <w:tcW w:w="1224" w:type="dxa"/>
            <w:tcBorders>
              <w:top w:val="single" w:color="000000" w:sz="4" w:space="0"/>
              <w:left w:val="single" w:color="000000" w:sz="4" w:space="0"/>
              <w:bottom w:val="single" w:color="000000" w:sz="4" w:space="0"/>
              <w:right w:val="single" w:color="000000" w:sz="4" w:space="0"/>
            </w:tcBorders>
            <w:noWrap/>
            <w:vAlign w:val="center"/>
          </w:tcPr>
          <w:p w14:paraId="0672C3D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c>
          <w:tcPr>
            <w:tcW w:w="1851" w:type="dxa"/>
            <w:tcBorders>
              <w:top w:val="single" w:color="000000" w:sz="4" w:space="0"/>
              <w:left w:val="single" w:color="000000" w:sz="4" w:space="0"/>
              <w:bottom w:val="single" w:color="000000" w:sz="4" w:space="0"/>
              <w:right w:val="single" w:color="000000" w:sz="4" w:space="0"/>
            </w:tcBorders>
            <w:noWrap/>
            <w:vAlign w:val="center"/>
          </w:tcPr>
          <w:p w14:paraId="3B6D0F5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2670</w:t>
            </w:r>
          </w:p>
        </w:tc>
        <w:tc>
          <w:tcPr>
            <w:tcW w:w="1646" w:type="dxa"/>
            <w:vMerge w:val="restart"/>
            <w:tcBorders>
              <w:top w:val="single" w:color="000000" w:sz="4" w:space="0"/>
              <w:left w:val="single" w:color="000000" w:sz="4" w:space="0"/>
              <w:bottom w:val="single" w:color="000000" w:sz="4" w:space="0"/>
              <w:right w:val="single" w:color="000000" w:sz="4" w:space="0"/>
            </w:tcBorders>
            <w:noWrap/>
            <w:vAlign w:val="center"/>
          </w:tcPr>
          <w:p w14:paraId="0819D01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2幢</w:t>
            </w:r>
          </w:p>
        </w:tc>
      </w:tr>
      <w:tr w14:paraId="4B99E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16F1ADD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2748" w:type="dxa"/>
            <w:tcBorders>
              <w:top w:val="single" w:color="000000" w:sz="4" w:space="0"/>
              <w:left w:val="single" w:color="000000" w:sz="4" w:space="0"/>
              <w:bottom w:val="single" w:color="000000" w:sz="4" w:space="0"/>
              <w:right w:val="single" w:color="000000" w:sz="4" w:space="0"/>
            </w:tcBorders>
            <w:noWrap w:val="0"/>
            <w:vAlign w:val="center"/>
          </w:tcPr>
          <w:p w14:paraId="69DD33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安居工程2号</w:t>
            </w:r>
          </w:p>
        </w:tc>
        <w:tc>
          <w:tcPr>
            <w:tcW w:w="1224" w:type="dxa"/>
            <w:tcBorders>
              <w:top w:val="single" w:color="000000" w:sz="4" w:space="0"/>
              <w:left w:val="single" w:color="000000" w:sz="4" w:space="0"/>
              <w:bottom w:val="single" w:color="000000" w:sz="4" w:space="0"/>
              <w:right w:val="single" w:color="000000" w:sz="4" w:space="0"/>
            </w:tcBorders>
            <w:noWrap/>
            <w:vAlign w:val="center"/>
          </w:tcPr>
          <w:p w14:paraId="5377071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c>
          <w:tcPr>
            <w:tcW w:w="1851" w:type="dxa"/>
            <w:tcBorders>
              <w:top w:val="single" w:color="000000" w:sz="4" w:space="0"/>
              <w:left w:val="single" w:color="000000" w:sz="4" w:space="0"/>
              <w:bottom w:val="single" w:color="000000" w:sz="4" w:space="0"/>
              <w:right w:val="single" w:color="000000" w:sz="4" w:space="0"/>
            </w:tcBorders>
            <w:noWrap/>
            <w:vAlign w:val="center"/>
          </w:tcPr>
          <w:p w14:paraId="3270FF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2820</w:t>
            </w:r>
          </w:p>
        </w:tc>
        <w:tc>
          <w:tcPr>
            <w:tcW w:w="1646" w:type="dxa"/>
            <w:vMerge w:val="continue"/>
            <w:tcBorders>
              <w:top w:val="single" w:color="000000" w:sz="4" w:space="0"/>
              <w:left w:val="single" w:color="000000" w:sz="4" w:space="0"/>
              <w:bottom w:val="single" w:color="000000" w:sz="4" w:space="0"/>
              <w:right w:val="single" w:color="000000" w:sz="4" w:space="0"/>
            </w:tcBorders>
            <w:noWrap/>
            <w:vAlign w:val="center"/>
          </w:tcPr>
          <w:p w14:paraId="6EEBB5E5">
            <w:pPr>
              <w:jc w:val="center"/>
              <w:rPr>
                <w:rFonts w:hint="eastAsia" w:ascii="宋体" w:hAnsi="宋体" w:eastAsia="宋体" w:cs="宋体"/>
                <w:i w:val="0"/>
                <w:iCs w:val="0"/>
                <w:color w:val="auto"/>
                <w:sz w:val="24"/>
                <w:szCs w:val="24"/>
                <w:u w:val="none"/>
              </w:rPr>
            </w:pPr>
          </w:p>
        </w:tc>
      </w:tr>
      <w:tr w14:paraId="3781F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58493F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2748" w:type="dxa"/>
            <w:tcBorders>
              <w:top w:val="single" w:color="000000" w:sz="4" w:space="0"/>
              <w:left w:val="single" w:color="000000" w:sz="4" w:space="0"/>
              <w:bottom w:val="single" w:color="000000" w:sz="4" w:space="0"/>
              <w:right w:val="single" w:color="000000" w:sz="4" w:space="0"/>
            </w:tcBorders>
            <w:noWrap w:val="0"/>
            <w:vAlign w:val="center"/>
          </w:tcPr>
          <w:p w14:paraId="06C241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color w:val="auto"/>
                <w:kern w:val="0"/>
                <w:sz w:val="24"/>
                <w:szCs w:val="24"/>
                <w:lang w:val="en-US" w:eastAsia="zh-CN"/>
              </w:rPr>
              <w:t>城建安置楼</w:t>
            </w:r>
          </w:p>
        </w:tc>
        <w:tc>
          <w:tcPr>
            <w:tcW w:w="1224" w:type="dxa"/>
            <w:tcBorders>
              <w:top w:val="single" w:color="000000" w:sz="4" w:space="0"/>
              <w:left w:val="single" w:color="000000" w:sz="4" w:space="0"/>
              <w:bottom w:val="single" w:color="000000" w:sz="4" w:space="0"/>
              <w:right w:val="single" w:color="000000" w:sz="4" w:space="0"/>
            </w:tcBorders>
            <w:noWrap w:val="0"/>
            <w:vAlign w:val="center"/>
          </w:tcPr>
          <w:p w14:paraId="3F0D889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30户</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14:paraId="666C5CCE">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2640</w:t>
            </w:r>
          </w:p>
        </w:tc>
        <w:tc>
          <w:tcPr>
            <w:tcW w:w="1646" w:type="dxa"/>
            <w:tcBorders>
              <w:top w:val="single" w:color="000000" w:sz="4" w:space="0"/>
              <w:left w:val="single" w:color="000000" w:sz="4" w:space="0"/>
              <w:bottom w:val="single" w:color="000000" w:sz="4" w:space="0"/>
              <w:right w:val="single" w:color="000000" w:sz="4" w:space="0"/>
            </w:tcBorders>
            <w:noWrap/>
            <w:vAlign w:val="center"/>
          </w:tcPr>
          <w:p w14:paraId="1CAC827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1幢</w:t>
            </w:r>
          </w:p>
        </w:tc>
      </w:tr>
      <w:tr w14:paraId="69E27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1502298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2748" w:type="dxa"/>
            <w:tcBorders>
              <w:top w:val="single" w:color="000000" w:sz="4" w:space="0"/>
              <w:left w:val="single" w:color="000000" w:sz="4" w:space="0"/>
              <w:bottom w:val="single" w:color="000000" w:sz="4" w:space="0"/>
              <w:right w:val="single" w:color="000000" w:sz="4" w:space="0"/>
            </w:tcBorders>
            <w:noWrap w:val="0"/>
            <w:vAlign w:val="center"/>
          </w:tcPr>
          <w:p w14:paraId="4ADED6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盐业公司家属楼</w:t>
            </w:r>
          </w:p>
        </w:tc>
        <w:tc>
          <w:tcPr>
            <w:tcW w:w="1224" w:type="dxa"/>
            <w:tcBorders>
              <w:top w:val="single" w:color="000000" w:sz="4" w:space="0"/>
              <w:left w:val="single" w:color="000000" w:sz="4" w:space="0"/>
              <w:bottom w:val="single" w:color="000000" w:sz="4" w:space="0"/>
              <w:right w:val="single" w:color="000000" w:sz="4" w:space="0"/>
            </w:tcBorders>
            <w:noWrap/>
            <w:vAlign w:val="center"/>
          </w:tcPr>
          <w:p w14:paraId="17B7268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c>
          <w:tcPr>
            <w:tcW w:w="1851" w:type="dxa"/>
            <w:tcBorders>
              <w:top w:val="single" w:color="000000" w:sz="4" w:space="0"/>
              <w:left w:val="single" w:color="000000" w:sz="4" w:space="0"/>
              <w:bottom w:val="single" w:color="000000" w:sz="4" w:space="0"/>
              <w:right w:val="single" w:color="000000" w:sz="4" w:space="0"/>
            </w:tcBorders>
            <w:noWrap/>
            <w:vAlign w:val="center"/>
          </w:tcPr>
          <w:p w14:paraId="120D67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2370</w:t>
            </w:r>
          </w:p>
        </w:tc>
        <w:tc>
          <w:tcPr>
            <w:tcW w:w="1646" w:type="dxa"/>
            <w:tcBorders>
              <w:top w:val="single" w:color="000000" w:sz="4" w:space="0"/>
              <w:left w:val="single" w:color="000000" w:sz="4" w:space="0"/>
              <w:bottom w:val="single" w:color="000000" w:sz="4" w:space="0"/>
              <w:right w:val="single" w:color="000000" w:sz="4" w:space="0"/>
            </w:tcBorders>
            <w:noWrap/>
            <w:vAlign w:val="center"/>
          </w:tcPr>
          <w:p w14:paraId="4D6909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1幢</w:t>
            </w:r>
          </w:p>
        </w:tc>
      </w:tr>
      <w:tr w14:paraId="53D19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2553C3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2748" w:type="dxa"/>
            <w:tcBorders>
              <w:top w:val="single" w:color="000000" w:sz="4" w:space="0"/>
              <w:left w:val="single" w:color="000000" w:sz="4" w:space="0"/>
              <w:bottom w:val="single" w:color="000000" w:sz="4" w:space="0"/>
              <w:right w:val="single" w:color="000000" w:sz="4" w:space="0"/>
            </w:tcBorders>
            <w:noWrap w:val="0"/>
            <w:vAlign w:val="center"/>
          </w:tcPr>
          <w:p w14:paraId="4BBD82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政府2号家属楼</w:t>
            </w:r>
          </w:p>
        </w:tc>
        <w:tc>
          <w:tcPr>
            <w:tcW w:w="1224" w:type="dxa"/>
            <w:tcBorders>
              <w:top w:val="single" w:color="000000" w:sz="4" w:space="0"/>
              <w:left w:val="single" w:color="000000" w:sz="4" w:space="0"/>
              <w:bottom w:val="single" w:color="000000" w:sz="4" w:space="0"/>
              <w:right w:val="single" w:color="000000" w:sz="4" w:space="0"/>
            </w:tcBorders>
            <w:noWrap/>
            <w:vAlign w:val="center"/>
          </w:tcPr>
          <w:p w14:paraId="3CFDEC6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36</w:t>
            </w:r>
          </w:p>
        </w:tc>
        <w:tc>
          <w:tcPr>
            <w:tcW w:w="1851" w:type="dxa"/>
            <w:tcBorders>
              <w:top w:val="single" w:color="000000" w:sz="4" w:space="0"/>
              <w:left w:val="single" w:color="000000" w:sz="4" w:space="0"/>
              <w:bottom w:val="single" w:color="000000" w:sz="4" w:space="0"/>
              <w:right w:val="single" w:color="000000" w:sz="4" w:space="0"/>
            </w:tcBorders>
            <w:noWrap/>
            <w:vAlign w:val="center"/>
          </w:tcPr>
          <w:p w14:paraId="7229CB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3012</w:t>
            </w:r>
          </w:p>
        </w:tc>
        <w:tc>
          <w:tcPr>
            <w:tcW w:w="1646" w:type="dxa"/>
            <w:tcBorders>
              <w:top w:val="single" w:color="000000" w:sz="4" w:space="0"/>
              <w:left w:val="single" w:color="000000" w:sz="4" w:space="0"/>
              <w:bottom w:val="single" w:color="000000" w:sz="4" w:space="0"/>
              <w:right w:val="single" w:color="000000" w:sz="4" w:space="0"/>
            </w:tcBorders>
            <w:noWrap/>
            <w:vAlign w:val="center"/>
          </w:tcPr>
          <w:p w14:paraId="25A978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1幢</w:t>
            </w:r>
          </w:p>
        </w:tc>
      </w:tr>
      <w:tr w14:paraId="3B31F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1148" w:type="dxa"/>
            <w:tcBorders>
              <w:top w:val="single" w:color="000000" w:sz="4" w:space="0"/>
              <w:left w:val="single" w:color="000000" w:sz="4" w:space="0"/>
              <w:bottom w:val="single" w:color="000000" w:sz="4" w:space="0"/>
              <w:right w:val="single" w:color="000000" w:sz="4" w:space="0"/>
            </w:tcBorders>
            <w:noWrap/>
            <w:vAlign w:val="center"/>
          </w:tcPr>
          <w:p w14:paraId="197B28DD">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w:t>
            </w:r>
          </w:p>
        </w:tc>
        <w:tc>
          <w:tcPr>
            <w:tcW w:w="3972" w:type="dxa"/>
            <w:gridSpan w:val="2"/>
            <w:tcBorders>
              <w:top w:val="single" w:color="000000" w:sz="4" w:space="0"/>
              <w:left w:val="single" w:color="000000" w:sz="4" w:space="0"/>
              <w:bottom w:val="single" w:color="000000" w:sz="4" w:space="0"/>
              <w:right w:val="single" w:color="000000" w:sz="4" w:space="0"/>
            </w:tcBorders>
            <w:noWrap w:val="0"/>
            <w:vAlign w:val="center"/>
          </w:tcPr>
          <w:p w14:paraId="25FCB846">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小计</w:t>
            </w:r>
          </w:p>
        </w:tc>
        <w:tc>
          <w:tcPr>
            <w:tcW w:w="1851" w:type="dxa"/>
            <w:tcBorders>
              <w:top w:val="single" w:color="000000" w:sz="4" w:space="0"/>
              <w:left w:val="single" w:color="000000" w:sz="4" w:space="0"/>
              <w:bottom w:val="single" w:color="000000" w:sz="4" w:space="0"/>
              <w:right w:val="single" w:color="000000" w:sz="4" w:space="0"/>
            </w:tcBorders>
            <w:noWrap/>
            <w:vAlign w:val="center"/>
          </w:tcPr>
          <w:p w14:paraId="27816F8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cs="宋体"/>
                <w:color w:val="auto"/>
                <w:kern w:val="0"/>
                <w:sz w:val="24"/>
                <w:szCs w:val="24"/>
                <w:lang w:val="en-US" w:eastAsia="zh-CN"/>
              </w:rPr>
              <w:t>38606</w:t>
            </w:r>
          </w:p>
        </w:tc>
        <w:tc>
          <w:tcPr>
            <w:tcW w:w="1646" w:type="dxa"/>
            <w:tcBorders>
              <w:top w:val="single" w:color="000000" w:sz="4" w:space="0"/>
              <w:left w:val="single" w:color="000000" w:sz="4" w:space="0"/>
              <w:bottom w:val="single" w:color="000000" w:sz="4" w:space="0"/>
              <w:right w:val="single" w:color="000000" w:sz="4" w:space="0"/>
            </w:tcBorders>
            <w:noWrap/>
            <w:vAlign w:val="center"/>
          </w:tcPr>
          <w:p w14:paraId="2A155D1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p>
        </w:tc>
      </w:tr>
    </w:tbl>
    <w:p w14:paraId="655F78DF">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i w:val="0"/>
          <w:iCs w:val="0"/>
          <w:caps w:val="0"/>
          <w:color w:val="auto"/>
          <w:spacing w:val="0"/>
          <w:kern w:val="0"/>
          <w:sz w:val="24"/>
          <w:szCs w:val="24"/>
          <w:shd w:val="clear" w:color="auto" w:fill="FFFFFF"/>
          <w:lang w:val="en-US" w:eastAsia="zh-CN" w:bidi="ar"/>
        </w:rPr>
      </w:pPr>
    </w:p>
    <w:p w14:paraId="735F1453">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5、高铁站及附属区域</w:t>
      </w:r>
      <w:r>
        <w:rPr>
          <w:rFonts w:hint="eastAsia" w:ascii="宋体" w:hAnsi="宋体" w:eastAsia="宋体" w:cs="宋体"/>
          <w:color w:val="auto"/>
          <w:kern w:val="0"/>
          <w:sz w:val="24"/>
          <w:szCs w:val="24"/>
          <w:lang w:val="en-US" w:eastAsia="zh-CN"/>
        </w:rPr>
        <w:t>清扫保洁</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lang w:val="en-US" w:eastAsia="zh-CN" w:bidi="ar-SA"/>
        </w:rPr>
        <w:t>广场1.1万平方米，停车场5000平方米，道路2公里，路宽12米，人行道、绿化6米</w:t>
      </w:r>
      <w:r>
        <w:rPr>
          <w:rFonts w:hint="eastAsia" w:ascii="宋体" w:hAnsi="宋体" w:eastAsia="宋体" w:cs="宋体"/>
          <w:i w:val="0"/>
          <w:iCs w:val="0"/>
          <w:caps w:val="0"/>
          <w:color w:val="auto"/>
          <w:spacing w:val="0"/>
          <w:kern w:val="0"/>
          <w:sz w:val="24"/>
          <w:szCs w:val="24"/>
          <w:shd w:val="clear" w:color="auto" w:fill="FFFFFF"/>
          <w:lang w:val="en-US" w:eastAsia="zh-CN" w:bidi="ar"/>
        </w:rPr>
        <w:t>。</w:t>
      </w:r>
    </w:p>
    <w:p w14:paraId="6915FA69">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default"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6、冬季铲雪：针对宜君县主次干道、背街小巷以及广场等公共区域，积雪收运作业。</w:t>
      </w:r>
    </w:p>
    <w:p w14:paraId="12F864B4">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7、垃圾清运：城区</w:t>
      </w:r>
      <w:r>
        <w:rPr>
          <w:rFonts w:hint="eastAsia" w:ascii="宋体" w:hAnsi="宋体" w:cs="宋体"/>
          <w:i w:val="0"/>
          <w:iCs w:val="0"/>
          <w:caps w:val="0"/>
          <w:color w:val="auto"/>
          <w:spacing w:val="0"/>
          <w:kern w:val="0"/>
          <w:sz w:val="24"/>
          <w:szCs w:val="24"/>
          <w:shd w:val="clear" w:color="auto" w:fill="FFFFFF"/>
          <w:lang w:val="en-US" w:eastAsia="zh-CN" w:bidi="ar"/>
        </w:rPr>
        <w:t>5</w:t>
      </w:r>
      <w:r>
        <w:rPr>
          <w:rFonts w:hint="eastAsia" w:ascii="宋体" w:hAnsi="宋体" w:eastAsia="宋体" w:cs="宋体"/>
          <w:i w:val="0"/>
          <w:iCs w:val="0"/>
          <w:caps w:val="0"/>
          <w:color w:val="auto"/>
          <w:spacing w:val="0"/>
          <w:kern w:val="0"/>
          <w:sz w:val="24"/>
          <w:szCs w:val="24"/>
          <w:shd w:val="clear" w:color="auto" w:fill="FFFFFF"/>
          <w:lang w:val="en-US" w:eastAsia="zh-CN" w:bidi="ar"/>
        </w:rPr>
        <w:t>0t/天的生活垃圾清运</w:t>
      </w:r>
      <w:r>
        <w:rPr>
          <w:rFonts w:hint="eastAsia" w:ascii="宋体" w:hAnsi="宋体" w:cs="宋体"/>
          <w:i w:val="0"/>
          <w:iCs w:val="0"/>
          <w:caps w:val="0"/>
          <w:color w:val="auto"/>
          <w:spacing w:val="0"/>
          <w:kern w:val="0"/>
          <w:sz w:val="24"/>
          <w:szCs w:val="24"/>
          <w:shd w:val="clear" w:color="auto" w:fill="FFFFFF"/>
          <w:lang w:val="en-US" w:eastAsia="zh-CN" w:bidi="ar"/>
        </w:rPr>
        <w:t>以及招标人指定位置的垃圾清运</w:t>
      </w:r>
      <w:r>
        <w:rPr>
          <w:rFonts w:hint="eastAsia" w:ascii="宋体" w:hAnsi="宋体" w:eastAsia="宋体" w:cs="宋体"/>
          <w:i w:val="0"/>
          <w:iCs w:val="0"/>
          <w:caps w:val="0"/>
          <w:color w:val="auto"/>
          <w:spacing w:val="0"/>
          <w:kern w:val="0"/>
          <w:sz w:val="24"/>
          <w:szCs w:val="24"/>
          <w:shd w:val="clear" w:color="auto" w:fill="FFFFFF"/>
          <w:lang w:val="en-US" w:eastAsia="zh-CN" w:bidi="ar"/>
        </w:rPr>
        <w:t>。</w:t>
      </w:r>
    </w:p>
    <w:p w14:paraId="2A9023C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cs="宋体"/>
          <w:i w:val="0"/>
          <w:iCs w:val="0"/>
          <w:caps w:val="0"/>
          <w:color w:val="auto"/>
          <w:spacing w:val="0"/>
          <w:kern w:val="0"/>
          <w:sz w:val="24"/>
          <w:szCs w:val="24"/>
          <w:shd w:val="clear" w:color="auto" w:fill="FFFFFF"/>
          <w:lang w:val="en-US" w:eastAsia="zh-CN" w:bidi="ar"/>
        </w:rPr>
        <w:t>8</w:t>
      </w:r>
      <w:r>
        <w:rPr>
          <w:rFonts w:hint="eastAsia" w:ascii="宋体" w:hAnsi="宋体" w:eastAsia="宋体" w:cs="宋体"/>
          <w:i w:val="0"/>
          <w:iCs w:val="0"/>
          <w:caps w:val="0"/>
          <w:color w:val="auto"/>
          <w:spacing w:val="0"/>
          <w:kern w:val="0"/>
          <w:sz w:val="24"/>
          <w:szCs w:val="24"/>
          <w:shd w:val="clear" w:color="auto" w:fill="FFFFFF"/>
          <w:lang w:val="en-US" w:eastAsia="zh-CN" w:bidi="ar"/>
        </w:rPr>
        <w:t>、垃圾场运行管理：</w:t>
      </w:r>
      <w:r>
        <w:rPr>
          <w:rFonts w:hint="eastAsia" w:ascii="宋体" w:hAnsi="宋体" w:eastAsia="宋体" w:cs="宋体"/>
          <w:color w:val="auto"/>
          <w:kern w:val="0"/>
          <w:sz w:val="24"/>
          <w:szCs w:val="24"/>
          <w:lang w:val="en-US" w:eastAsia="zh-CN"/>
        </w:rPr>
        <w:t>垃圾场日常运行管理、焚烧发电厂垃圾处置运行管理</w:t>
      </w:r>
      <w:r>
        <w:rPr>
          <w:rFonts w:hint="eastAsia" w:ascii="宋体" w:hAnsi="宋体" w:cs="宋体"/>
          <w:color w:val="auto"/>
          <w:kern w:val="0"/>
          <w:sz w:val="24"/>
          <w:szCs w:val="24"/>
          <w:lang w:val="en-US" w:eastAsia="zh-CN"/>
        </w:rPr>
        <w:t>（包含：垃圾清运、焚烧）</w:t>
      </w:r>
      <w:r>
        <w:rPr>
          <w:rFonts w:hint="eastAsia" w:ascii="宋体" w:hAnsi="宋体" w:eastAsia="宋体" w:cs="宋体"/>
          <w:color w:val="auto"/>
          <w:kern w:val="0"/>
          <w:sz w:val="24"/>
          <w:szCs w:val="24"/>
          <w:lang w:val="en-US" w:eastAsia="zh-CN"/>
        </w:rPr>
        <w:t>。</w:t>
      </w:r>
    </w:p>
    <w:p w14:paraId="4743474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第五条</w:t>
      </w:r>
      <w:r>
        <w:rPr>
          <w:rFonts w:hint="eastAsia" w:ascii="宋体" w:hAnsi="宋体" w:eastAsia="宋体" w:cs="宋体"/>
          <w:b/>
          <w:color w:val="auto"/>
          <w:kern w:val="0"/>
          <w:sz w:val="24"/>
          <w:szCs w:val="24"/>
          <w:highlight w:val="none"/>
        </w:rPr>
        <w:t xml:space="preserve"> </w:t>
      </w:r>
      <w:r>
        <w:rPr>
          <w:rFonts w:hint="eastAsia" w:ascii="宋体" w:hAnsi="宋体" w:eastAsia="宋体" w:cs="宋体"/>
          <w:b/>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承包费用的结算依据和付款办法：</w:t>
      </w:r>
    </w:p>
    <w:p w14:paraId="2FB4E845">
      <w:pPr>
        <w:keepNext w:val="0"/>
        <w:keepLines w:val="0"/>
        <w:pageBreakBefore w:val="0"/>
        <w:kinsoku/>
        <w:wordWrap/>
        <w:overflowPunct/>
        <w:topLinePunct w:val="0"/>
        <w:autoSpaceDE w:val="0"/>
        <w:autoSpaceDN w:val="0"/>
        <w:bidi w:val="0"/>
        <w:adjustRightInd w:val="0"/>
        <w:snapToGrid/>
        <w:spacing w:line="360" w:lineRule="auto"/>
        <w:ind w:left="1199" w:leftChars="228" w:hanging="720" w:hangingChars="300"/>
        <w:jc w:val="both"/>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1、费用总额：依照《</w:t>
      </w:r>
      <w:r>
        <w:rPr>
          <w:rFonts w:hint="eastAsia" w:ascii="宋体" w:hAnsi="宋体" w:eastAsia="宋体" w:cs="宋体"/>
          <w:color w:val="auto"/>
          <w:kern w:val="0"/>
          <w:sz w:val="24"/>
          <w:szCs w:val="24"/>
          <w:highlight w:val="none"/>
          <w:lang w:eastAsia="zh-CN"/>
        </w:rPr>
        <w:t>宜君县县城环卫作业外包服务项目》（项目编号：</w:t>
      </w:r>
      <w:r>
        <w:rPr>
          <w:rFonts w:hint="eastAsia" w:ascii="宋体" w:hAnsi="宋体" w:eastAsia="宋体" w:cs="宋体"/>
          <w:color w:val="auto"/>
          <w:kern w:val="0"/>
          <w:sz w:val="24"/>
          <w:szCs w:val="24"/>
          <w:highlight w:val="none"/>
          <w:u w:val="single"/>
          <w:lang w:val="en-US" w:eastAsia="zh-CN"/>
        </w:rPr>
        <w:t xml:space="preserve">         </w:t>
      </w:r>
    </w:p>
    <w:p w14:paraId="0FDA344A">
      <w:pPr>
        <w:keepNext w:val="0"/>
        <w:keepLines w:val="0"/>
        <w:pageBreakBefore w:val="0"/>
        <w:kinsoku/>
        <w:wordWrap/>
        <w:overflowPunct/>
        <w:topLinePunct w:val="0"/>
        <w:autoSpaceDE w:val="0"/>
        <w:autoSpaceDN w:val="0"/>
        <w:bidi w:val="0"/>
        <w:adjustRightInd w:val="0"/>
        <w:snapToGrid/>
        <w:spacing w:line="360" w:lineRule="auto"/>
        <w:ind w:left="1199" w:leftChars="228" w:hanging="720" w:hangingChars="300"/>
        <w:jc w:val="both"/>
        <w:textAlignment w:val="auto"/>
        <w:rPr>
          <w:rFonts w:hint="eastAsia" w:ascii="宋体" w:hAnsi="宋体" w:eastAsia="宋体" w:cs="宋体"/>
          <w:b/>
          <w:bCs/>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eastAsia="zh-CN"/>
        </w:rPr>
        <w:t>约定）</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lang w:eastAsia="zh-CN"/>
        </w:rPr>
        <w:t>金额，合同金额为：</w:t>
      </w:r>
      <w:r>
        <w:rPr>
          <w:rFonts w:hint="eastAsia" w:ascii="宋体" w:hAnsi="宋体" w:eastAsia="宋体" w:cs="宋体"/>
          <w:b/>
          <w:bCs/>
          <w:color w:val="auto"/>
          <w:kern w:val="0"/>
          <w:sz w:val="24"/>
          <w:szCs w:val="24"/>
          <w:highlight w:val="none"/>
          <w:u w:val="single"/>
          <w:lang w:val="en-US" w:eastAsia="zh-CN"/>
        </w:rPr>
        <w:t xml:space="preserve">         </w:t>
      </w:r>
      <w:r>
        <w:rPr>
          <w:rFonts w:hint="eastAsia" w:ascii="宋体" w:hAnsi="宋体" w:eastAsia="宋体" w:cs="宋体"/>
          <w:b/>
          <w:bCs/>
          <w:color w:val="auto"/>
          <w:kern w:val="0"/>
          <w:sz w:val="24"/>
          <w:szCs w:val="24"/>
          <w:highlight w:val="none"/>
          <w:u w:val="single"/>
          <w:lang w:eastAsia="zh-CN"/>
        </w:rPr>
        <w:t>元</w:t>
      </w:r>
      <w:r>
        <w:rPr>
          <w:rFonts w:hint="eastAsia" w:ascii="宋体" w:hAnsi="宋体" w:eastAsia="宋体" w:cs="宋体"/>
          <w:b/>
          <w:bCs/>
          <w:color w:val="auto"/>
          <w:kern w:val="0"/>
          <w:sz w:val="24"/>
          <w:szCs w:val="24"/>
          <w:highlight w:val="none"/>
          <w:u w:val="single"/>
          <w:lang w:val="en-US" w:eastAsia="zh-CN"/>
        </w:rPr>
        <w:t>(大写：              )，</w:t>
      </w:r>
    </w:p>
    <w:p w14:paraId="329D131F">
      <w:pPr>
        <w:keepNext w:val="0"/>
        <w:keepLines w:val="0"/>
        <w:pageBreakBefore w:val="0"/>
        <w:kinsoku/>
        <w:wordWrap/>
        <w:overflowPunct/>
        <w:topLinePunct w:val="0"/>
        <w:autoSpaceDE w:val="0"/>
        <w:autoSpaceDN w:val="0"/>
        <w:bidi w:val="0"/>
        <w:adjustRightInd w:val="0"/>
        <w:snapToGrid/>
        <w:spacing w:line="360" w:lineRule="auto"/>
        <w:ind w:left="1202" w:leftChars="228" w:hanging="723" w:hangingChars="300"/>
        <w:jc w:val="both"/>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b/>
          <w:bCs/>
          <w:color w:val="auto"/>
          <w:kern w:val="0"/>
          <w:sz w:val="24"/>
          <w:szCs w:val="24"/>
          <w:highlight w:val="none"/>
          <w:u w:val="single"/>
          <w:lang w:val="en-US" w:eastAsia="zh-CN"/>
        </w:rPr>
        <w:t>即：      元/年，服务期限：三年。</w:t>
      </w:r>
    </w:p>
    <w:p w14:paraId="1616CF5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2、结算依据：质量标准及工作程序、考核打分、评分结果作为当月付款结算的依据。基本要求：</w:t>
      </w:r>
    </w:p>
    <w:p w14:paraId="385B399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（1）乙方必须保证保洁人员工资</w:t>
      </w:r>
      <w:r>
        <w:rPr>
          <w:rFonts w:hint="eastAsia" w:ascii="宋体" w:hAnsi="宋体" w:eastAsia="宋体" w:cs="宋体"/>
          <w:color w:val="auto"/>
          <w:kern w:val="0"/>
          <w:sz w:val="24"/>
          <w:szCs w:val="24"/>
          <w:highlight w:val="none"/>
          <w:lang w:eastAsia="zh-CN"/>
        </w:rPr>
        <w:t>、各种福利</w:t>
      </w:r>
      <w:r>
        <w:rPr>
          <w:rFonts w:hint="eastAsia" w:ascii="宋体" w:hAnsi="宋体" w:eastAsia="宋体" w:cs="宋体"/>
          <w:color w:val="auto"/>
          <w:kern w:val="0"/>
          <w:sz w:val="24"/>
          <w:szCs w:val="24"/>
          <w:highlight w:val="none"/>
        </w:rPr>
        <w:t>待遇不得低于</w:t>
      </w:r>
      <w:r>
        <w:rPr>
          <w:rFonts w:hint="eastAsia" w:ascii="宋体" w:hAnsi="宋体" w:eastAsia="宋体" w:cs="宋体"/>
          <w:color w:val="auto"/>
          <w:kern w:val="0"/>
          <w:sz w:val="24"/>
          <w:szCs w:val="24"/>
          <w:highlight w:val="none"/>
          <w:lang w:eastAsia="zh-CN"/>
        </w:rPr>
        <w:t>宜君县</w:t>
      </w:r>
      <w:r>
        <w:rPr>
          <w:rFonts w:hint="eastAsia" w:ascii="宋体" w:hAnsi="宋体" w:eastAsia="宋体" w:cs="宋体"/>
          <w:color w:val="auto"/>
          <w:kern w:val="0"/>
          <w:sz w:val="24"/>
          <w:szCs w:val="24"/>
          <w:highlight w:val="none"/>
        </w:rPr>
        <w:t>相关</w:t>
      </w:r>
      <w:r>
        <w:rPr>
          <w:rFonts w:hint="eastAsia" w:ascii="宋体" w:hAnsi="宋体" w:eastAsia="宋体" w:cs="宋体"/>
          <w:color w:val="auto"/>
          <w:kern w:val="0"/>
          <w:sz w:val="24"/>
          <w:szCs w:val="24"/>
          <w:highlight w:val="none"/>
          <w:lang w:eastAsia="zh-CN"/>
        </w:rPr>
        <w:t>标准或</w:t>
      </w:r>
      <w:r>
        <w:rPr>
          <w:rFonts w:hint="eastAsia" w:ascii="宋体" w:hAnsi="宋体" w:eastAsia="宋体" w:cs="宋体"/>
          <w:color w:val="auto"/>
          <w:kern w:val="0"/>
          <w:sz w:val="24"/>
          <w:szCs w:val="24"/>
          <w:highlight w:val="none"/>
        </w:rPr>
        <w:t>规定。乙方原则上应保持原有环卫队伍的稳定。</w:t>
      </w:r>
    </w:p>
    <w:p w14:paraId="6675691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（2）乙方应有充足的资金保障。</w:t>
      </w:r>
    </w:p>
    <w:p w14:paraId="2D94ED5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（3）乙方需在</w:t>
      </w:r>
      <w:r>
        <w:rPr>
          <w:rFonts w:hint="eastAsia" w:ascii="宋体" w:hAnsi="宋体" w:eastAsia="宋体" w:cs="宋体"/>
          <w:color w:val="auto"/>
          <w:kern w:val="0"/>
          <w:sz w:val="24"/>
          <w:szCs w:val="24"/>
          <w:lang w:eastAsia="zh-CN"/>
        </w:rPr>
        <w:t>宜君县</w:t>
      </w:r>
      <w:r>
        <w:rPr>
          <w:rFonts w:hint="eastAsia" w:ascii="宋体" w:hAnsi="宋体" w:eastAsia="宋体" w:cs="宋体"/>
          <w:color w:val="auto"/>
          <w:kern w:val="0"/>
          <w:sz w:val="24"/>
          <w:szCs w:val="24"/>
        </w:rPr>
        <w:t>内成立分公司或办事处作为当地服务保洁机构。</w:t>
      </w:r>
    </w:p>
    <w:p w14:paraId="5886A07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（4）乙方配备保洁人员</w:t>
      </w:r>
      <w:r>
        <w:rPr>
          <w:rFonts w:hint="eastAsia" w:ascii="宋体" w:hAnsi="宋体" w:eastAsia="宋体" w:cs="宋体"/>
          <w:color w:val="auto"/>
          <w:kern w:val="0"/>
          <w:sz w:val="24"/>
          <w:szCs w:val="24"/>
          <w:lang w:eastAsia="zh-CN"/>
        </w:rPr>
        <w:t>满足采购人需求</w:t>
      </w:r>
      <w:r>
        <w:rPr>
          <w:rFonts w:hint="eastAsia" w:ascii="宋体" w:hAnsi="宋体" w:eastAsia="宋体" w:cs="宋体"/>
          <w:color w:val="auto"/>
          <w:kern w:val="0"/>
          <w:sz w:val="24"/>
          <w:szCs w:val="24"/>
        </w:rPr>
        <w:t>，并合理安排人员休假。</w:t>
      </w:r>
    </w:p>
    <w:p w14:paraId="3069B92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3、结算方式：合同款按月支付</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当月承包费用考核完毕后，次月办理支付手续。</w:t>
      </w:r>
    </w:p>
    <w:p w14:paraId="6589FB7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kern w:val="0"/>
          <w:sz w:val="24"/>
          <w:szCs w:val="24"/>
          <w:lang w:eastAsia="zh-CN"/>
        </w:rPr>
        <w:t>乙方</w:t>
      </w:r>
      <w:r>
        <w:rPr>
          <w:rFonts w:hint="eastAsia" w:ascii="宋体" w:hAnsi="宋体" w:eastAsia="宋体" w:cs="宋体"/>
          <w:color w:val="auto"/>
          <w:kern w:val="0"/>
          <w:sz w:val="24"/>
          <w:szCs w:val="24"/>
        </w:rPr>
        <w:t>对“</w:t>
      </w:r>
      <w:r>
        <w:rPr>
          <w:rFonts w:hint="eastAsia" w:ascii="宋体" w:hAnsi="宋体" w:eastAsia="宋体" w:cs="宋体"/>
          <w:color w:val="auto"/>
          <w:kern w:val="0"/>
          <w:sz w:val="24"/>
          <w:szCs w:val="24"/>
          <w:lang w:eastAsia="zh-CN"/>
        </w:rPr>
        <w:t>宜君县县城环卫作业外包服务项目服务费用结算单</w:t>
      </w:r>
      <w:r>
        <w:rPr>
          <w:rFonts w:hint="eastAsia" w:ascii="宋体" w:hAnsi="宋体" w:eastAsia="宋体" w:cs="宋体"/>
          <w:color w:val="auto"/>
          <w:kern w:val="0"/>
          <w:sz w:val="24"/>
          <w:szCs w:val="24"/>
        </w:rPr>
        <w:t>”领取确认后，根据清单金额</w:t>
      </w:r>
      <w:r>
        <w:rPr>
          <w:rFonts w:hint="eastAsia" w:ascii="宋体" w:hAnsi="宋体" w:eastAsia="宋体" w:cs="宋体"/>
          <w:b w:val="0"/>
          <w:bCs w:val="0"/>
          <w:color w:val="auto"/>
          <w:kern w:val="0"/>
          <w:sz w:val="24"/>
          <w:szCs w:val="24"/>
        </w:rPr>
        <w:t>开具合</w:t>
      </w:r>
      <w:r>
        <w:rPr>
          <w:rFonts w:hint="eastAsia" w:ascii="宋体" w:hAnsi="宋体" w:eastAsia="宋体" w:cs="宋体"/>
          <w:color w:val="auto"/>
          <w:kern w:val="0"/>
          <w:sz w:val="24"/>
          <w:szCs w:val="24"/>
        </w:rPr>
        <w:t>法的正式发票交</w:t>
      </w:r>
      <w:r>
        <w:rPr>
          <w:rFonts w:hint="eastAsia" w:ascii="宋体" w:hAnsi="宋体" w:eastAsia="宋体" w:cs="宋体"/>
          <w:color w:val="auto"/>
          <w:kern w:val="0"/>
          <w:sz w:val="24"/>
          <w:szCs w:val="24"/>
          <w:lang w:eastAsia="zh-CN"/>
        </w:rPr>
        <w:t>甲方</w:t>
      </w:r>
      <w:r>
        <w:rPr>
          <w:rFonts w:hint="eastAsia" w:ascii="宋体" w:hAnsi="宋体" w:eastAsia="宋体" w:cs="宋体"/>
          <w:color w:val="auto"/>
          <w:kern w:val="0"/>
          <w:sz w:val="24"/>
          <w:szCs w:val="24"/>
        </w:rPr>
        <w:t>办理结算手续。</w:t>
      </w:r>
    </w:p>
    <w:p w14:paraId="24E8157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b/>
          <w:bCs/>
          <w:color w:val="auto"/>
          <w:kern w:val="0"/>
          <w:sz w:val="24"/>
          <w:szCs w:val="24"/>
        </w:rPr>
      </w:pP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合同可调价格包括：</w:t>
      </w:r>
      <w:r>
        <w:rPr>
          <w:rFonts w:hint="eastAsia" w:ascii="宋体" w:hAnsi="宋体" w:eastAsia="宋体" w:cs="宋体"/>
          <w:b/>
          <w:bCs/>
          <w:color w:val="auto"/>
          <w:kern w:val="0"/>
          <w:sz w:val="24"/>
          <w:szCs w:val="24"/>
        </w:rPr>
        <w:t>保洁人员的工资，严格按照省、市政府部门的相关政策或规定调整（不包括乙方公司和项目管理人员）。可调价格以外费用在服务期内不变。</w:t>
      </w:r>
    </w:p>
    <w:p w14:paraId="234CC523">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第三章  质量管理和监督措施</w:t>
      </w:r>
    </w:p>
    <w:p w14:paraId="058F1EA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第一条</w:t>
      </w:r>
      <w:r>
        <w:rPr>
          <w:rFonts w:hint="eastAsia" w:ascii="宋体" w:hAnsi="宋体" w:eastAsia="宋体" w:cs="宋体"/>
          <w:b/>
          <w:color w:val="auto"/>
          <w:kern w:val="0"/>
          <w:sz w:val="24"/>
          <w:szCs w:val="24"/>
        </w:rPr>
        <w:t xml:space="preserve">  </w:t>
      </w:r>
      <w:r>
        <w:rPr>
          <w:rFonts w:hint="eastAsia" w:ascii="宋体" w:hAnsi="宋体" w:eastAsia="宋体" w:cs="宋体"/>
          <w:color w:val="auto"/>
          <w:kern w:val="0"/>
          <w:sz w:val="24"/>
          <w:szCs w:val="24"/>
        </w:rPr>
        <w:t>质量管理</w:t>
      </w:r>
    </w:p>
    <w:p w14:paraId="0F32278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1.乙方须接受招标单位的各类检查考核，甲方有权根据有关规定对质量考核标准及奖惩办法作相应的修改。</w:t>
      </w:r>
    </w:p>
    <w:p w14:paraId="1D42DBC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2.乙方须按甲方要求足额配备保洁人员，须达到严格按照</w:t>
      </w:r>
      <w:r>
        <w:rPr>
          <w:rFonts w:hint="eastAsia" w:ascii="宋体" w:hAnsi="宋体" w:eastAsia="宋体" w:cs="宋体"/>
          <w:color w:val="auto"/>
          <w:kern w:val="0"/>
          <w:sz w:val="24"/>
          <w:szCs w:val="24"/>
          <w:lang w:val="en-US" w:eastAsia="zh-CN"/>
        </w:rPr>
        <w:t>最新作业标准和《城市道路清扫保洁技术规范》及《公共厕所管理与服务规范》等相关作业标准</w:t>
      </w:r>
      <w:r>
        <w:rPr>
          <w:rFonts w:hint="eastAsia" w:ascii="宋体" w:hAnsi="宋体" w:eastAsia="宋体" w:cs="宋体"/>
          <w:color w:val="auto"/>
          <w:kern w:val="0"/>
          <w:sz w:val="24"/>
          <w:szCs w:val="24"/>
        </w:rPr>
        <w:t>。</w:t>
      </w:r>
    </w:p>
    <w:p w14:paraId="74D1E28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b/>
          <w:color w:val="auto"/>
          <w:kern w:val="0"/>
          <w:sz w:val="24"/>
          <w:szCs w:val="24"/>
        </w:rPr>
      </w:pPr>
      <w:r>
        <w:rPr>
          <w:rFonts w:hint="eastAsia" w:ascii="宋体" w:hAnsi="宋体" w:eastAsia="宋体" w:cs="宋体"/>
          <w:color w:val="auto"/>
          <w:kern w:val="0"/>
          <w:sz w:val="24"/>
          <w:szCs w:val="24"/>
        </w:rPr>
        <w:t>第二条</w:t>
      </w:r>
      <w:r>
        <w:rPr>
          <w:rFonts w:hint="eastAsia" w:ascii="宋体" w:hAnsi="宋体" w:eastAsia="宋体" w:cs="宋体"/>
          <w:b/>
          <w:color w:val="auto"/>
          <w:kern w:val="0"/>
          <w:sz w:val="24"/>
          <w:szCs w:val="24"/>
        </w:rPr>
        <w:t xml:space="preserve">  </w:t>
      </w:r>
      <w:r>
        <w:rPr>
          <w:rFonts w:hint="eastAsia" w:ascii="宋体" w:hAnsi="宋体" w:eastAsia="宋体" w:cs="宋体"/>
          <w:color w:val="auto"/>
          <w:kern w:val="0"/>
          <w:sz w:val="24"/>
          <w:szCs w:val="24"/>
        </w:rPr>
        <w:t>监督措施</w:t>
      </w:r>
    </w:p>
    <w:p w14:paraId="6E8B9BC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1.甲方按照《</w:t>
      </w:r>
      <w:r>
        <w:rPr>
          <w:rFonts w:hint="eastAsia" w:ascii="宋体" w:hAnsi="宋体" w:eastAsia="宋体" w:cs="宋体"/>
          <w:color w:val="auto"/>
          <w:kern w:val="0"/>
          <w:sz w:val="24"/>
          <w:szCs w:val="24"/>
          <w:lang w:eastAsia="zh-CN"/>
        </w:rPr>
        <w:t>宜君县县城环卫作业外包服务项目</w:t>
      </w:r>
      <w:r>
        <w:rPr>
          <w:rFonts w:hint="eastAsia" w:ascii="宋体" w:hAnsi="宋体" w:eastAsia="宋体" w:cs="宋体"/>
          <w:color w:val="auto"/>
          <w:kern w:val="0"/>
          <w:sz w:val="24"/>
          <w:szCs w:val="24"/>
          <w:lang w:val="en-US" w:eastAsia="zh-CN"/>
        </w:rPr>
        <w:t>考核办法</w:t>
      </w:r>
      <w:r>
        <w:rPr>
          <w:rFonts w:hint="eastAsia" w:ascii="宋体" w:hAnsi="宋体" w:eastAsia="宋体" w:cs="宋体"/>
          <w:color w:val="auto"/>
          <w:kern w:val="0"/>
          <w:sz w:val="24"/>
          <w:szCs w:val="24"/>
        </w:rPr>
        <w:t>》（以下简称“考核办法”）相关要求和考核办法对乙方清扫质量建立日常检查与月度考核相结合的百分制考核机制，由县市容环卫所对承包人实行不定期检查和每月（每月25日至30日之间）月考核</w:t>
      </w:r>
      <w:r>
        <w:rPr>
          <w:rFonts w:hint="eastAsia" w:ascii="宋体" w:hAnsi="宋体" w:eastAsia="宋体" w:cs="宋体"/>
          <w:color w:val="auto"/>
          <w:kern w:val="0"/>
          <w:sz w:val="24"/>
          <w:szCs w:val="24"/>
          <w:lang w:eastAsia="zh-CN"/>
        </w:rPr>
        <w:t>（采取暗访形式）</w:t>
      </w:r>
      <w:r>
        <w:rPr>
          <w:rFonts w:hint="eastAsia" w:ascii="宋体" w:hAnsi="宋体" w:eastAsia="宋体" w:cs="宋体"/>
          <w:color w:val="auto"/>
          <w:kern w:val="0"/>
          <w:sz w:val="24"/>
          <w:szCs w:val="24"/>
        </w:rPr>
        <w:t>。实行月考核100分和日常检查100分，每月考核占质量考核总分的30%，日常检查占质量考核总分的70%。</w:t>
      </w:r>
    </w:p>
    <w:p w14:paraId="39B554A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月质量考核总分得分90分以上（不含90分），视为考核优秀、不扣服务费用。得分在90分-70分（不含70分），视为合格，每降低1分扣当月服务费4000元。得分在70分（含70分）以下，视为基本合格，扣当月服务费30%，连续两个月或全年3个月得分在70分以下，采购方有权终止协议。</w:t>
      </w:r>
    </w:p>
    <w:p w14:paraId="70D4AAEB">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 xml:space="preserve">有下列情形（一次性否决事项）之一，视为当月考核不合格。 </w:t>
      </w:r>
    </w:p>
    <w:p w14:paraId="4F0D320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 xml:space="preserve">公司员工无理聚众闹事、上访的，造成恶劣影响的。 </w:t>
      </w:r>
    </w:p>
    <w:p w14:paraId="2FE7602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 xml:space="preserve">不服从环卫部门统一安排和调度的，造成重大失误的。 </w:t>
      </w:r>
    </w:p>
    <w:p w14:paraId="1BE2BBF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 xml:space="preserve">当月内因管理不善导致重大事故的。 </w:t>
      </w:r>
    </w:p>
    <w:p w14:paraId="719D1FE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eastAsia="宋体"/>
          <w:color w:val="auto"/>
          <w:lang w:val="en-US" w:eastAsia="zh-CN"/>
        </w:rPr>
      </w:pP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环卫部门通报质量问题的具体情况，半小时内公司无人到场处理，事后狡辩的。</w:t>
      </w:r>
    </w:p>
    <w:p w14:paraId="70FF3313">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第四章  甲方的权利与义务</w:t>
      </w:r>
    </w:p>
    <w:p w14:paraId="4814AD2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第一条</w:t>
      </w:r>
      <w:r>
        <w:rPr>
          <w:rFonts w:hint="eastAsia" w:ascii="宋体" w:hAnsi="宋体" w:eastAsia="宋体" w:cs="宋体"/>
          <w:b/>
          <w:color w:val="auto"/>
          <w:kern w:val="0"/>
          <w:sz w:val="24"/>
          <w:szCs w:val="24"/>
        </w:rPr>
        <w:t xml:space="preserve">  </w:t>
      </w:r>
      <w:r>
        <w:rPr>
          <w:rFonts w:hint="eastAsia" w:ascii="宋体" w:hAnsi="宋体" w:eastAsia="宋体" w:cs="宋体"/>
          <w:color w:val="auto"/>
          <w:kern w:val="0"/>
          <w:sz w:val="24"/>
          <w:szCs w:val="24"/>
        </w:rPr>
        <w:t>甲方的权利如下：</w:t>
      </w:r>
    </w:p>
    <w:p w14:paraId="0C53390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1、甲方有权对道路保洁质量情况进行检查和监督，检查标准</w:t>
      </w:r>
      <w:r>
        <w:rPr>
          <w:rFonts w:hint="eastAsia" w:ascii="宋体" w:hAnsi="宋体" w:eastAsia="宋体" w:cs="宋体"/>
          <w:color w:val="auto"/>
          <w:kern w:val="0"/>
          <w:sz w:val="24"/>
          <w:szCs w:val="24"/>
          <w:lang w:eastAsia="zh-CN"/>
        </w:rPr>
        <w:t>按照宜君县城市道路环卫作业相关标准进行。</w:t>
      </w:r>
    </w:p>
    <w:p w14:paraId="5D94872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甲方不预付承包费，乙方承包道路保洁劳务期间所产生的保洁费用由乙方承担。乙方须有垫付三个月保洁费用的能力。甲方对中标单位的工作质量进行监督检查，并按照相关质量标准和考核办法对乙方进行考核。</w:t>
      </w:r>
    </w:p>
    <w:p w14:paraId="5132684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3、甲方对支付乙方承包费用涉及项目的发放和工服、反光背心、工器具配备进行监督检查，未按规定要求执行的甲方有权根据情节轻重给予相应批评教育、扣除一定月承包费用。</w:t>
      </w:r>
    </w:p>
    <w:p w14:paraId="31DBE35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乙方的管理人员应具备专业能力，需要更换时应事先书面向甲方备案。乙方保洁人员没有按规定到岗，或者虽然到岗但根据考核结果乙方工作未达到本合同规定的保洁标准的，甲方有权根据考核结果按照具体情形每次扣除当月保洁费用的1%-3%，造成严重后果的每次扣除当月保洁费用的3%-6%。</w:t>
      </w:r>
    </w:p>
    <w:p w14:paraId="6C1491C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甲方对保洁工作指出的不足问题，乙方应及时落实整改。在1小时内未妥善解决的，或不服从管理造成工作失误的，甲方有权书面通知乙方进行处罚，根据考核结果按照具体情形每次扣除当月保洁费用的1%-3%，造成严重后果的每次扣除当月保洁费用的3%-6%。</w:t>
      </w:r>
    </w:p>
    <w:p w14:paraId="6FC61E3B">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6、甲方有权对乙方保洁人员的工资、福利待遇</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保洁员休假等情况进行监督检查，以保障保洁人员的合法权益。乙方没有按照国家有关标准按时足额支付工资、福利待遇，或未安排人员休假</w:t>
      </w:r>
      <w:r>
        <w:rPr>
          <w:rFonts w:hint="eastAsia" w:ascii="宋体" w:hAnsi="宋体" w:eastAsia="宋体" w:cs="宋体"/>
          <w:color w:val="auto"/>
          <w:kern w:val="0"/>
          <w:sz w:val="24"/>
          <w:szCs w:val="24"/>
          <w:lang w:eastAsia="zh-CN"/>
        </w:rPr>
        <w:t>等</w:t>
      </w:r>
      <w:r>
        <w:rPr>
          <w:rFonts w:hint="eastAsia" w:ascii="宋体" w:hAnsi="宋体" w:eastAsia="宋体" w:cs="宋体"/>
          <w:color w:val="auto"/>
          <w:kern w:val="0"/>
          <w:sz w:val="24"/>
          <w:szCs w:val="24"/>
        </w:rPr>
        <w:t>，由此引发的乙方与保洁人员之间的劳动争议或工伤纠纷，或者保洁人员与第三人之间的人身侵权纠纷，甲方不承担任何责任。上述情形发生时甲方有权书面通知乙方五日内改正，逾期仍不改正或者累计有三次以上该情形的，甲方有权解除本合同</w:t>
      </w:r>
      <w:r>
        <w:rPr>
          <w:rFonts w:hint="eastAsia" w:ascii="宋体" w:hAnsi="宋体" w:eastAsia="宋体" w:cs="宋体"/>
          <w:color w:val="auto"/>
          <w:kern w:val="0"/>
          <w:sz w:val="24"/>
          <w:szCs w:val="24"/>
          <w:lang w:eastAsia="zh-CN"/>
        </w:rPr>
        <w:t>。</w:t>
      </w:r>
    </w:p>
    <w:p w14:paraId="4F78F5C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7</w:t>
      </w:r>
      <w:r>
        <w:rPr>
          <w:rFonts w:hint="eastAsia" w:ascii="宋体" w:hAnsi="宋体" w:eastAsia="宋体" w:cs="宋体"/>
          <w:color w:val="auto"/>
          <w:kern w:val="0"/>
          <w:sz w:val="24"/>
          <w:szCs w:val="24"/>
        </w:rPr>
        <w:t>、如遇重大接待、卫生检查及应急预案的紧急启动，甲方有权调用车辆，并监督乙方对甲方资产的使用情况。</w:t>
      </w:r>
    </w:p>
    <w:p w14:paraId="7EE9715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8</w:t>
      </w:r>
      <w:r>
        <w:rPr>
          <w:rFonts w:hint="eastAsia" w:ascii="宋体" w:hAnsi="宋体" w:eastAsia="宋体" w:cs="宋体"/>
          <w:color w:val="auto"/>
          <w:kern w:val="0"/>
          <w:sz w:val="24"/>
          <w:szCs w:val="24"/>
        </w:rPr>
        <w:t>、甲方为提高市容环境整体形象，有权要求乙方以统一标准自行采购保洁工人及其他人员工作服装（含：春秋两套、夏季两套、冬季防寒服（棉大衣）一套、雨衣一套、反光背心、红袖章），根据承包单位核定人数制作，由承包方承担费用，在签订承包合同前配置完毕，甲方采取不定期方式进行监督考核。</w:t>
      </w:r>
    </w:p>
    <w:p w14:paraId="5ED57CE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10、</w:t>
      </w:r>
      <w:r>
        <w:rPr>
          <w:rFonts w:hint="eastAsia" w:ascii="宋体" w:hAnsi="宋体" w:eastAsia="宋体" w:cs="宋体"/>
          <w:color w:val="auto"/>
          <w:kern w:val="0"/>
          <w:sz w:val="24"/>
          <w:szCs w:val="24"/>
          <w:lang w:eastAsia="zh-CN"/>
        </w:rPr>
        <w:t>甲方有权</w:t>
      </w:r>
      <w:r>
        <w:rPr>
          <w:rFonts w:hint="eastAsia" w:ascii="宋体" w:hAnsi="宋体" w:eastAsia="宋体" w:cs="宋体"/>
          <w:color w:val="auto"/>
          <w:kern w:val="0"/>
          <w:sz w:val="24"/>
          <w:szCs w:val="24"/>
        </w:rPr>
        <w:t>指导核实乙方的保洁管理工作，每日监督检查保洁质量,对存在问题列入限时督办整改。</w:t>
      </w:r>
    </w:p>
    <w:p w14:paraId="5FC24AB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11、核定因市政施工、交通事故及不可抗力造成的环卫设备设施</w:t>
      </w:r>
      <w:r>
        <w:rPr>
          <w:rFonts w:hint="eastAsia" w:ascii="宋体" w:hAnsi="宋体" w:eastAsia="宋体" w:cs="宋体"/>
          <w:color w:val="auto"/>
          <w:kern w:val="0"/>
          <w:sz w:val="24"/>
          <w:szCs w:val="24"/>
          <w:lang w:eastAsia="zh-CN"/>
        </w:rPr>
        <w:t>损失</w:t>
      </w:r>
      <w:r>
        <w:rPr>
          <w:rFonts w:hint="eastAsia" w:ascii="宋体" w:hAnsi="宋体" w:eastAsia="宋体" w:cs="宋体"/>
          <w:color w:val="auto"/>
          <w:kern w:val="0"/>
          <w:sz w:val="24"/>
          <w:szCs w:val="24"/>
        </w:rPr>
        <w:t>。</w:t>
      </w:r>
    </w:p>
    <w:p w14:paraId="3B0823E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12、乙方连续三次以上对督办整改问题不予执行或执行不力，且警告无效者，甲方有权终止本合同。</w:t>
      </w:r>
    </w:p>
    <w:p w14:paraId="5E4E4FE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13、甲方有权对本合同涉及附件根据实际情况进行调整修改。</w:t>
      </w:r>
    </w:p>
    <w:p w14:paraId="2FB907B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第二条</w:t>
      </w:r>
      <w:r>
        <w:rPr>
          <w:rFonts w:hint="eastAsia" w:ascii="宋体" w:hAnsi="宋体" w:eastAsia="宋体" w:cs="宋体"/>
          <w:b/>
          <w:color w:val="auto"/>
          <w:kern w:val="0"/>
          <w:sz w:val="24"/>
          <w:szCs w:val="24"/>
        </w:rPr>
        <w:t xml:space="preserve">  </w:t>
      </w:r>
      <w:r>
        <w:rPr>
          <w:rFonts w:hint="eastAsia" w:ascii="宋体" w:hAnsi="宋体" w:eastAsia="宋体" w:cs="宋体"/>
          <w:color w:val="auto"/>
          <w:kern w:val="0"/>
          <w:sz w:val="24"/>
          <w:szCs w:val="24"/>
        </w:rPr>
        <w:t>甲方的义务如下：</w:t>
      </w:r>
    </w:p>
    <w:p w14:paraId="1A7F82A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1、甲方应按约定支付乙方承包费用，出具并通知乙方领取“清扫保洁费用结算单”，在收到乙方送达合法票据后办理上月保洁费用支付手续。</w:t>
      </w:r>
    </w:p>
    <w:p w14:paraId="68C508E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rPr>
        <w:t>每月将道路保洁费用转入乙方提供准确无误的银行账户。</w:t>
      </w:r>
    </w:p>
    <w:p w14:paraId="4809E1D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3、甲方将清理垃圾、野广告、城乡结合部生活垃圾相关费用含在月结承包费用内，另不做单独支付，乙方在日常巡检中发现上述问题须自行及时处理。</w:t>
      </w:r>
    </w:p>
    <w:p w14:paraId="6D096FEB">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第五章  乙方的权利与义务</w:t>
      </w:r>
    </w:p>
    <w:p w14:paraId="6A4C890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第一条  乙方在承包期间享有如下权利：</w:t>
      </w:r>
    </w:p>
    <w:p w14:paraId="2A5BBF4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1、乙方在签订承包合同前须自行购买</w:t>
      </w:r>
      <w:r>
        <w:rPr>
          <w:rFonts w:hint="eastAsia" w:ascii="宋体" w:hAnsi="宋体" w:eastAsia="宋体" w:cs="宋体"/>
          <w:color w:val="auto"/>
          <w:kern w:val="0"/>
          <w:sz w:val="24"/>
          <w:szCs w:val="24"/>
          <w:lang w:val="en-US" w:eastAsia="zh-CN"/>
        </w:rPr>
        <w:t>或租赁</w:t>
      </w:r>
      <w:r>
        <w:rPr>
          <w:rFonts w:hint="eastAsia" w:ascii="宋体" w:hAnsi="宋体" w:eastAsia="宋体" w:cs="宋体"/>
          <w:color w:val="auto"/>
          <w:kern w:val="0"/>
          <w:sz w:val="24"/>
          <w:szCs w:val="24"/>
        </w:rPr>
        <w:t>足够数量的新型高效机械作业设备。以上资产的所有权为乙方所有，产生的更换、维修、人员费用</w:t>
      </w:r>
      <w:r>
        <w:rPr>
          <w:rFonts w:hint="eastAsia" w:ascii="宋体" w:hAnsi="宋体" w:eastAsia="宋体" w:cs="宋体"/>
          <w:color w:val="auto"/>
          <w:kern w:val="0"/>
          <w:sz w:val="24"/>
          <w:szCs w:val="24"/>
          <w:lang w:eastAsia="zh-CN"/>
        </w:rPr>
        <w:t>及日常运行费用均</w:t>
      </w:r>
      <w:r>
        <w:rPr>
          <w:rFonts w:hint="eastAsia" w:ascii="宋体" w:hAnsi="宋体" w:eastAsia="宋体" w:cs="宋体"/>
          <w:color w:val="auto"/>
          <w:kern w:val="0"/>
          <w:sz w:val="24"/>
          <w:szCs w:val="24"/>
        </w:rPr>
        <w:t>由乙方承担。</w:t>
      </w:r>
    </w:p>
    <w:p w14:paraId="078CD49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、决定</w:t>
      </w:r>
      <w:r>
        <w:rPr>
          <w:rFonts w:hint="eastAsia" w:ascii="宋体" w:hAnsi="宋体" w:eastAsia="宋体" w:cs="宋体"/>
          <w:color w:val="auto"/>
          <w:kern w:val="0"/>
          <w:sz w:val="24"/>
          <w:szCs w:val="24"/>
          <w:lang w:eastAsia="zh-CN"/>
        </w:rPr>
        <w:t>乙方</w:t>
      </w:r>
      <w:r>
        <w:rPr>
          <w:rFonts w:hint="eastAsia" w:ascii="宋体" w:hAnsi="宋体" w:eastAsia="宋体" w:cs="宋体"/>
          <w:color w:val="auto"/>
          <w:kern w:val="0"/>
          <w:sz w:val="24"/>
          <w:szCs w:val="24"/>
        </w:rPr>
        <w:t>机构设置、人事任免和专业技术人员的聘任，依照有关规定奖惩、招用职工和辞退违纪职工。</w:t>
      </w:r>
    </w:p>
    <w:p w14:paraId="30596E6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、制定</w:t>
      </w:r>
      <w:r>
        <w:rPr>
          <w:rFonts w:hint="eastAsia" w:ascii="宋体" w:hAnsi="宋体" w:eastAsia="宋体" w:cs="宋体"/>
          <w:color w:val="auto"/>
          <w:kern w:val="0"/>
          <w:sz w:val="24"/>
          <w:szCs w:val="24"/>
          <w:lang w:eastAsia="zh-CN"/>
        </w:rPr>
        <w:t>乙方</w:t>
      </w:r>
      <w:r>
        <w:rPr>
          <w:rFonts w:hint="eastAsia" w:ascii="宋体" w:hAnsi="宋体" w:eastAsia="宋体" w:cs="宋体"/>
          <w:color w:val="auto"/>
          <w:kern w:val="0"/>
          <w:sz w:val="24"/>
          <w:szCs w:val="24"/>
        </w:rPr>
        <w:t>内部分配制度，在符合法律规定的范围内自选工资形式，自定工资标准且不得低于所在管辖区规定最低标准。</w:t>
      </w:r>
    </w:p>
    <w:p w14:paraId="50FA7E0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、未经甲方同意，乙方不得擅自变更本保洁在投标文件中认定的承包范围。</w:t>
      </w:r>
    </w:p>
    <w:p w14:paraId="1B5CDB1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、乙方对签订合同区域必须自行保洁，不得转让、拆分、改变；如出现转让、拆分等情况，甲方有权立即终止承包合同。</w:t>
      </w:r>
    </w:p>
    <w:p w14:paraId="05423CA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、为确保保洁质量，乙方应组织一支技术骨干队伍，建立严格的质量管理体系，操作规范，成效突出。</w:t>
      </w:r>
    </w:p>
    <w:p w14:paraId="6196FA3B">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7</w:t>
      </w:r>
      <w:r>
        <w:rPr>
          <w:rFonts w:hint="eastAsia" w:ascii="宋体" w:hAnsi="宋体" w:eastAsia="宋体" w:cs="宋体"/>
          <w:color w:val="auto"/>
          <w:kern w:val="0"/>
          <w:sz w:val="24"/>
          <w:szCs w:val="24"/>
        </w:rPr>
        <w:t>、负责对保洁工人进行安全教育，岗前培训，提供安全作业的一切措施，并承担相应的安全责任及</w:t>
      </w:r>
      <w:r>
        <w:rPr>
          <w:rFonts w:hint="eastAsia" w:ascii="宋体" w:hAnsi="宋体" w:eastAsia="宋体" w:cs="宋体"/>
          <w:color w:val="auto"/>
          <w:kern w:val="0"/>
          <w:sz w:val="24"/>
          <w:szCs w:val="24"/>
          <w:lang w:eastAsia="zh-CN"/>
        </w:rPr>
        <w:t>相关</w:t>
      </w:r>
      <w:r>
        <w:rPr>
          <w:rFonts w:hint="eastAsia" w:ascii="宋体" w:hAnsi="宋体" w:eastAsia="宋体" w:cs="宋体"/>
          <w:color w:val="auto"/>
          <w:kern w:val="0"/>
          <w:sz w:val="24"/>
          <w:szCs w:val="24"/>
        </w:rPr>
        <w:t>费用。</w:t>
      </w:r>
    </w:p>
    <w:p w14:paraId="75EF2E7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8</w:t>
      </w:r>
      <w:r>
        <w:rPr>
          <w:rFonts w:hint="eastAsia" w:ascii="宋体" w:hAnsi="宋体" w:eastAsia="宋体" w:cs="宋体"/>
          <w:color w:val="auto"/>
          <w:kern w:val="0"/>
          <w:sz w:val="24"/>
          <w:szCs w:val="24"/>
        </w:rPr>
        <w:t>、服从甲方制定的保洁管理标准和考核评分办法相关规定。</w:t>
      </w:r>
    </w:p>
    <w:p w14:paraId="3EE0B93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9</w:t>
      </w:r>
      <w:r>
        <w:rPr>
          <w:rFonts w:hint="eastAsia" w:ascii="宋体" w:hAnsi="宋体" w:eastAsia="宋体" w:cs="宋体"/>
          <w:color w:val="auto"/>
          <w:kern w:val="0"/>
          <w:sz w:val="24"/>
          <w:szCs w:val="24"/>
        </w:rPr>
        <w:t>、配合甲方完成重大检查审核工作。</w:t>
      </w:r>
    </w:p>
    <w:p w14:paraId="0F857F0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第八条  乙方在承包期间享有如下责任和义务：</w:t>
      </w:r>
    </w:p>
    <w:p w14:paraId="1186ABF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1、合法从事承包经营，必须坚决贯彻《</w:t>
      </w:r>
      <w:r>
        <w:rPr>
          <w:rFonts w:hint="eastAsia" w:ascii="宋体" w:hAnsi="宋体" w:eastAsia="宋体" w:cs="宋体"/>
          <w:color w:val="auto"/>
          <w:kern w:val="0"/>
          <w:sz w:val="24"/>
          <w:szCs w:val="24"/>
          <w:lang w:val="en-US" w:eastAsia="zh-CN"/>
        </w:rPr>
        <w:t>陕西省城市</w:t>
      </w:r>
      <w:r>
        <w:rPr>
          <w:rFonts w:hint="eastAsia" w:ascii="宋体" w:hAnsi="宋体" w:eastAsia="宋体" w:cs="宋体"/>
          <w:color w:val="auto"/>
          <w:kern w:val="0"/>
          <w:sz w:val="24"/>
          <w:szCs w:val="24"/>
        </w:rPr>
        <w:t>市容环境卫生条例》</w:t>
      </w:r>
      <w:r>
        <w:rPr>
          <w:rFonts w:hint="eastAsia" w:ascii="宋体" w:hAnsi="宋体" w:eastAsia="宋体" w:cs="宋体"/>
          <w:color w:val="auto"/>
          <w:kern w:val="0"/>
          <w:sz w:val="24"/>
          <w:szCs w:val="24"/>
          <w:lang w:eastAsia="zh-CN"/>
        </w:rPr>
        <w:t>、《铜川市</w:t>
      </w:r>
      <w:r>
        <w:rPr>
          <w:rFonts w:hint="eastAsia" w:ascii="宋体" w:hAnsi="宋体" w:eastAsia="宋体" w:cs="宋体"/>
          <w:color w:val="auto"/>
          <w:kern w:val="0"/>
          <w:sz w:val="24"/>
          <w:szCs w:val="24"/>
          <w:lang w:val="en-US" w:eastAsia="zh-CN"/>
        </w:rPr>
        <w:t>城市</w:t>
      </w:r>
      <w:r>
        <w:rPr>
          <w:rFonts w:hint="eastAsia" w:ascii="宋体" w:hAnsi="宋体" w:eastAsia="宋体" w:cs="宋体"/>
          <w:color w:val="auto"/>
          <w:kern w:val="0"/>
          <w:sz w:val="24"/>
          <w:szCs w:val="24"/>
          <w:lang w:eastAsia="zh-CN"/>
        </w:rPr>
        <w:t>市容环境卫生管理办法》</w:t>
      </w:r>
      <w:r>
        <w:rPr>
          <w:rFonts w:hint="eastAsia" w:ascii="宋体" w:hAnsi="宋体" w:eastAsia="宋体" w:cs="宋体"/>
          <w:color w:val="auto"/>
          <w:kern w:val="0"/>
          <w:sz w:val="24"/>
          <w:szCs w:val="24"/>
        </w:rPr>
        <w:t>的各项内容。</w:t>
      </w:r>
    </w:p>
    <w:p w14:paraId="18B12E0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2、建立体系齐全的内部管理机制体制及管理架构，报甲方审核后严格执行，保障高水平管理效能。</w:t>
      </w:r>
    </w:p>
    <w:p w14:paraId="5BB55EB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3、制定符合实际工作需要、科学合理可行的清扫保洁方案，设置管理及清扫保洁网格，人员配置明确，报甲方审核后严格执行，同时配备保洁急保障队伍，建立应急专项资金和工作预案，便于解决突发问题。</w:t>
      </w:r>
    </w:p>
    <w:p w14:paraId="1B10E85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kern w:val="0"/>
          <w:sz w:val="24"/>
          <w:szCs w:val="24"/>
          <w:lang w:val="en-US" w:eastAsia="zh-CN"/>
        </w:rPr>
        <w:t>承包范围内环卫作业人员缴纳福利至少应包括人员工资、服装费、劳保费、降温费、高温费、取暖费、意外保险费等。</w:t>
      </w:r>
    </w:p>
    <w:p w14:paraId="14EADB0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乙方应加强对保洁人员的管理，一切劳资纠纷隐患，必须主动积极协调处理，不得推诿，绝不允许发生员工上访事件。</w:t>
      </w:r>
    </w:p>
    <w:p w14:paraId="707F6E4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、承担所属公司员工的工资及与承包经营直接相关的成本费用。</w:t>
      </w:r>
    </w:p>
    <w:p w14:paraId="548E0A8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7</w:t>
      </w:r>
      <w:r>
        <w:rPr>
          <w:rFonts w:hint="eastAsia" w:ascii="宋体" w:hAnsi="宋体" w:eastAsia="宋体" w:cs="宋体"/>
          <w:color w:val="auto"/>
          <w:kern w:val="0"/>
          <w:sz w:val="24"/>
          <w:szCs w:val="24"/>
        </w:rPr>
        <w:t>、必须依照国家有关规定，按期如数缴纳应缴纳的各种税费和统筹基金。</w:t>
      </w:r>
    </w:p>
    <w:p w14:paraId="761D6BCB">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8</w:t>
      </w:r>
      <w:r>
        <w:rPr>
          <w:rFonts w:hint="eastAsia" w:ascii="宋体" w:hAnsi="宋体" w:eastAsia="宋体" w:cs="宋体"/>
          <w:color w:val="auto"/>
          <w:kern w:val="0"/>
          <w:sz w:val="24"/>
          <w:szCs w:val="24"/>
        </w:rPr>
        <w:t>、制定具体规章制度，实施合理措施，定期组织员工、专业司机学习业务、安全知识和交通法规，进行业务培训、安全教育，严格要求员工安全作业操作，保证员工及国家财产的安全并形成材料定期上报甲方。</w:t>
      </w:r>
    </w:p>
    <w:p w14:paraId="6E0CC687">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9</w:t>
      </w:r>
      <w:r>
        <w:rPr>
          <w:rFonts w:hint="eastAsia" w:ascii="宋体" w:hAnsi="宋体" w:eastAsia="宋体" w:cs="宋体"/>
          <w:color w:val="auto"/>
          <w:kern w:val="0"/>
          <w:sz w:val="24"/>
          <w:szCs w:val="24"/>
        </w:rPr>
        <w:t>、乙方每日6:30前完成道路普扫工作，未完成道路普扫、道路漏扫、垃圾收集不及时和其他空挡时间出现保洁不到位情况，甲方在取证后直接给予通报问责。</w:t>
      </w:r>
    </w:p>
    <w:p w14:paraId="6CDC56C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0</w:t>
      </w:r>
      <w:r>
        <w:rPr>
          <w:rFonts w:hint="eastAsia" w:ascii="宋体" w:hAnsi="宋体" w:eastAsia="宋体" w:cs="宋体"/>
          <w:color w:val="auto"/>
          <w:kern w:val="0"/>
          <w:sz w:val="24"/>
          <w:szCs w:val="24"/>
        </w:rPr>
        <w:t>、如遇意外情况发生，应立即保护现场、救治伤员、并拨打保险公司报案电话和报警电话，并上报甲方。</w:t>
      </w:r>
    </w:p>
    <w:p w14:paraId="28BC01D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、作为独立法人的公司全部负责处理工作过程中的各类安全事故，并承担相应的责任和费用。</w:t>
      </w:r>
    </w:p>
    <w:p w14:paraId="65E949B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rPr>
        <w:t>、享有承包收益，承担承包亏损；承担交通事故由保险公司赔偿后的差额费用。</w:t>
      </w:r>
    </w:p>
    <w:p w14:paraId="706A097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13、乙方必须制定安全生产制度，对保洁人员加强工作安全教育，设立固定的安全管理员明确管理职责，为保洁人员购买人身意外伤害保险。保洁工作中发生财产损失或人员伤亡事故的，责任由乙方承担甲方概不负责，但甲方管理人员强令乙方保洁人员违章冒险作业的除外。</w:t>
      </w:r>
    </w:p>
    <w:p w14:paraId="098C723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4</w:t>
      </w:r>
      <w:r>
        <w:rPr>
          <w:rFonts w:hint="eastAsia" w:ascii="宋体" w:hAnsi="宋体" w:eastAsia="宋体" w:cs="宋体"/>
          <w:color w:val="auto"/>
          <w:kern w:val="0"/>
          <w:sz w:val="24"/>
          <w:szCs w:val="24"/>
        </w:rPr>
        <w:t>、严格遵守并执行甲方的质量标准和考核办法，服从甲方对环境卫生质量的检查监督，切实采取有效措施保证清扫保洁质量符合甲方考核标准。</w:t>
      </w:r>
    </w:p>
    <w:p w14:paraId="1325799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5</w:t>
      </w:r>
      <w:r>
        <w:rPr>
          <w:rFonts w:hint="eastAsia" w:ascii="宋体" w:hAnsi="宋体" w:eastAsia="宋体" w:cs="宋体"/>
          <w:color w:val="auto"/>
          <w:kern w:val="0"/>
          <w:sz w:val="24"/>
          <w:szCs w:val="24"/>
        </w:rPr>
        <w:t>、按期完成本合同规定的工作内容和各项临时任务。有义务配合甲方遇重大接待、卫生检查、及应急预案的紧急启动时车辆、人员的集中调配。</w:t>
      </w:r>
    </w:p>
    <w:p w14:paraId="478926A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、合同期满后及时向甲方交回国有资产使用权并确保国有资产的完整。</w:t>
      </w:r>
    </w:p>
    <w:p w14:paraId="5197ABC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17</w:t>
      </w:r>
      <w:r>
        <w:rPr>
          <w:rFonts w:hint="eastAsia" w:ascii="宋体" w:hAnsi="宋体" w:eastAsia="宋体" w:cs="宋体"/>
          <w:color w:val="auto"/>
          <w:kern w:val="0"/>
          <w:sz w:val="24"/>
          <w:szCs w:val="24"/>
        </w:rPr>
        <w:t>、乙方保洁工器具须按规定存入保洁工具箱，严禁将工器具乱堆乱放。</w:t>
      </w:r>
    </w:p>
    <w:p w14:paraId="0E2B947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18、</w:t>
      </w:r>
      <w:r>
        <w:rPr>
          <w:rFonts w:hint="eastAsia" w:ascii="宋体" w:hAnsi="宋体" w:eastAsia="宋体" w:cs="宋体"/>
          <w:color w:val="auto"/>
          <w:kern w:val="0"/>
          <w:sz w:val="24"/>
          <w:szCs w:val="24"/>
        </w:rPr>
        <w:t>乙方若发现市政设施和城市家具受到损坏，应采取临时措施，并在第一时间通知甲方。</w:t>
      </w:r>
    </w:p>
    <w:p w14:paraId="11E43105">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19、</w:t>
      </w:r>
      <w:r>
        <w:rPr>
          <w:rFonts w:hint="eastAsia" w:ascii="宋体" w:hAnsi="宋体" w:eastAsia="宋体" w:cs="宋体"/>
          <w:color w:val="auto"/>
          <w:kern w:val="0"/>
          <w:sz w:val="24"/>
          <w:szCs w:val="24"/>
        </w:rPr>
        <w:t>乙方不得在道路、绿化带内私自摆放垃圾桶、设置临时垃圾点，垃圾随产随清。</w:t>
      </w:r>
    </w:p>
    <w:p w14:paraId="0EEF4973">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20</w:t>
      </w:r>
      <w:r>
        <w:rPr>
          <w:rFonts w:hint="eastAsia" w:ascii="宋体" w:hAnsi="宋体" w:eastAsia="宋体" w:cs="宋体"/>
          <w:color w:val="auto"/>
          <w:kern w:val="0"/>
          <w:sz w:val="24"/>
          <w:szCs w:val="24"/>
        </w:rPr>
        <w:t>、承包人自行配备的环卫车辆及设备以保障承包单位项目实施方案的机械化程度及清扫保洁效果。</w:t>
      </w:r>
    </w:p>
    <w:p w14:paraId="30F7F78E">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第六章  合同的变更、解除或终止</w:t>
      </w:r>
    </w:p>
    <w:p w14:paraId="4CED172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第一条  本合同需要变更或解除时，须经双方协商一致达成新的书面协议，在新的书面协议未达成之前，本合同依然有效。</w:t>
      </w:r>
    </w:p>
    <w:p w14:paraId="1E471BB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第二条  本合同履行期间，如国家有关政策与本合同签订时相比使发包方、承包方任何一方利益受到重大影响，受影响的一方需提前一个月提出变更或解除本合同。</w:t>
      </w:r>
    </w:p>
    <w:p w14:paraId="34B212F6">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第三条  乙方应严格按照国家、省市、相关政策法规执行劳资、劳保、安全等制度，并高度重视维稳工作，如出现乙方员工队伍不稳定、上访等事件，同时造成工作或舆论影响的，甲方有权解除合同。</w:t>
      </w:r>
    </w:p>
    <w:p w14:paraId="7233116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eastAsia="宋体" w:cs="宋体"/>
          <w:color w:val="auto"/>
          <w:kern w:val="0"/>
          <w:sz w:val="24"/>
          <w:szCs w:val="24"/>
          <w:lang w:eastAsia="zh-CN"/>
        </w:rPr>
        <w:t>四</w:t>
      </w:r>
      <w:r>
        <w:rPr>
          <w:rFonts w:hint="eastAsia" w:ascii="宋体" w:hAnsi="宋体" w:eastAsia="宋体" w:cs="宋体"/>
          <w:color w:val="auto"/>
          <w:kern w:val="0"/>
          <w:sz w:val="24"/>
          <w:szCs w:val="24"/>
        </w:rPr>
        <w:t>条  乙方不能足额安排道路保洁人员或有意克扣保洁人员工资、福利时，乙方必须在一日内上齐补足，若不按期补足，甲方有权介入处理。</w:t>
      </w:r>
    </w:p>
    <w:p w14:paraId="05F782D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eastAsia="宋体" w:cs="宋体"/>
          <w:color w:val="auto"/>
          <w:kern w:val="0"/>
          <w:sz w:val="24"/>
          <w:szCs w:val="24"/>
          <w:lang w:eastAsia="zh-CN"/>
        </w:rPr>
        <w:t>五</w:t>
      </w:r>
      <w:r>
        <w:rPr>
          <w:rFonts w:hint="eastAsia" w:ascii="宋体" w:hAnsi="宋体" w:eastAsia="宋体" w:cs="宋体"/>
          <w:color w:val="auto"/>
          <w:kern w:val="0"/>
          <w:sz w:val="24"/>
          <w:szCs w:val="24"/>
        </w:rPr>
        <w:t>条  乙方不能按照甲方要求足额安排保洁人员而造成清扫保洁质量被市级、区级等主流媒体曝光或被市级、区级政府部门通报的，或有意克扣保洁人员工资、福利时，视为违约，甲方参照本合同约定进行处罚，同时乙方必须在三日内补足，若不按期补足，甲方有权解除合同。</w:t>
      </w:r>
    </w:p>
    <w:p w14:paraId="4DCD3D80">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eastAsia="宋体" w:cs="宋体"/>
          <w:color w:val="auto"/>
          <w:kern w:val="0"/>
          <w:sz w:val="24"/>
          <w:szCs w:val="24"/>
          <w:lang w:eastAsia="zh-CN"/>
        </w:rPr>
        <w:t>六</w:t>
      </w:r>
      <w:r>
        <w:rPr>
          <w:rFonts w:hint="eastAsia" w:ascii="宋体" w:hAnsi="宋体" w:eastAsia="宋体" w:cs="宋体"/>
          <w:color w:val="auto"/>
          <w:kern w:val="0"/>
          <w:sz w:val="24"/>
          <w:szCs w:val="24"/>
        </w:rPr>
        <w:t>条  甲方依据最新作业标准、《城市道路清扫保洁技术规范》及</w:t>
      </w:r>
      <w:r>
        <w:rPr>
          <w:rFonts w:hint="eastAsia" w:ascii="宋体" w:hAnsi="宋体" w:eastAsia="宋体" w:cs="宋体"/>
          <w:color w:val="auto"/>
          <w:kern w:val="0"/>
          <w:sz w:val="24"/>
          <w:szCs w:val="24"/>
          <w:lang w:eastAsia="zh-CN"/>
        </w:rPr>
        <w:t>当地</w:t>
      </w:r>
      <w:r>
        <w:rPr>
          <w:rFonts w:hint="eastAsia" w:ascii="宋体" w:hAnsi="宋体" w:eastAsia="宋体" w:cs="宋体"/>
          <w:color w:val="auto"/>
          <w:kern w:val="0"/>
          <w:sz w:val="24"/>
          <w:szCs w:val="24"/>
        </w:rPr>
        <w:t>地方标准、《</w:t>
      </w:r>
      <w:r>
        <w:rPr>
          <w:rFonts w:hint="eastAsia" w:ascii="宋体" w:hAnsi="宋体" w:eastAsia="宋体" w:cs="宋体"/>
          <w:color w:val="auto"/>
          <w:kern w:val="0"/>
          <w:sz w:val="24"/>
          <w:szCs w:val="24"/>
          <w:lang w:eastAsia="zh-CN"/>
        </w:rPr>
        <w:t>宜君县县城环卫作业外包服务项目</w:t>
      </w:r>
      <w:r>
        <w:rPr>
          <w:rFonts w:hint="eastAsia" w:ascii="宋体" w:hAnsi="宋体" w:eastAsia="宋体" w:cs="宋体"/>
          <w:color w:val="auto"/>
          <w:kern w:val="0"/>
          <w:sz w:val="24"/>
          <w:szCs w:val="24"/>
        </w:rPr>
        <w:t>考核办法》等规定以及本合同的服务标准对乙方进行综合考核评定，对因管理不善或处置不当出现的保洁质量、人员管理、安全生产等重大失误的，</w:t>
      </w:r>
      <w:r>
        <w:rPr>
          <w:rFonts w:hint="eastAsia" w:ascii="宋体" w:hAnsi="宋体" w:eastAsia="宋体" w:cs="宋体"/>
          <w:color w:val="auto"/>
          <w:kern w:val="0"/>
          <w:sz w:val="24"/>
          <w:szCs w:val="24"/>
          <w:lang w:eastAsia="zh-CN"/>
        </w:rPr>
        <w:t>甲方有权解除合同</w:t>
      </w:r>
      <w:r>
        <w:rPr>
          <w:rFonts w:hint="eastAsia" w:ascii="宋体" w:hAnsi="宋体" w:eastAsia="宋体" w:cs="宋体"/>
          <w:color w:val="auto"/>
          <w:kern w:val="0"/>
          <w:sz w:val="24"/>
          <w:szCs w:val="24"/>
        </w:rPr>
        <w:t>。</w:t>
      </w:r>
    </w:p>
    <w:p w14:paraId="7069AB08">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eastAsia="宋体" w:cs="宋体"/>
          <w:color w:val="auto"/>
          <w:kern w:val="0"/>
          <w:sz w:val="24"/>
          <w:szCs w:val="24"/>
          <w:lang w:eastAsia="zh-CN"/>
        </w:rPr>
        <w:t>七</w:t>
      </w:r>
      <w:r>
        <w:rPr>
          <w:rFonts w:hint="eastAsia" w:ascii="宋体" w:hAnsi="宋体" w:eastAsia="宋体" w:cs="宋体"/>
          <w:color w:val="auto"/>
          <w:kern w:val="0"/>
          <w:sz w:val="24"/>
          <w:szCs w:val="24"/>
        </w:rPr>
        <w:t>条  乙方连续两个月道路质量考核不达标排名末位的，甲方有权解除合同。</w:t>
      </w:r>
    </w:p>
    <w:p w14:paraId="7C68972F">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eastAsia="宋体" w:cs="宋体"/>
          <w:color w:val="auto"/>
          <w:kern w:val="0"/>
          <w:sz w:val="24"/>
          <w:szCs w:val="24"/>
          <w:lang w:eastAsia="zh-CN"/>
        </w:rPr>
        <w:t>八</w:t>
      </w:r>
      <w:r>
        <w:rPr>
          <w:rFonts w:hint="eastAsia" w:ascii="宋体" w:hAnsi="宋体" w:eastAsia="宋体" w:cs="宋体"/>
          <w:color w:val="auto"/>
          <w:kern w:val="0"/>
          <w:sz w:val="24"/>
          <w:szCs w:val="24"/>
        </w:rPr>
        <w:t>条  乙方连续两个月未规定足额安排保洁人员的，甲方有权解除合同。</w:t>
      </w:r>
    </w:p>
    <w:p w14:paraId="7D6FE52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eastAsia="宋体" w:cs="宋体"/>
          <w:color w:val="auto"/>
          <w:kern w:val="0"/>
          <w:sz w:val="24"/>
          <w:szCs w:val="24"/>
          <w:lang w:eastAsia="zh-CN"/>
        </w:rPr>
        <w:t>九</w:t>
      </w:r>
      <w:r>
        <w:rPr>
          <w:rFonts w:hint="eastAsia" w:ascii="宋体" w:hAnsi="宋体" w:eastAsia="宋体" w:cs="宋体"/>
          <w:color w:val="auto"/>
          <w:kern w:val="0"/>
          <w:sz w:val="24"/>
          <w:szCs w:val="24"/>
        </w:rPr>
        <w:t>条  由于不可抗力的原因使本合同无法履行或无法完全履行时，甲、乙双方协商一致可以变更或解除本合同。</w:t>
      </w:r>
    </w:p>
    <w:p w14:paraId="586E660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第十条  本合同规定的承包期满，甲乙双方的权利、义务履行完毕后，本合同自行终止。</w:t>
      </w:r>
    </w:p>
    <w:p w14:paraId="1959CC6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第十</w:t>
      </w:r>
      <w:r>
        <w:rPr>
          <w:rFonts w:hint="eastAsia" w:ascii="宋体" w:hAnsi="宋体" w:eastAsia="宋体" w:cs="宋体"/>
          <w:color w:val="auto"/>
          <w:kern w:val="0"/>
          <w:sz w:val="24"/>
          <w:szCs w:val="24"/>
          <w:lang w:eastAsia="zh-CN"/>
        </w:rPr>
        <w:t>一</w:t>
      </w:r>
      <w:r>
        <w:rPr>
          <w:rFonts w:hint="eastAsia" w:ascii="宋体" w:hAnsi="宋体" w:eastAsia="宋体" w:cs="宋体"/>
          <w:color w:val="auto"/>
          <w:kern w:val="0"/>
          <w:sz w:val="24"/>
          <w:szCs w:val="24"/>
        </w:rPr>
        <w:t>条  因质量原因、保洁管理不到位，被媒体曝光，造成重大不良影响的，甲方有权解除合同。</w:t>
      </w:r>
    </w:p>
    <w:p w14:paraId="2008669C">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第十</w:t>
      </w:r>
      <w:r>
        <w:rPr>
          <w:rFonts w:hint="eastAsia" w:ascii="宋体" w:hAnsi="宋体" w:eastAsia="宋体" w:cs="宋体"/>
          <w:color w:val="auto"/>
          <w:kern w:val="0"/>
          <w:sz w:val="24"/>
          <w:szCs w:val="24"/>
          <w:lang w:eastAsia="zh-CN"/>
        </w:rPr>
        <w:t>二</w:t>
      </w:r>
      <w:r>
        <w:rPr>
          <w:rFonts w:hint="eastAsia" w:ascii="宋体" w:hAnsi="宋体" w:eastAsia="宋体" w:cs="宋体"/>
          <w:color w:val="auto"/>
          <w:kern w:val="0"/>
          <w:sz w:val="24"/>
          <w:szCs w:val="24"/>
        </w:rPr>
        <w:t>条  由于工作失误造成的安全事故，对社会稳定性产生恶劣影响的，甲方有权解除合同。</w:t>
      </w:r>
    </w:p>
    <w:p w14:paraId="79916A6D">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第十</w:t>
      </w:r>
      <w:r>
        <w:rPr>
          <w:rFonts w:hint="eastAsia" w:ascii="宋体" w:hAnsi="宋体" w:eastAsia="宋体" w:cs="宋体"/>
          <w:color w:val="auto"/>
          <w:kern w:val="0"/>
          <w:sz w:val="24"/>
          <w:szCs w:val="24"/>
          <w:lang w:eastAsia="zh-CN"/>
        </w:rPr>
        <w:t>三</w:t>
      </w:r>
      <w:r>
        <w:rPr>
          <w:rFonts w:hint="eastAsia" w:ascii="宋体" w:hAnsi="宋体" w:eastAsia="宋体" w:cs="宋体"/>
          <w:color w:val="auto"/>
          <w:kern w:val="0"/>
          <w:sz w:val="24"/>
          <w:szCs w:val="24"/>
        </w:rPr>
        <w:t>条  本合同一切解释权归甲方所有。</w:t>
      </w:r>
    </w:p>
    <w:p w14:paraId="6EB28DD9">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第七章  违约责任</w:t>
      </w:r>
    </w:p>
    <w:p w14:paraId="5EEDC3B9">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第一条</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按《中华人民共和国民法典》中的相关条款执行。 </w:t>
      </w:r>
    </w:p>
    <w:p w14:paraId="778C124B">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第二条</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未按合同要求提供服务或服务质量不能满足技术要求的，采购人有权终止合同，并对中标供应商违约行为进行追究，同时按《中华人民共和国政府采购法》及实施条例的有关规定进行处罚。（未尽事宜双方合同签订时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 xml:space="preserve"> </w:t>
      </w:r>
    </w:p>
    <w:p w14:paraId="7EFFB10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eastAsia="宋体" w:cs="宋体"/>
          <w:color w:val="auto"/>
          <w:kern w:val="0"/>
          <w:sz w:val="24"/>
          <w:szCs w:val="24"/>
          <w:lang w:val="en-US" w:eastAsia="zh-CN"/>
        </w:rPr>
        <w:t>三</w:t>
      </w:r>
      <w:r>
        <w:rPr>
          <w:rFonts w:hint="eastAsia" w:ascii="宋体" w:hAnsi="宋体" w:eastAsia="宋体" w:cs="宋体"/>
          <w:color w:val="auto"/>
          <w:kern w:val="0"/>
          <w:sz w:val="24"/>
          <w:szCs w:val="24"/>
        </w:rPr>
        <w:t>条</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甲、乙双方在履行本合同中产生争议，双方应当先行协商。协商不成的，任一方可申请仲裁或向人民法院提起诉讼。</w:t>
      </w:r>
    </w:p>
    <w:p w14:paraId="6022A2B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第四条</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甲方违反合同，未按本合同约定的收费标准和时间付费的，乙方有权要求甲方限期补交并从逾期之日起每日加收应缴费用的千分之二的滞纳金，逾期仍不交纳的，乙方有权停止相关服务。</w:t>
      </w:r>
    </w:p>
    <w:p w14:paraId="7860036A">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cs="宋体"/>
          <w:color w:val="auto"/>
          <w:kern w:val="0"/>
          <w:sz w:val="24"/>
          <w:szCs w:val="24"/>
          <w:lang w:val="en-US" w:eastAsia="zh-CN"/>
        </w:rPr>
        <w:t>五</w:t>
      </w:r>
      <w:r>
        <w:rPr>
          <w:rFonts w:hint="eastAsia" w:ascii="宋体" w:hAnsi="宋体" w:eastAsia="宋体" w:cs="宋体"/>
          <w:color w:val="auto"/>
          <w:kern w:val="0"/>
          <w:sz w:val="24"/>
          <w:szCs w:val="24"/>
        </w:rPr>
        <w:t>条 因乙方行为违约造成甲方利益受到侵害或造成社会影响的，甲方有权要求乙方在一定期限内解决，逾期不解决的，甲方有权终止合同。造成甲方经济损失的，乙方应给予甲方相应的经济赔偿。</w:t>
      </w:r>
    </w:p>
    <w:p w14:paraId="04CAFC7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w:t>
      </w:r>
      <w:r>
        <w:rPr>
          <w:rFonts w:hint="eastAsia" w:ascii="宋体" w:hAnsi="宋体" w:cs="宋体"/>
          <w:color w:val="auto"/>
          <w:kern w:val="0"/>
          <w:sz w:val="24"/>
          <w:szCs w:val="24"/>
          <w:lang w:val="en-US" w:eastAsia="zh-CN"/>
        </w:rPr>
        <w:t>六</w:t>
      </w:r>
      <w:r>
        <w:rPr>
          <w:rFonts w:hint="eastAsia" w:ascii="宋体" w:hAnsi="宋体" w:eastAsia="宋体" w:cs="宋体"/>
          <w:color w:val="auto"/>
          <w:kern w:val="0"/>
          <w:sz w:val="24"/>
          <w:szCs w:val="24"/>
        </w:rPr>
        <w:t>条</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因甲方行为违约导致乙方未能完成管理服务内容和质量标准的，乙方有权要求甲方在一定期限内解决，逾期不解决的，乙方有权终止合同。造成乙方经济损失的，甲方应给予乙方相应的经济赔偿。</w:t>
      </w:r>
    </w:p>
    <w:p w14:paraId="1528B705">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rPr>
        <w:t>第</w:t>
      </w:r>
      <w:r>
        <w:rPr>
          <w:rFonts w:hint="eastAsia" w:ascii="宋体" w:hAnsi="宋体" w:cs="宋体"/>
          <w:b/>
          <w:color w:val="auto"/>
          <w:kern w:val="0"/>
          <w:sz w:val="24"/>
          <w:szCs w:val="24"/>
          <w:highlight w:val="none"/>
          <w:lang w:val="en-US" w:eastAsia="zh-CN"/>
        </w:rPr>
        <w:t>八</w:t>
      </w:r>
      <w:r>
        <w:rPr>
          <w:rFonts w:hint="eastAsia" w:ascii="宋体" w:hAnsi="宋体" w:eastAsia="宋体" w:cs="宋体"/>
          <w:b/>
          <w:color w:val="auto"/>
          <w:kern w:val="0"/>
          <w:sz w:val="24"/>
          <w:szCs w:val="24"/>
          <w:highlight w:val="none"/>
        </w:rPr>
        <w:t>章</w:t>
      </w:r>
      <w:r>
        <w:rPr>
          <w:rFonts w:hint="eastAsia" w:ascii="宋体" w:hAnsi="宋体" w:eastAsia="宋体" w:cs="宋体"/>
          <w:b/>
          <w:color w:val="auto"/>
          <w:kern w:val="0"/>
          <w:sz w:val="24"/>
          <w:szCs w:val="24"/>
          <w:highlight w:val="none"/>
          <w:lang w:val="en-US" w:eastAsia="zh-CN"/>
        </w:rPr>
        <w:t xml:space="preserve"> 其他</w:t>
      </w:r>
    </w:p>
    <w:p w14:paraId="38D094B2">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第一条</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发生群体性上访事件或者因上访事件造成</w:t>
      </w:r>
      <w:r>
        <w:rPr>
          <w:rFonts w:hint="eastAsia" w:ascii="宋体" w:hAnsi="宋体" w:eastAsia="宋体" w:cs="宋体"/>
          <w:color w:val="auto"/>
          <w:kern w:val="0"/>
          <w:sz w:val="24"/>
          <w:szCs w:val="24"/>
          <w:highlight w:val="none"/>
          <w:lang w:val="en-US" w:eastAsia="zh-CN"/>
        </w:rPr>
        <w:t>巨大</w:t>
      </w:r>
      <w:r>
        <w:rPr>
          <w:rFonts w:hint="eastAsia" w:ascii="宋体" w:hAnsi="宋体" w:eastAsia="宋体" w:cs="宋体"/>
          <w:color w:val="auto"/>
          <w:kern w:val="0"/>
          <w:sz w:val="24"/>
          <w:szCs w:val="24"/>
          <w:highlight w:val="none"/>
        </w:rPr>
        <w:t>不良影响的，经核查中标单位存在相应责任属实的，采购人有权直接解除合同。</w:t>
      </w:r>
    </w:p>
    <w:p w14:paraId="3F2F8C01">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第一条</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无论何种原因中标供应商要解除合同的，必须提前3个月通知采购人，该三个月内中标供应商仍需按照合同约定履行合同义务，且需按照采购人要求办理撤场交接工作。（其他未尽事宜双方合同签订时约定）</w:t>
      </w:r>
      <w:r>
        <w:rPr>
          <w:rFonts w:hint="eastAsia" w:ascii="宋体" w:hAnsi="宋体" w:eastAsia="宋体" w:cs="宋体"/>
          <w:color w:val="auto"/>
          <w:kern w:val="0"/>
          <w:sz w:val="24"/>
          <w:szCs w:val="24"/>
          <w:highlight w:val="none"/>
          <w:lang w:eastAsia="zh-CN"/>
        </w:rPr>
        <w:t>。</w:t>
      </w:r>
    </w:p>
    <w:p w14:paraId="0FF9FA4B">
      <w:pPr>
        <w:keepNext w:val="0"/>
        <w:keepLines w:val="0"/>
        <w:pageBreakBefore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第</w:t>
      </w:r>
      <w:r>
        <w:rPr>
          <w:rFonts w:hint="eastAsia" w:ascii="宋体" w:hAnsi="宋体" w:cs="宋体"/>
          <w:b/>
          <w:color w:val="auto"/>
          <w:kern w:val="0"/>
          <w:sz w:val="24"/>
          <w:szCs w:val="24"/>
          <w:lang w:val="en-US" w:eastAsia="zh-CN"/>
        </w:rPr>
        <w:t>九</w:t>
      </w:r>
      <w:r>
        <w:rPr>
          <w:rFonts w:hint="eastAsia" w:ascii="宋体" w:hAnsi="宋体" w:eastAsia="宋体" w:cs="宋体"/>
          <w:b/>
          <w:color w:val="auto"/>
          <w:kern w:val="0"/>
          <w:sz w:val="24"/>
          <w:szCs w:val="24"/>
        </w:rPr>
        <w:t>章  附则</w:t>
      </w:r>
    </w:p>
    <w:p w14:paraId="1AB496F4">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第一条  发包方的《招标书》、承包方的《投标书》、均为本合同附件，上述文件材料如与本合同正文有矛盾之处，以本合同正文为准。</w:t>
      </w:r>
    </w:p>
    <w:p w14:paraId="71B04F9B">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第二条  本合同由甲乙双方代表签字后生效，合同期满后自动失效。</w:t>
      </w:r>
    </w:p>
    <w:p w14:paraId="0AE4751E">
      <w:pPr>
        <w:keepNext w:val="0"/>
        <w:keepLines w:val="0"/>
        <w:pageBreakBefore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第三条  本合同一式捌份，甲、乙双方各执肆份。</w:t>
      </w:r>
    </w:p>
    <w:p w14:paraId="36AE4032">
      <w:pPr>
        <w:pStyle w:val="2"/>
        <w:pageBreakBefore w:val="0"/>
        <w:kinsoku/>
        <w:wordWrap/>
        <w:overflowPunct/>
        <w:topLinePunct w:val="0"/>
        <w:bidi w:val="0"/>
        <w:snapToGrid/>
        <w:spacing w:line="360" w:lineRule="auto"/>
        <w:ind w:firstLine="240" w:firstLineChars="100"/>
        <w:textAlignment w:val="auto"/>
        <w:rPr>
          <w:rFonts w:hint="eastAsia" w:ascii="宋体" w:hAnsi="宋体" w:eastAsia="宋体" w:cs="宋体"/>
          <w:color w:val="auto"/>
          <w:kern w:val="0"/>
          <w:sz w:val="24"/>
          <w:szCs w:val="24"/>
        </w:rPr>
      </w:pPr>
      <w:r>
        <w:rPr>
          <w:rFonts w:hint="eastAsia" w:ascii="宋体" w:hAnsi="宋体" w:cs="宋体"/>
          <w:color w:val="auto"/>
          <w:kern w:val="0"/>
          <w:sz w:val="24"/>
          <w:szCs w:val="24"/>
          <w:lang w:eastAsia="zh-CN"/>
        </w:rPr>
        <w:t>（</w:t>
      </w:r>
      <w:r>
        <w:rPr>
          <w:rFonts w:hint="eastAsia" w:ascii="宋体" w:hAnsi="宋体" w:cs="宋体"/>
          <w:color w:val="auto"/>
          <w:kern w:val="0"/>
          <w:sz w:val="24"/>
          <w:szCs w:val="24"/>
          <w:lang w:val="en-US" w:eastAsia="zh-CN"/>
        </w:rPr>
        <w:t>以下无正文</w:t>
      </w:r>
      <w:r>
        <w:rPr>
          <w:rFonts w:hint="eastAsia" w:ascii="宋体" w:hAnsi="宋体" w:cs="宋体"/>
          <w:color w:val="auto"/>
          <w:kern w:val="0"/>
          <w:sz w:val="24"/>
          <w:szCs w:val="24"/>
          <w:lang w:eastAsia="zh-CN"/>
        </w:rPr>
        <w:t>）</w:t>
      </w:r>
    </w:p>
    <w:p w14:paraId="61B8AC40">
      <w:pPr>
        <w:pageBreakBefore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甲方（盖章）：                   乙方（盖章）：</w:t>
      </w:r>
    </w:p>
    <w:p w14:paraId="09F9933A">
      <w:pPr>
        <w:pStyle w:val="2"/>
        <w:pageBreakBefore w:val="0"/>
        <w:kinsoku/>
        <w:wordWrap/>
        <w:overflowPunct/>
        <w:topLinePunct w:val="0"/>
        <w:bidi w:val="0"/>
        <w:snapToGrid/>
        <w:spacing w:line="360" w:lineRule="auto"/>
        <w:textAlignment w:val="auto"/>
        <w:rPr>
          <w:rFonts w:hint="eastAsia" w:ascii="宋体" w:hAnsi="宋体" w:eastAsia="宋体" w:cs="宋体"/>
          <w:color w:val="auto"/>
          <w:sz w:val="24"/>
          <w:szCs w:val="24"/>
        </w:rPr>
      </w:pPr>
    </w:p>
    <w:p w14:paraId="29908C7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法人代表或                       法人代表或</w:t>
      </w:r>
    </w:p>
    <w:p w14:paraId="0B0EAB3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委托代理人</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委托代理人</w:t>
      </w:r>
    </w:p>
    <w:p w14:paraId="0E609D21">
      <w:pPr>
        <w:pStyle w:val="2"/>
        <w:pageBreakBefore w:val="0"/>
        <w:kinsoku/>
        <w:wordWrap/>
        <w:overflowPunct/>
        <w:topLinePunct w:val="0"/>
        <w:bidi w:val="0"/>
        <w:snapToGrid/>
        <w:spacing w:line="360" w:lineRule="auto"/>
        <w:textAlignment w:val="auto"/>
        <w:rPr>
          <w:rFonts w:hint="eastAsia" w:ascii="宋体" w:hAnsi="宋体" w:eastAsia="宋体" w:cs="宋体"/>
          <w:color w:val="auto"/>
          <w:sz w:val="24"/>
          <w:szCs w:val="24"/>
        </w:rPr>
      </w:pPr>
    </w:p>
    <w:p w14:paraId="7B57F08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（签字或盖章）：               （签字或盖章）：</w:t>
      </w:r>
    </w:p>
    <w:p w14:paraId="44128DF5">
      <w:pPr>
        <w:pStyle w:val="2"/>
        <w:pageBreakBefore w:val="0"/>
        <w:kinsoku/>
        <w:wordWrap/>
        <w:overflowPunct/>
        <w:topLinePunct w:val="0"/>
        <w:bidi w:val="0"/>
        <w:snapToGrid/>
        <w:spacing w:line="360" w:lineRule="auto"/>
        <w:textAlignment w:val="auto"/>
        <w:rPr>
          <w:rFonts w:hint="eastAsia" w:ascii="宋体" w:hAnsi="宋体" w:eastAsia="宋体" w:cs="宋体"/>
          <w:color w:val="auto"/>
          <w:sz w:val="24"/>
          <w:szCs w:val="24"/>
        </w:rPr>
      </w:pPr>
    </w:p>
    <w:p w14:paraId="4E11281E">
      <w:pPr>
        <w:pageBreakBefore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联系电话：                     </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联系电话：</w:t>
      </w:r>
    </w:p>
    <w:p w14:paraId="5F6A5CD2">
      <w:pPr>
        <w:pStyle w:val="8"/>
        <w:pageBreakBefore w:val="0"/>
        <w:kinsoku/>
        <w:wordWrap/>
        <w:overflowPunct/>
        <w:topLinePunct w:val="0"/>
        <w:autoSpaceDE/>
        <w:autoSpaceDN/>
        <w:bidi w:val="0"/>
        <w:snapToGrid/>
        <w:spacing w:line="360" w:lineRule="auto"/>
        <w:ind w:left="0" w:firstLine="0" w:firstLineChars="0"/>
        <w:textAlignment w:val="auto"/>
        <w:rPr>
          <w:rFonts w:hint="eastAsia" w:ascii="宋体" w:hAnsi="宋体" w:eastAsia="宋体" w:cs="宋体"/>
          <w:color w:val="auto"/>
          <w:kern w:val="0"/>
          <w:sz w:val="24"/>
          <w:szCs w:val="24"/>
        </w:rPr>
      </w:pPr>
    </w:p>
    <w:p w14:paraId="0F9BBA8A">
      <w:pPr>
        <w:pStyle w:val="8"/>
        <w:pageBreakBefore w:val="0"/>
        <w:kinsoku/>
        <w:wordWrap/>
        <w:overflowPunct/>
        <w:topLinePunct w:val="0"/>
        <w:autoSpaceDE/>
        <w:autoSpaceDN/>
        <w:bidi w:val="0"/>
        <w:snapToGrid/>
        <w:spacing w:line="360" w:lineRule="auto"/>
        <w:ind w:left="0" w:leftChars="0" w:firstLine="2400" w:firstLineChars="10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0"/>
          <w:sz w:val="24"/>
          <w:szCs w:val="24"/>
        </w:rPr>
        <w:t>签约时间：</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年    月   </w:t>
      </w:r>
      <w:r>
        <w:rPr>
          <w:rFonts w:hint="eastAsia" w:ascii="宋体" w:hAnsi="宋体" w:eastAsia="宋体" w:cs="宋体"/>
          <w:color w:val="auto"/>
          <w:kern w:val="0"/>
          <w:sz w:val="24"/>
          <w:szCs w:val="24"/>
          <w:lang w:val="en-US" w:eastAsia="zh-CN"/>
        </w:rPr>
        <w:t xml:space="preserve">  日</w:t>
      </w:r>
    </w:p>
    <w:p w14:paraId="269BBECB">
      <w:pPr>
        <w:rPr>
          <w:color w:val="auto"/>
        </w:rPr>
      </w:pPr>
    </w:p>
    <w:p w14:paraId="537A380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35753"/>
    <w:rsid w:val="063F4ED6"/>
    <w:rsid w:val="091A71AA"/>
    <w:rsid w:val="0B892750"/>
    <w:rsid w:val="0EF84603"/>
    <w:rsid w:val="12E017EF"/>
    <w:rsid w:val="1360023A"/>
    <w:rsid w:val="166C0309"/>
    <w:rsid w:val="18E67433"/>
    <w:rsid w:val="199D0FFA"/>
    <w:rsid w:val="1A6E76E0"/>
    <w:rsid w:val="1A8B0292"/>
    <w:rsid w:val="1B9A2440"/>
    <w:rsid w:val="1BA17641"/>
    <w:rsid w:val="1E870D71"/>
    <w:rsid w:val="1F55375D"/>
    <w:rsid w:val="20592EC7"/>
    <w:rsid w:val="20754A4D"/>
    <w:rsid w:val="234650DC"/>
    <w:rsid w:val="243454F7"/>
    <w:rsid w:val="2CD5539D"/>
    <w:rsid w:val="2D883DB0"/>
    <w:rsid w:val="30894EAA"/>
    <w:rsid w:val="31977892"/>
    <w:rsid w:val="34B04B54"/>
    <w:rsid w:val="358617E5"/>
    <w:rsid w:val="38D66D6F"/>
    <w:rsid w:val="39736CE6"/>
    <w:rsid w:val="3D0674DF"/>
    <w:rsid w:val="3E4811F1"/>
    <w:rsid w:val="43AE1609"/>
    <w:rsid w:val="47452CE5"/>
    <w:rsid w:val="498C5763"/>
    <w:rsid w:val="513B7615"/>
    <w:rsid w:val="53DC50DF"/>
    <w:rsid w:val="57B67C8D"/>
    <w:rsid w:val="582A3F3F"/>
    <w:rsid w:val="5CF27722"/>
    <w:rsid w:val="611D2893"/>
    <w:rsid w:val="62DE42A4"/>
    <w:rsid w:val="6A7A6FA8"/>
    <w:rsid w:val="6B6E2157"/>
    <w:rsid w:val="6DF20387"/>
    <w:rsid w:val="6EBE6636"/>
    <w:rsid w:val="710F044A"/>
    <w:rsid w:val="75BC5488"/>
    <w:rsid w:val="75C41E12"/>
    <w:rsid w:val="75D51537"/>
    <w:rsid w:val="76676CDF"/>
    <w:rsid w:val="7B02692A"/>
    <w:rsid w:val="7C686C61"/>
    <w:rsid w:val="7C705B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Lines="50" w:afterLines="50" w:line="600" w:lineRule="auto"/>
      <w:jc w:val="center"/>
      <w:outlineLvl w:val="0"/>
    </w:pPr>
    <w:rPr>
      <w:rFonts w:ascii="Times New Roman" w:hAnsi="Times New Roman" w:eastAsia="仿宋"/>
      <w:b/>
      <w:kern w:val="44"/>
      <w:sz w:val="36"/>
    </w:rPr>
  </w:style>
  <w:style w:type="paragraph" w:styleId="5">
    <w:name w:val="heading 4"/>
    <w:basedOn w:val="1"/>
    <w:next w:val="1"/>
    <w:qFormat/>
    <w:uiPriority w:val="0"/>
    <w:pPr>
      <w:keepNext/>
      <w:keepLines/>
      <w:spacing w:before="120" w:after="120" w:line="360" w:lineRule="auto"/>
      <w:outlineLvl w:val="3"/>
    </w:pPr>
    <w:rPr>
      <w:rFonts w:ascii="Arial" w:hAnsi="Arial" w:eastAsia="黑体" w:cs="Times New Roman"/>
      <w:b/>
      <w:bCs/>
      <w:sz w:val="28"/>
      <w:szCs w:val="28"/>
    </w:rPr>
  </w:style>
  <w:style w:type="character" w:default="1" w:styleId="10">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customStyle="1" w:styleId="3">
    <w:name w:val="正文1"/>
    <w:basedOn w:val="1"/>
    <w:qFormat/>
    <w:uiPriority w:val="0"/>
    <w:pPr>
      <w:spacing w:beforeLines="50" w:afterLines="50" w:line="300" w:lineRule="auto"/>
      <w:outlineLvl w:val="6"/>
    </w:pPr>
    <w:rPr>
      <w:rFonts w:ascii="Segoe UI" w:hAnsi="宋体" w:eastAsia="宋体" w:cs="Latha"/>
      <w:szCs w:val="24"/>
    </w:rPr>
  </w:style>
  <w:style w:type="paragraph" w:styleId="6">
    <w:name w:val="Normal Indent"/>
    <w:basedOn w:val="1"/>
    <w:qFormat/>
    <w:uiPriority w:val="99"/>
    <w:pPr>
      <w:spacing w:line="360" w:lineRule="auto"/>
      <w:ind w:firstLine="200" w:firstLineChars="200"/>
    </w:pPr>
    <w:rPr>
      <w:rFonts w:ascii="宋体" w:hAnsi="宋体" w:eastAsia="宋体"/>
      <w:sz w:val="24"/>
      <w:szCs w:val="21"/>
    </w:rPr>
  </w:style>
  <w:style w:type="paragraph" w:styleId="7">
    <w:name w:val="Body Text Indent"/>
    <w:basedOn w:val="1"/>
    <w:qFormat/>
    <w:uiPriority w:val="0"/>
    <w:pPr>
      <w:spacing w:after="120"/>
      <w:ind w:left="420" w:leftChars="200"/>
    </w:pPr>
  </w:style>
  <w:style w:type="paragraph" w:styleId="8">
    <w:name w:val="Body Text First Indent 2"/>
    <w:basedOn w:val="7"/>
    <w:qFormat/>
    <w:uiPriority w:val="0"/>
    <w:pPr>
      <w:spacing w:after="0" w:line="400" w:lineRule="atLeast"/>
      <w:ind w:left="210" w:leftChars="0" w:firstLine="420" w:firstLineChars="200"/>
    </w:pPr>
    <w:rPr>
      <w:rFonts w:ascii="Times New Roman"/>
      <w:sz w:val="20"/>
      <w:szCs w:val="24"/>
    </w:rPr>
  </w:style>
  <w:style w:type="character" w:customStyle="1" w:styleId="11">
    <w:name w:val="NormalCharacter"/>
    <w:qFormat/>
    <w:uiPriority w:val="0"/>
  </w:style>
  <w:style w:type="paragraph" w:customStyle="1" w:styleId="12">
    <w:name w:val="正文缩进1"/>
    <w:basedOn w:val="1"/>
    <w:qFormat/>
    <w:uiPriority w:val="0"/>
    <w:pPr>
      <w:spacing w:line="360" w:lineRule="auto"/>
      <w:ind w:firstLine="200" w:firstLineChars="200"/>
      <w:jc w:val="left"/>
    </w:pPr>
    <w:rPr>
      <w:rFonts w:ascii="Times New Roman" w:hAnsi="Times New Roman" w:eastAsia="宋体" w:cs="Calibri"/>
      <w:sz w:val="24"/>
      <w:szCs w:val="24"/>
    </w:rPr>
  </w:style>
  <w:style w:type="character" w:customStyle="1" w:styleId="13">
    <w:name w:val="font01"/>
    <w:basedOn w:val="10"/>
    <w:uiPriority w:val="0"/>
    <w:rPr>
      <w:rFonts w:hint="eastAsia" w:ascii="宋体" w:hAnsi="宋体" w:eastAsia="宋体" w:cs="宋体"/>
      <w:color w:val="000000"/>
      <w:sz w:val="22"/>
      <w:szCs w:val="22"/>
      <w:u w:val="none"/>
    </w:rPr>
  </w:style>
  <w:style w:type="character" w:customStyle="1" w:styleId="14">
    <w:name w:val="font31"/>
    <w:basedOn w:val="10"/>
    <w:uiPriority w:val="0"/>
    <w:rPr>
      <w:rFonts w:ascii="宋体" w:hAnsi="宋体" w:eastAsia="宋体" w:cs="宋体"/>
      <w:color w:val="000000"/>
      <w:sz w:val="22"/>
      <w:szCs w:val="22"/>
      <w:u w:val="none"/>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6514</Words>
  <Characters>6816</Characters>
  <Lines>0</Lines>
  <Paragraphs>0</Paragraphs>
  <TotalTime>15</TotalTime>
  <ScaleCrop>false</ScaleCrop>
  <LinksUpToDate>false</LinksUpToDate>
  <CharactersWithSpaces>7130</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2026-03-23T08:34:21Z</dcterms:created>
  <dc:creator>user</dc:creator>
  <cp:lastModifiedBy>肖倩</cp:lastModifiedBy>
  <dcterms:modified xsi:type="dcterms:W3CDTF">2026-04-13T06:27:54Z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KSOTemplateDocerSaveRecord">
    <vt:lpwstr>eyJoZGlkIjoiZjdmOGIwOTBmMjllZjMzMGZkMjEzNmZmMTA4MmQ0NGQiLCJ1c2VySWQiOiIzNTIwODA2OTUifQ==</vt:lpwstr>
  </property>
  <property fmtid="{D5CDD505-2E9C-101B-9397-08002B2CF9AE}" pid="4" name="ICV">
    <vt:lpwstr>238FF28F82B04A768CB4BDC95B004CD3_13</vt:lpwstr>
  </property>
</Properties>
</file>