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FE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_Toc217446030"/>
      <w:bookmarkStart w:id="1" w:name="_Toc183682338"/>
      <w:bookmarkStart w:id="800" w:name="_GoBack"/>
      <w:bookmarkEnd w:id="800"/>
      <w:r>
        <w:drawing>
          <wp:anchor distT="0" distB="0" distL="114300" distR="114300" simplePos="0" relativeHeight="251659264" behindDoc="0" locked="0" layoutInCell="1" allowOverlap="1">
            <wp:simplePos x="0" y="0"/>
            <wp:positionH relativeFrom="column">
              <wp:posOffset>-135890</wp:posOffset>
            </wp:positionH>
            <wp:positionV relativeFrom="paragraph">
              <wp:posOffset>13335</wp:posOffset>
            </wp:positionV>
            <wp:extent cx="6029325" cy="8538845"/>
            <wp:effectExtent l="0" t="0" r="952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4"/>
                    <a:stretch>
                      <a:fillRect/>
                    </a:stretch>
                  </pic:blipFill>
                  <pic:spPr>
                    <a:xfrm>
                      <a:off x="0" y="0"/>
                      <a:ext cx="6029325" cy="8538845"/>
                    </a:xfrm>
                    <a:prstGeom prst="rect">
                      <a:avLst/>
                    </a:prstGeom>
                    <a:noFill/>
                    <a:ln>
                      <a:noFill/>
                    </a:ln>
                  </pic:spPr>
                </pic:pic>
              </a:graphicData>
            </a:graphic>
          </wp:anchor>
        </w:drawing>
      </w:r>
    </w:p>
    <w:p w14:paraId="698ABE64">
      <w:pPr>
        <w:spacing w:line="240" w:lineRule="auto"/>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rPr>
        <w:t>采购项目编号：ZYCCG-2024-020</w:t>
      </w:r>
    </w:p>
    <w:p w14:paraId="721CCE1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sz w:val="24"/>
          <w:szCs w:val="24"/>
        </w:rPr>
      </w:pPr>
    </w:p>
    <w:p w14:paraId="662ECF7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sz w:val="24"/>
          <w:szCs w:val="24"/>
        </w:rPr>
      </w:pPr>
    </w:p>
    <w:p w14:paraId="15A7CF0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宝鸡市陈仓区渭河中游段绿化管护卫生保洁及设施管理项目</w:t>
      </w:r>
    </w:p>
    <w:p w14:paraId="6EF32A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4"/>
          <w:szCs w:val="24"/>
        </w:rPr>
      </w:pPr>
    </w:p>
    <w:p w14:paraId="24C68C20">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szCs w:val="24"/>
          <w:lang w:val="en-US" w:eastAsia="zh-CN"/>
        </w:rPr>
      </w:pPr>
    </w:p>
    <w:p w14:paraId="6527C8BF">
      <w:pPr>
        <w:rPr>
          <w:rFonts w:hint="eastAsia" w:ascii="宋体" w:hAnsi="宋体" w:eastAsia="宋体" w:cs="宋体"/>
          <w:sz w:val="24"/>
          <w:szCs w:val="24"/>
        </w:rPr>
      </w:pPr>
    </w:p>
    <w:p w14:paraId="1685F9BF">
      <w:pPr>
        <w:pStyle w:val="2"/>
        <w:rPr>
          <w:rFonts w:hint="eastAsia" w:ascii="宋体" w:hAnsi="宋体" w:eastAsia="宋体" w:cs="宋体"/>
          <w:sz w:val="24"/>
          <w:szCs w:val="24"/>
        </w:rPr>
      </w:pPr>
    </w:p>
    <w:p w14:paraId="0AB40EDC">
      <w:pPr>
        <w:rPr>
          <w:rFonts w:hint="eastAsia" w:ascii="宋体" w:hAnsi="宋体" w:eastAsia="宋体" w:cs="宋体"/>
          <w:sz w:val="24"/>
          <w:szCs w:val="24"/>
        </w:rPr>
      </w:pPr>
    </w:p>
    <w:p w14:paraId="4B0F5E58">
      <w:pPr>
        <w:pStyle w:val="2"/>
        <w:keepNext/>
        <w:keepLines/>
        <w:pageBreakBefore w:val="0"/>
        <w:widowControl w:val="0"/>
        <w:kinsoku/>
        <w:wordWrap/>
        <w:overflowPunct/>
        <w:topLinePunct w:val="0"/>
        <w:autoSpaceDE/>
        <w:autoSpaceDN/>
        <w:bidi w:val="0"/>
        <w:adjustRightInd/>
        <w:snapToGrid/>
        <w:spacing w:before="240" w:after="240" w:line="480" w:lineRule="auto"/>
        <w:textAlignment w:val="auto"/>
        <w:rPr>
          <w:rFonts w:hint="eastAsia"/>
          <w:sz w:val="24"/>
          <w:szCs w:val="24"/>
        </w:rPr>
      </w:pPr>
    </w:p>
    <w:p w14:paraId="131744CD">
      <w:pPr>
        <w:rPr>
          <w:rFonts w:hint="eastAsia"/>
          <w:sz w:val="21"/>
          <w:szCs w:val="20"/>
        </w:rPr>
      </w:pPr>
    </w:p>
    <w:p w14:paraId="700614C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84"/>
          <w:szCs w:val="84"/>
        </w:rPr>
      </w:pPr>
      <w:r>
        <w:rPr>
          <w:rFonts w:hint="eastAsia" w:ascii="宋体" w:hAnsi="宋体" w:eastAsia="宋体" w:cs="宋体"/>
          <w:b/>
          <w:sz w:val="60"/>
          <w:szCs w:val="60"/>
          <w:lang w:eastAsia="zh-CN"/>
        </w:rPr>
        <w:t>公开招标</w:t>
      </w:r>
      <w:r>
        <w:rPr>
          <w:rFonts w:hint="eastAsia" w:ascii="宋体" w:hAnsi="宋体" w:eastAsia="宋体" w:cs="宋体"/>
          <w:b/>
          <w:sz w:val="60"/>
          <w:szCs w:val="60"/>
        </w:rPr>
        <w:t>文件</w:t>
      </w:r>
    </w:p>
    <w:p w14:paraId="7313AF1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kern w:val="1"/>
          <w:sz w:val="84"/>
          <w:lang w:eastAsia="zh-CN"/>
        </w:rPr>
      </w:pPr>
    </w:p>
    <w:p w14:paraId="32A3956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32"/>
          <w:szCs w:val="32"/>
        </w:rPr>
      </w:pPr>
    </w:p>
    <w:p w14:paraId="34F1FEF4">
      <w:pPr>
        <w:pStyle w:val="13"/>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4"/>
          <w:szCs w:val="24"/>
        </w:rPr>
      </w:pPr>
    </w:p>
    <w:p w14:paraId="75BB1C26">
      <w:pPr>
        <w:pStyle w:val="13"/>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4"/>
          <w:szCs w:val="24"/>
        </w:rPr>
      </w:pPr>
    </w:p>
    <w:p w14:paraId="6D245645">
      <w:pPr>
        <w:pStyle w:val="13"/>
        <w:adjustRightInd w:val="0"/>
        <w:snapToGrid w:val="0"/>
        <w:spacing w:line="240" w:lineRule="auto"/>
        <w:rPr>
          <w:rFonts w:hint="eastAsia" w:ascii="宋体" w:hAnsi="宋体" w:eastAsia="宋体" w:cs="宋体"/>
          <w:sz w:val="24"/>
          <w:szCs w:val="24"/>
        </w:rPr>
      </w:pPr>
    </w:p>
    <w:p w14:paraId="313314A9">
      <w:pPr>
        <w:pStyle w:val="13"/>
        <w:adjustRightInd w:val="0"/>
        <w:snapToGrid w:val="0"/>
        <w:spacing w:line="240" w:lineRule="auto"/>
        <w:rPr>
          <w:rFonts w:hint="eastAsia" w:ascii="宋体" w:hAnsi="宋体" w:eastAsia="宋体" w:cs="宋体"/>
          <w:sz w:val="24"/>
          <w:szCs w:val="24"/>
        </w:rPr>
      </w:pPr>
    </w:p>
    <w:p w14:paraId="2AE6A607">
      <w:pPr>
        <w:pStyle w:val="13"/>
        <w:adjustRightInd w:val="0"/>
        <w:snapToGrid w:val="0"/>
        <w:spacing w:line="240" w:lineRule="auto"/>
        <w:rPr>
          <w:rFonts w:hint="eastAsia" w:ascii="宋体" w:hAnsi="宋体" w:eastAsia="宋体" w:cs="宋体"/>
          <w:sz w:val="24"/>
          <w:szCs w:val="24"/>
        </w:rPr>
      </w:pPr>
    </w:p>
    <w:p w14:paraId="052EB04F">
      <w:pPr>
        <w:pStyle w:val="13"/>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4"/>
          <w:szCs w:val="24"/>
        </w:rPr>
      </w:pPr>
    </w:p>
    <w:p w14:paraId="4A13F993">
      <w:pPr>
        <w:pStyle w:val="13"/>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sz w:val="24"/>
          <w:szCs w:val="24"/>
        </w:rPr>
      </w:pPr>
    </w:p>
    <w:p w14:paraId="146AD7D9">
      <w:pPr>
        <w:pStyle w:val="13"/>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4"/>
          <w:szCs w:val="24"/>
        </w:rPr>
      </w:pPr>
    </w:p>
    <w:p w14:paraId="441AB6B1">
      <w:pPr>
        <w:pStyle w:val="13"/>
        <w:keepNext w:val="0"/>
        <w:keepLines w:val="0"/>
        <w:pageBreakBefore w:val="0"/>
        <w:widowControl w:val="0"/>
        <w:kinsoku/>
        <w:wordWrap/>
        <w:overflowPunct/>
        <w:topLinePunct w:val="0"/>
        <w:autoSpaceDE/>
        <w:autoSpaceDN/>
        <w:bidi w:val="0"/>
        <w:adjustRightInd w:val="0"/>
        <w:snapToGrid w:val="0"/>
        <w:spacing w:line="840" w:lineRule="auto"/>
        <w:jc w:val="center"/>
        <w:textAlignment w:val="auto"/>
        <w:rPr>
          <w:rFonts w:hint="default" w:ascii="宋体" w:hAnsi="宋体" w:eastAsia="宋体" w:cs="宋体"/>
          <w:b/>
          <w:bCs/>
          <w:sz w:val="28"/>
          <w:szCs w:val="28"/>
          <w:u w:val="single"/>
          <w:lang w:val="en-US" w:eastAsia="zh-CN"/>
        </w:rPr>
      </w:pPr>
      <w:r>
        <w:rPr>
          <w:rFonts w:hint="eastAsia" w:hAnsi="宋体" w:eastAsia="宋体" w:cs="宋体"/>
          <w:b/>
          <w:bCs/>
          <w:sz w:val="28"/>
          <w:szCs w:val="28"/>
          <w:lang w:val="en-US" w:eastAsia="zh-CN"/>
        </w:rPr>
        <w:t>采购人：</w:t>
      </w:r>
      <w:r>
        <w:rPr>
          <w:rFonts w:hint="eastAsia" w:hAnsi="宋体" w:eastAsia="宋体" w:cs="宋体"/>
          <w:b/>
          <w:bCs/>
          <w:sz w:val="28"/>
          <w:szCs w:val="28"/>
          <w:u w:val="single"/>
          <w:lang w:val="en-US" w:eastAsia="zh-CN"/>
        </w:rPr>
        <w:t xml:space="preserve"> 宝鸡市陈仓区渭河综合治理保护中心 </w:t>
      </w:r>
      <w:r>
        <w:rPr>
          <w:rFonts w:hint="eastAsia" w:ascii="宋体" w:hAnsi="宋体" w:eastAsia="宋体" w:cs="宋体"/>
          <w:b/>
          <w:bCs/>
          <w:sz w:val="28"/>
          <w:szCs w:val="28"/>
          <w:lang w:val="zh-CN"/>
        </w:rPr>
        <w:t>（盖单位章）</w:t>
      </w:r>
    </w:p>
    <w:p w14:paraId="26177F96">
      <w:pPr>
        <w:pStyle w:val="13"/>
        <w:keepNext w:val="0"/>
        <w:keepLines w:val="0"/>
        <w:pageBreakBefore w:val="0"/>
        <w:widowControl w:val="0"/>
        <w:kinsoku/>
        <w:wordWrap/>
        <w:overflowPunct/>
        <w:topLinePunct w:val="0"/>
        <w:autoSpaceDE/>
        <w:autoSpaceDN/>
        <w:bidi w:val="0"/>
        <w:adjustRightInd w:val="0"/>
        <w:snapToGrid w:val="0"/>
        <w:spacing w:line="528"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采购代理机构：</w:t>
      </w:r>
      <w:r>
        <w:rPr>
          <w:rFonts w:hint="eastAsia" w:hAnsi="宋体" w:eastAsia="宋体" w:cs="宋体"/>
          <w:b/>
          <w:bCs/>
          <w:sz w:val="28"/>
          <w:szCs w:val="28"/>
          <w:u w:val="single"/>
          <w:lang w:val="en-US" w:eastAsia="zh-CN"/>
        </w:rPr>
        <w:t xml:space="preserve"> </w:t>
      </w:r>
      <w:r>
        <w:rPr>
          <w:rFonts w:hint="eastAsia" w:hAnsi="宋体" w:eastAsia="宋体" w:cs="宋体"/>
          <w:b/>
          <w:bCs/>
          <w:sz w:val="28"/>
          <w:szCs w:val="28"/>
          <w:u w:val="single"/>
          <w:lang w:val="zh-CN"/>
        </w:rPr>
        <w:t>陕西中耀昌项目管理有限公司</w:t>
      </w:r>
      <w:r>
        <w:rPr>
          <w:rFonts w:hint="eastAsia" w:hAnsi="宋体" w:eastAsia="宋体" w:cs="宋体"/>
          <w:b/>
          <w:bCs/>
          <w:sz w:val="28"/>
          <w:szCs w:val="28"/>
          <w:u w:val="single"/>
          <w:lang w:val="en-US" w:eastAsia="zh-CN"/>
        </w:rPr>
        <w:t xml:space="preserve"> </w:t>
      </w:r>
      <w:r>
        <w:rPr>
          <w:rFonts w:hint="eastAsia" w:ascii="宋体" w:hAnsi="宋体" w:eastAsia="宋体" w:cs="宋体"/>
          <w:b/>
          <w:bCs/>
          <w:sz w:val="28"/>
          <w:szCs w:val="28"/>
          <w:lang w:val="zh-CN"/>
        </w:rPr>
        <w:t>（盖单位章）</w:t>
      </w:r>
    </w:p>
    <w:p w14:paraId="52EC7791">
      <w:pPr>
        <w:spacing w:line="240" w:lineRule="auto"/>
        <w:jc w:val="center"/>
        <w:rPr>
          <w:rFonts w:hint="eastAsia" w:ascii="宋体" w:hAnsi="宋体" w:eastAsia="宋体" w:cs="宋体"/>
          <w:b/>
          <w:bCs/>
          <w:sz w:val="28"/>
          <w:szCs w:val="28"/>
          <w:highlight w:val="none"/>
        </w:rPr>
        <w:sectPr>
          <w:footerReference r:id="rId5" w:type="first"/>
          <w:headerReference r:id="rId3" w:type="default"/>
          <w:footerReference r:id="rId4" w:type="default"/>
          <w:pgSz w:w="11907" w:h="16840"/>
          <w:pgMar w:top="1361" w:right="1417" w:bottom="1361" w:left="1417" w:header="907" w:footer="907" w:gutter="0"/>
          <w:pgBorders>
            <w:top w:val="none" w:sz="0" w:space="0"/>
            <w:left w:val="none" w:sz="0" w:space="0"/>
            <w:bottom w:val="none" w:sz="0" w:space="0"/>
            <w:right w:val="none" w:sz="0" w:space="0"/>
          </w:pgBorders>
          <w:pgNumType w:fmt="decimal" w:start="1"/>
          <w:cols w:space="0" w:num="1"/>
          <w:docGrid w:linePitch="312" w:charSpace="0"/>
        </w:sectPr>
      </w:pPr>
      <w:r>
        <w:rPr>
          <w:rFonts w:hint="eastAsia" w:ascii="宋体" w:hAnsi="宋体" w:eastAsia="宋体" w:cs="宋体"/>
          <w:b/>
          <w:bCs/>
          <w:sz w:val="28"/>
          <w:szCs w:val="28"/>
          <w:lang w:val="zh-CN"/>
        </w:rPr>
        <w:t>二〇二四年</w:t>
      </w:r>
      <w:r>
        <w:rPr>
          <w:rFonts w:hint="eastAsia" w:ascii="宋体" w:hAnsi="宋体" w:eastAsia="宋体" w:cs="宋体"/>
          <w:b/>
          <w:bCs/>
          <w:sz w:val="28"/>
          <w:szCs w:val="28"/>
          <w:lang w:val="zh-CN" w:eastAsia="zh-CN"/>
        </w:rPr>
        <w:t>九</w:t>
      </w:r>
      <w:r>
        <w:rPr>
          <w:rFonts w:hint="eastAsia" w:ascii="宋体" w:hAnsi="宋体" w:eastAsia="宋体" w:cs="宋体"/>
          <w:b/>
          <w:bCs/>
          <w:sz w:val="28"/>
          <w:szCs w:val="28"/>
          <w:lang w:val="zh-CN"/>
        </w:rPr>
        <w:t>月</w:t>
      </w:r>
      <w:bookmarkEnd w:id="0"/>
      <w:bookmarkEnd w:id="1"/>
    </w:p>
    <w:p w14:paraId="6D56A4DF">
      <w:pPr>
        <w:tabs>
          <w:tab w:val="left" w:pos="2775"/>
        </w:tabs>
        <w:spacing w:line="360" w:lineRule="auto"/>
        <w:jc w:val="both"/>
        <w:rPr>
          <w:rFonts w:hint="eastAsia" w:ascii="宋体" w:hAnsi="宋体" w:eastAsia="宋体" w:cs="宋体"/>
          <w:b/>
          <w:sz w:val="36"/>
          <w:szCs w:val="36"/>
          <w:highlight w:val="none"/>
          <w:lang w:val="zh-CN"/>
        </w:rPr>
        <w:sectPr>
          <w:headerReference r:id="rId6" w:type="default"/>
          <w:type w:val="continuous"/>
          <w:pgSz w:w="11907" w:h="16840"/>
          <w:pgMar w:top="1417" w:right="1361" w:bottom="1417" w:left="1361" w:header="907" w:footer="907" w:gutter="0"/>
          <w:pgBorders>
            <w:top w:val="none" w:sz="0" w:space="0"/>
            <w:left w:val="none" w:sz="0" w:space="0"/>
            <w:bottom w:val="none" w:sz="0" w:space="0"/>
            <w:right w:val="none" w:sz="0" w:space="0"/>
          </w:pgBorders>
          <w:pgNumType w:fmt="decimal" w:start="1"/>
          <w:cols w:space="0" w:num="1"/>
          <w:docGrid w:linePitch="312" w:charSpace="0"/>
        </w:sectPr>
      </w:pPr>
    </w:p>
    <w:p w14:paraId="4B68D7EB">
      <w:pPr>
        <w:tabs>
          <w:tab w:val="left" w:pos="2775"/>
        </w:tabs>
        <w:spacing w:line="360" w:lineRule="auto"/>
        <w:jc w:val="center"/>
        <w:rPr>
          <w:rFonts w:hint="eastAsia" w:ascii="宋体" w:hAnsi="宋体" w:eastAsia="宋体" w:cs="宋体"/>
          <w:b/>
          <w:sz w:val="36"/>
          <w:szCs w:val="36"/>
          <w:highlight w:val="none"/>
          <w:lang w:val="zh-CN"/>
        </w:rPr>
      </w:pPr>
      <w:r>
        <w:rPr>
          <w:rFonts w:hint="eastAsia" w:ascii="宋体" w:hAnsi="宋体" w:eastAsia="宋体" w:cs="宋体"/>
          <w:b/>
          <w:sz w:val="36"/>
          <w:szCs w:val="36"/>
          <w:highlight w:val="none"/>
          <w:lang w:val="zh-CN"/>
        </w:rPr>
        <w:t>目</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lang w:val="zh-CN"/>
        </w:rPr>
        <w:t xml:space="preserve"> 录</w:t>
      </w:r>
    </w:p>
    <w:p w14:paraId="3D404E77">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TOC \o "1-3" \h \z \u </w:instrText>
      </w:r>
      <w:r>
        <w:rPr>
          <w:rFonts w:hint="eastAsia" w:ascii="宋体" w:hAnsi="宋体" w:eastAsia="宋体" w:cs="宋体"/>
          <w:b/>
          <w:bCs/>
          <w:sz w:val="24"/>
          <w:szCs w:val="24"/>
          <w:highlight w:val="none"/>
        </w:rPr>
        <w:fldChar w:fldCharType="separate"/>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_Toc22361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lang w:eastAsia="zh-CN"/>
        </w:rPr>
        <w:t>第一章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69AC4437">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_Toc5120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lang w:eastAsia="zh-CN"/>
        </w:rPr>
        <w:t>第二章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46BF553A">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_Toc17313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lang w:eastAsia="zh-CN"/>
        </w:rPr>
        <w:t>第三章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52D9F2BE">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_Toc13808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lang w:val="en-US" w:eastAsia="zh-CN"/>
        </w:rPr>
        <w:t>第四章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_Toc13808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1761F45D">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_Toc25690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lang w:eastAsia="zh-CN"/>
        </w:rPr>
        <w:t>第五章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0DD8FF26">
      <w:pPr>
        <w:pStyle w:val="16"/>
        <w:tabs>
          <w:tab w:val="right" w:leader="dot" w:pos="9073"/>
        </w:tabs>
        <w:spacing w:line="480" w:lineRule="auto"/>
        <w:rPr>
          <w:rFonts w:hint="eastAsia" w:ascii="宋体" w:hAnsi="宋体" w:eastAsia="宋体" w:cs="宋体"/>
          <w:sz w:val="24"/>
          <w:szCs w:val="24"/>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_Toc17836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lang w:val="en-US" w:eastAsia="zh-CN"/>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sz w:val="24"/>
          <w:szCs w:val="24"/>
          <w:highlight w:val="none"/>
        </w:rPr>
        <w:fldChar w:fldCharType="end"/>
      </w:r>
    </w:p>
    <w:p w14:paraId="51DC8D7C">
      <w:pPr>
        <w:pStyle w:val="16"/>
        <w:tabs>
          <w:tab w:val="right" w:leader="dot" w:pos="9073"/>
        </w:tabs>
        <w:spacing w:line="480" w:lineRule="auto"/>
        <w:rPr>
          <w:rFonts w:hint="eastAsia" w:ascii="宋体" w:hAnsi="宋体" w:eastAsia="宋体" w:cs="宋体"/>
          <w:sz w:val="24"/>
          <w:szCs w:val="24"/>
        </w:rPr>
      </w:pPr>
    </w:p>
    <w:p w14:paraId="0187723E">
      <w:pPr>
        <w:pStyle w:val="16"/>
        <w:keepNext w:val="0"/>
        <w:keepLines w:val="0"/>
        <w:pageBreakBefore w:val="0"/>
        <w:widowControl w:val="0"/>
        <w:tabs>
          <w:tab w:val="right" w:leader="dot" w:pos="9073"/>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sectPr>
          <w:footerReference r:id="rId7" w:type="default"/>
          <w:pgSz w:w="11907" w:h="16840"/>
          <w:pgMar w:top="1361" w:right="1417" w:bottom="1361" w:left="1417" w:header="907" w:footer="907" w:gutter="0"/>
          <w:pgBorders>
            <w:top w:val="none" w:sz="0" w:space="0"/>
            <w:left w:val="none" w:sz="0" w:space="0"/>
            <w:bottom w:val="none" w:sz="0" w:space="0"/>
            <w:right w:val="none" w:sz="0" w:space="0"/>
          </w:pgBorders>
          <w:pgNumType w:fmt="decimal" w:start="1"/>
          <w:cols w:space="0" w:num="1"/>
          <w:docGrid w:linePitch="312" w:charSpace="0"/>
        </w:sectPr>
      </w:pPr>
      <w:r>
        <w:rPr>
          <w:rFonts w:hint="eastAsia" w:ascii="宋体" w:hAnsi="宋体" w:eastAsia="宋体" w:cs="宋体"/>
          <w:bCs/>
          <w:sz w:val="24"/>
          <w:szCs w:val="24"/>
          <w:highlight w:val="none"/>
        </w:rPr>
        <w:fldChar w:fldCharType="end"/>
      </w:r>
    </w:p>
    <w:p w14:paraId="622E437B">
      <w:pPr>
        <w:pStyle w:val="3"/>
        <w:keepNext/>
        <w:keepLines/>
        <w:pageBreakBefore w:val="0"/>
        <w:widowControl w:val="0"/>
        <w:numPr>
          <w:ilvl w:val="0"/>
          <w:numId w:val="0"/>
        </w:numPr>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sz w:val="30"/>
          <w:szCs w:val="30"/>
          <w:highlight w:val="none"/>
        </w:rPr>
      </w:pPr>
      <w:bookmarkStart w:id="2" w:name="_Toc458617729"/>
      <w:bookmarkStart w:id="3" w:name="_Toc10409"/>
      <w:bookmarkStart w:id="4" w:name="_Toc22361"/>
      <w:bookmarkStart w:id="5" w:name="_Toc9549"/>
      <w:bookmarkStart w:id="6" w:name="_Toc30185"/>
      <w:bookmarkStart w:id="7" w:name="_Toc19866"/>
      <w:bookmarkStart w:id="8" w:name="_Toc458617452"/>
      <w:r>
        <w:rPr>
          <w:rFonts w:hint="eastAsia" w:ascii="宋体" w:hAnsi="宋体" w:eastAsia="宋体" w:cs="宋体"/>
          <w:sz w:val="30"/>
          <w:szCs w:val="30"/>
          <w:highlight w:val="none"/>
          <w:lang w:eastAsia="zh-CN"/>
        </w:rPr>
        <w:t>第一章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招标公告</w:t>
      </w:r>
      <w:bookmarkEnd w:id="2"/>
      <w:bookmarkEnd w:id="3"/>
      <w:bookmarkEnd w:id="4"/>
      <w:bookmarkEnd w:id="5"/>
      <w:bookmarkEnd w:id="6"/>
      <w:bookmarkEnd w:id="7"/>
      <w:bookmarkEnd w:id="8"/>
    </w:p>
    <w:p w14:paraId="56098C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line="360" w:lineRule="auto"/>
        <w:ind w:left="-240" w:leftChars="-100" w:right="-334" w:rightChars="-139" w:firstLine="159" w:firstLineChars="66"/>
        <w:jc w:val="center"/>
        <w:textAlignment w:val="auto"/>
        <w:rPr>
          <w:rFonts w:hint="eastAsia" w:ascii="宋体" w:hAnsi="宋体" w:eastAsia="宋体" w:cs="宋体"/>
          <w:b/>
          <w:bCs/>
          <w:i w:val="0"/>
          <w:iCs w:val="0"/>
          <w:caps w:val="0"/>
          <w:color w:val="auto"/>
          <w:spacing w:val="0"/>
          <w:sz w:val="24"/>
          <w:szCs w:val="24"/>
          <w:highlight w:val="none"/>
        </w:rPr>
      </w:pPr>
      <w:bookmarkStart w:id="9" w:name="_Toc23940"/>
      <w:bookmarkStart w:id="10" w:name="_Toc22528"/>
      <w:bookmarkStart w:id="11" w:name="_Toc26895"/>
      <w:bookmarkStart w:id="12" w:name="_Toc458617453"/>
      <w:bookmarkStart w:id="13" w:name="_Toc458617730"/>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宝鸡市陈仓区渭河中游段绿化管护卫生保洁及设施管理项目招标公告</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14:paraId="79C6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076" w:type="dxa"/>
            <w:noWrap w:val="0"/>
            <w:vAlign w:val="center"/>
          </w:tcPr>
          <w:p w14:paraId="4AD36D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项目概况</w:t>
            </w:r>
          </w:p>
          <w:p w14:paraId="2FC598C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Style w:val="27"/>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宝鸡市陈仓区渭河中游段绿化管护卫生保洁及设施管理项目招标项目</w:t>
            </w:r>
            <w:r>
              <w:rPr>
                <w:rFonts w:hint="eastAsia" w:ascii="宋体" w:hAnsi="宋体" w:eastAsia="宋体" w:cs="宋体"/>
                <w:i w:val="0"/>
                <w:iCs w:val="0"/>
                <w:caps w:val="0"/>
                <w:color w:val="auto"/>
                <w:spacing w:val="0"/>
                <w:sz w:val="24"/>
                <w:szCs w:val="24"/>
                <w:highlight w:val="none"/>
                <w:shd w:val="clear" w:color="auto" w:fill="FFFFFF"/>
              </w:rPr>
              <w:t>的潜在投标人应在</w:t>
            </w:r>
            <w:r>
              <w:rPr>
                <w:rFonts w:hint="eastAsia" w:ascii="宋体" w:hAnsi="宋体" w:eastAsia="宋体" w:cs="宋体"/>
                <w:sz w:val="24"/>
                <w:szCs w:val="24"/>
                <w:highlight w:val="none"/>
                <w:lang w:val="en-US" w:eastAsia="zh-CN"/>
              </w:rPr>
              <w:t>【全国公共资源交易平台（陕西省·宝鸡市）宝鸡市公共资源交易中心】</w:t>
            </w:r>
            <w:r>
              <w:rPr>
                <w:rFonts w:hint="eastAsia" w:ascii="宋体" w:hAnsi="宋体" w:eastAsia="宋体" w:cs="宋体"/>
                <w:i w:val="0"/>
                <w:iCs w:val="0"/>
                <w:caps w:val="0"/>
                <w:color w:val="auto"/>
                <w:spacing w:val="0"/>
                <w:sz w:val="24"/>
                <w:szCs w:val="24"/>
                <w:highlight w:val="none"/>
                <w:shd w:val="clear" w:color="auto" w:fill="FFFFFF"/>
              </w:rPr>
              <w:t>自行下载招标文件，并于</w:t>
            </w:r>
            <w:r>
              <w:rPr>
                <w:rFonts w:hint="eastAsia" w:ascii="宋体" w:hAnsi="宋体" w:eastAsia="宋体" w:cs="宋体"/>
                <w:i w:val="0"/>
                <w:iCs w:val="0"/>
                <w:caps w:val="0"/>
                <w:color w:val="auto"/>
                <w:spacing w:val="0"/>
                <w:sz w:val="24"/>
                <w:szCs w:val="24"/>
                <w:highlight w:val="none"/>
                <w:shd w:val="clear" w:color="auto" w:fill="FFFFFF"/>
                <w:lang w:val="en-US" w:eastAsia="zh-CN"/>
              </w:rPr>
              <w:t>2024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日 09时00分（北京时间）前递交投标文件。</w:t>
            </w:r>
          </w:p>
        </w:tc>
      </w:tr>
    </w:tbl>
    <w:p w14:paraId="6EEE7E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一、项目基本情况</w:t>
      </w:r>
    </w:p>
    <w:p w14:paraId="2A2F3D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项目编号：ZYCCG-2024-020</w:t>
      </w:r>
    </w:p>
    <w:p w14:paraId="74F41D3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项目名称：</w:t>
      </w: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宝鸡市陈仓区渭河中游段绿化管护卫生保洁及设施管理项目</w:t>
      </w:r>
    </w:p>
    <w:p w14:paraId="020463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采购方式：公开招标</w:t>
      </w:r>
    </w:p>
    <w:p w14:paraId="6D8739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预算金额：</w:t>
      </w:r>
      <w:r>
        <w:rPr>
          <w:rFonts w:hint="eastAsia" w:ascii="宋体" w:hAnsi="宋体" w:eastAsia="宋体" w:cs="宋体"/>
          <w:i w:val="0"/>
          <w:iCs w:val="0"/>
          <w:caps w:val="0"/>
          <w:color w:val="auto"/>
          <w:spacing w:val="0"/>
          <w:sz w:val="24"/>
          <w:szCs w:val="24"/>
          <w:highlight w:val="none"/>
          <w:shd w:val="clear" w:color="auto" w:fill="FFFFFF"/>
          <w:lang w:val="en-US" w:eastAsia="zh-CN"/>
        </w:rPr>
        <w:t>2400000.00</w:t>
      </w:r>
      <w:r>
        <w:rPr>
          <w:rFonts w:hint="eastAsia" w:ascii="宋体" w:hAnsi="宋体" w:eastAsia="宋体" w:cs="宋体"/>
          <w:i w:val="0"/>
          <w:iCs w:val="0"/>
          <w:caps w:val="0"/>
          <w:color w:val="auto"/>
          <w:spacing w:val="0"/>
          <w:sz w:val="24"/>
          <w:szCs w:val="24"/>
          <w:highlight w:val="none"/>
          <w:shd w:val="clear" w:color="auto" w:fill="FFFFFF"/>
        </w:rPr>
        <w:t>元</w:t>
      </w:r>
    </w:p>
    <w:p w14:paraId="3EC814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采购需求：</w:t>
      </w:r>
    </w:p>
    <w:p w14:paraId="0783A1B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宝鸡市陈仓区渭河中游段绿化管护卫生保洁及设施管理项目</w:t>
      </w:r>
      <w:r>
        <w:rPr>
          <w:rFonts w:hint="eastAsia" w:ascii="宋体" w:hAnsi="宋体" w:eastAsia="宋体" w:cs="宋体"/>
          <w:i w:val="0"/>
          <w:iCs w:val="0"/>
          <w:caps w:val="0"/>
          <w:color w:val="auto"/>
          <w:spacing w:val="0"/>
          <w:sz w:val="24"/>
          <w:szCs w:val="24"/>
          <w:highlight w:val="none"/>
          <w:shd w:val="clear" w:color="auto" w:fill="FFFFFF"/>
        </w:rPr>
        <w:t>):</w:t>
      </w:r>
    </w:p>
    <w:p w14:paraId="0A8991A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合同包预算金额：</w:t>
      </w:r>
      <w:r>
        <w:rPr>
          <w:rFonts w:hint="eastAsia" w:ascii="宋体" w:hAnsi="宋体" w:eastAsia="宋体" w:cs="宋体"/>
          <w:i w:val="0"/>
          <w:iCs w:val="0"/>
          <w:caps w:val="0"/>
          <w:color w:val="auto"/>
          <w:spacing w:val="0"/>
          <w:sz w:val="24"/>
          <w:szCs w:val="24"/>
          <w:highlight w:val="none"/>
          <w:shd w:val="clear" w:color="auto" w:fill="FFFFFF"/>
          <w:lang w:val="en-US" w:eastAsia="zh-CN"/>
        </w:rPr>
        <w:t>2400000.00</w:t>
      </w:r>
      <w:r>
        <w:rPr>
          <w:rFonts w:hint="eastAsia" w:ascii="宋体" w:hAnsi="宋体" w:eastAsia="宋体" w:cs="宋体"/>
          <w:i w:val="0"/>
          <w:iCs w:val="0"/>
          <w:caps w:val="0"/>
          <w:color w:val="auto"/>
          <w:spacing w:val="0"/>
          <w:sz w:val="24"/>
          <w:szCs w:val="24"/>
          <w:highlight w:val="none"/>
          <w:shd w:val="clear" w:color="auto" w:fill="FFFFFF"/>
        </w:rPr>
        <w:t>元</w:t>
      </w:r>
    </w:p>
    <w:p w14:paraId="0B9D1A4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合同包最高限价：</w:t>
      </w:r>
      <w:r>
        <w:rPr>
          <w:rFonts w:hint="eastAsia" w:ascii="宋体" w:hAnsi="宋体" w:eastAsia="宋体" w:cs="宋体"/>
          <w:i w:val="0"/>
          <w:iCs w:val="0"/>
          <w:caps w:val="0"/>
          <w:color w:val="auto"/>
          <w:spacing w:val="0"/>
          <w:sz w:val="24"/>
          <w:szCs w:val="24"/>
          <w:highlight w:val="none"/>
          <w:shd w:val="clear" w:color="auto" w:fill="FFFFFF"/>
          <w:lang w:val="en-US" w:eastAsia="zh-CN"/>
        </w:rPr>
        <w:t>2400000.00</w:t>
      </w:r>
      <w:r>
        <w:rPr>
          <w:rFonts w:hint="eastAsia" w:ascii="宋体" w:hAnsi="宋体" w:eastAsia="宋体" w:cs="宋体"/>
          <w:i w:val="0"/>
          <w:iCs w:val="0"/>
          <w:caps w:val="0"/>
          <w:color w:val="auto"/>
          <w:spacing w:val="0"/>
          <w:sz w:val="24"/>
          <w:szCs w:val="24"/>
          <w:highlight w:val="none"/>
          <w:shd w:val="clear" w:color="auto" w:fill="FFFFFF"/>
        </w:rPr>
        <w:t>元</w:t>
      </w:r>
    </w:p>
    <w:tbl>
      <w:tblPr>
        <w:tblStyle w:val="24"/>
        <w:tblW w:w="926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
        <w:gridCol w:w="1120"/>
        <w:gridCol w:w="2143"/>
        <w:gridCol w:w="1036"/>
        <w:gridCol w:w="1431"/>
        <w:gridCol w:w="1309"/>
        <w:gridCol w:w="1342"/>
      </w:tblGrid>
      <w:tr w14:paraId="20731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4" w:hRule="atLeast"/>
          <w:tblHeader/>
          <w:jc w:val="center"/>
        </w:trPr>
        <w:tc>
          <w:tcPr>
            <w:tcW w:w="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DAB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E057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4CF4F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10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A2B7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BF1CFD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（单位）</w:t>
            </w:r>
          </w:p>
        </w:tc>
        <w:tc>
          <w:tcPr>
            <w:tcW w:w="14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EDE6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E478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C998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25BF84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9" w:hRule="atLeast"/>
          <w:jc w:val="center"/>
        </w:trPr>
        <w:tc>
          <w:tcPr>
            <w:tcW w:w="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942EF6">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kern w:val="0"/>
                <w:sz w:val="21"/>
                <w:szCs w:val="21"/>
                <w:highlight w:val="none"/>
                <w:lang w:bidi="ar"/>
              </w:rPr>
              <w:t>1-1</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A853B9">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园林绿化管理服务</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9753F8">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宝鸡市陈仓区渭河中游段绿化管护卫生保洁及设施管理服务</w:t>
            </w:r>
          </w:p>
        </w:tc>
        <w:tc>
          <w:tcPr>
            <w:tcW w:w="10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D63BF2">
            <w:pPr>
              <w:keepNext w:val="0"/>
              <w:keepLines w:val="0"/>
              <w:suppressLineNumbers w:val="0"/>
              <w:wordWrap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kern w:val="0"/>
                <w:sz w:val="21"/>
                <w:szCs w:val="21"/>
                <w:highlight w:val="none"/>
                <w:lang w:bidi="ar"/>
              </w:rPr>
              <w:t>1项</w:t>
            </w:r>
          </w:p>
        </w:tc>
        <w:tc>
          <w:tcPr>
            <w:tcW w:w="14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1D372F">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kern w:val="0"/>
                <w:sz w:val="21"/>
                <w:szCs w:val="21"/>
                <w:highlight w:val="none"/>
                <w:lang w:bidi="ar"/>
              </w:rPr>
              <w:t>详见采购文件</w:t>
            </w:r>
          </w:p>
        </w:tc>
        <w:tc>
          <w:tcPr>
            <w:tcW w:w="13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CF8E14">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sz w:val="21"/>
                <w:szCs w:val="21"/>
                <w:highlight w:val="none"/>
                <w:shd w:val="clear" w:color="auto" w:fill="FFFFFF"/>
              </w:rPr>
              <w:t>2400000.00</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E95DC7">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sz w:val="21"/>
                <w:szCs w:val="21"/>
                <w:highlight w:val="none"/>
                <w:shd w:val="clear" w:color="auto" w:fill="FFFFFF"/>
              </w:rPr>
              <w:t>2400000.00</w:t>
            </w:r>
          </w:p>
        </w:tc>
      </w:tr>
    </w:tbl>
    <w:p w14:paraId="506C6F9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本合同包不接受联合体投标</w:t>
      </w:r>
    </w:p>
    <w:p w14:paraId="643900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cs="宋体"/>
          <w:color w:val="auto"/>
          <w:szCs w:val="24"/>
          <w:highlight w:val="none"/>
          <w:shd w:val="clear" w:color="auto" w:fill="FFFFFF"/>
        </w:rPr>
        <w:t>合同履行期限：合同签订之日起一年，可连续三年。</w:t>
      </w:r>
    </w:p>
    <w:p w14:paraId="470F80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5FD98AE7">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1.满足《中华人民共和国政府采购法》第二十二条规定;</w:t>
      </w:r>
    </w:p>
    <w:p w14:paraId="1AECD72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2.落实政府采购政策需满足的资格要求：</w:t>
      </w:r>
    </w:p>
    <w:p w14:paraId="34634D1F">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宝鸡市陈仓区渭河中游段绿化管护卫生保洁及设施管理项目</w:t>
      </w:r>
      <w:r>
        <w:rPr>
          <w:rFonts w:hint="eastAsia" w:ascii="宋体" w:hAnsi="宋体" w:eastAsia="宋体" w:cs="宋体"/>
          <w:i w:val="0"/>
          <w:iCs w:val="0"/>
          <w:caps w:val="0"/>
          <w:color w:val="auto"/>
          <w:spacing w:val="0"/>
          <w:sz w:val="24"/>
          <w:szCs w:val="24"/>
          <w:highlight w:val="none"/>
          <w:shd w:val="clear" w:color="auto" w:fill="FFFFFF"/>
        </w:rPr>
        <w:t>)落实政府采购政策需满足的资格要求如下:</w:t>
      </w:r>
    </w:p>
    <w:p w14:paraId="58A22DD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（1）《财政部、司法部关于政府采购支持监狱企业发展有关问题的通知》（财库[2014]68号）；</w:t>
      </w:r>
    </w:p>
    <w:p w14:paraId="579E78EA">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（2）《三部门联合发布关于促进残疾人就业政府采购政策的通知》（财库[2017]141号）；</w:t>
      </w:r>
    </w:p>
    <w:p w14:paraId="58EC251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（3）《政府采购促进中小企业发展管理办法》（财库[2020]46号）；</w:t>
      </w:r>
    </w:p>
    <w:p w14:paraId="258C0F93">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（4）《关于进一步加大政府采购支持中小企业力度的通知》（财库〔2022〕19号）；</w:t>
      </w:r>
    </w:p>
    <w:p w14:paraId="456AFBCE">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（5）宝鸡市财政局关于中、省《进一步加大政府采购支持中小企业力度的通知》落实措施的通知（宝市财办采（2022）9号）；</w:t>
      </w:r>
    </w:p>
    <w:p w14:paraId="0C9FD3E6">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（6）《陕西省财政厅关于落实政府采购支持中小企业政策有关事项的通知》（陕财办采函〔2022〕10号）；</w:t>
      </w:r>
    </w:p>
    <w:p w14:paraId="4DC26226">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（7）《关于进一步落实政府采购支持中小企业相关政策的通知》（陕财办采（2023)3号）；</w:t>
      </w:r>
    </w:p>
    <w:p w14:paraId="68E5BF06">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（8）《节能产品政府采购实施意见》（财库[2004]185号）； </w:t>
      </w:r>
    </w:p>
    <w:p w14:paraId="14077771">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（9）《环境标志产品政府采购实施的意见》（财库[2006]90号）；</w:t>
      </w:r>
    </w:p>
    <w:p w14:paraId="41ED651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（10）《国务院办公厅关于建立政府强制采购节能产品制度的通知》（国办发〔2007〕51号）；</w:t>
      </w:r>
    </w:p>
    <w:p w14:paraId="58A6C7EB">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（11）《财政部 发展改革委 生态环境部 市场监管总局关于调整优化节能产品、环境标志产品政府采购执行机制的通知》（财库[2019]9号）；</w:t>
      </w:r>
    </w:p>
    <w:p w14:paraId="60DB71B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（12）《市场监督总局关于发布参与实施政府采购节能产品、环境标志产品认证机构名录的公告》—2019年第16号；</w:t>
      </w:r>
    </w:p>
    <w:p w14:paraId="3EFFD4C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（13）《关于运用政府采购政策支持脱贫攻坚的通知》--财库[2019]27号；</w:t>
      </w:r>
    </w:p>
    <w:p w14:paraId="33886711">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（14）《关于运用政府采购政策支持乡村产业振兴的通知》（财库〔2021〕19号）； </w:t>
      </w:r>
    </w:p>
    <w:p w14:paraId="18D75F11">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（15）陕西省财政厅关于印发《陕西省中小企业政府采购信用融资办法》（陕财办采[2018]23号）；</w:t>
      </w:r>
    </w:p>
    <w:p w14:paraId="5A8C5A8B">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（16）《陕西省财政厅关于加快推进我省中小企业政府采购信用融资工作的通知》（陕财办采〔2020〕15号）；</w:t>
      </w:r>
    </w:p>
    <w:p w14:paraId="4A27DB74">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（17）《陕西省财政厅关于进一步优化政府采购营商环境有关事项的通知》（陕财办采〔2023〕4号）；</w:t>
      </w:r>
    </w:p>
    <w:p w14:paraId="7D5194CB">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（18）其他需要落实的政府采购政策。</w:t>
      </w:r>
    </w:p>
    <w:p w14:paraId="54A556D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3.本项目的特定资格要求：</w:t>
      </w:r>
    </w:p>
    <w:p w14:paraId="30EB2CC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宝鸡市陈仓区渭河中游段绿化管护卫生保洁及设施管理项目</w:t>
      </w:r>
      <w:r>
        <w:rPr>
          <w:rFonts w:hint="eastAsia" w:ascii="宋体" w:hAnsi="宋体" w:eastAsia="宋体" w:cs="宋体"/>
          <w:i w:val="0"/>
          <w:iCs w:val="0"/>
          <w:caps w:val="0"/>
          <w:color w:val="auto"/>
          <w:spacing w:val="0"/>
          <w:sz w:val="24"/>
          <w:szCs w:val="24"/>
          <w:highlight w:val="none"/>
          <w:shd w:val="clear" w:color="auto" w:fill="FFFFFF"/>
        </w:rPr>
        <w:t>)特定资格要求如下:</w:t>
      </w:r>
    </w:p>
    <w:p w14:paraId="52BE44F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highlight w:val="none"/>
          <w:shd w:val="clear" w:color="auto" w:fill="FFFFFF"/>
          <w:lang w:val="en-US" w:eastAsia="zh-CN"/>
        </w:rPr>
        <w:t>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w:t>
      </w:r>
    </w:p>
    <w:p w14:paraId="4D5F821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0"/>
          <w:sz w:val="24"/>
          <w:szCs w:val="24"/>
          <w:shd w:val="clear" w:fill="FFFFFF"/>
          <w:lang w:val="en-US" w:eastAsia="zh-CN" w:bidi="ar-SA"/>
        </w:rPr>
        <w:t>（2）</w:t>
      </w:r>
      <w:r>
        <w:rPr>
          <w:rFonts w:hint="eastAsia" w:ascii="宋体" w:hAnsi="宋体" w:cs="宋体"/>
          <w:kern w:val="0"/>
          <w:sz w:val="24"/>
          <w:szCs w:val="24"/>
          <w:highlight w:val="none"/>
          <w:lang w:val="en-US" w:eastAsia="zh-CN"/>
        </w:rPr>
        <w:t>供应商须</w:t>
      </w:r>
      <w:r>
        <w:rPr>
          <w:rFonts w:hint="eastAsia" w:ascii="宋体" w:hAnsi="宋体" w:eastAsia="宋体" w:cs="宋体"/>
          <w:kern w:val="0"/>
          <w:sz w:val="24"/>
          <w:szCs w:val="24"/>
          <w:highlight w:val="none"/>
        </w:rPr>
        <w:t>具备</w:t>
      </w:r>
      <w:r>
        <w:rPr>
          <w:rFonts w:hint="eastAsia" w:ascii="宋体" w:hAnsi="宋体" w:cs="宋体"/>
          <w:kern w:val="0"/>
          <w:sz w:val="24"/>
          <w:szCs w:val="24"/>
          <w:highlight w:val="none"/>
          <w:lang w:eastAsia="zh-CN"/>
        </w:rPr>
        <w:t>有效的市政公用</w:t>
      </w:r>
      <w:r>
        <w:rPr>
          <w:rFonts w:hint="eastAsia" w:ascii="宋体" w:hAnsi="宋体" w:cs="宋体"/>
          <w:color w:val="auto"/>
          <w:kern w:val="0"/>
          <w:sz w:val="24"/>
          <w:szCs w:val="24"/>
          <w:highlight w:val="none"/>
          <w:lang w:eastAsia="zh-CN"/>
        </w:rPr>
        <w:t>工程施工总承包三级</w:t>
      </w:r>
      <w:r>
        <w:rPr>
          <w:rFonts w:hint="eastAsia" w:ascii="宋体" w:hAnsi="宋体" w:cs="宋体"/>
          <w:color w:val="auto"/>
          <w:kern w:val="0"/>
          <w:sz w:val="24"/>
          <w:szCs w:val="24"/>
          <w:highlight w:val="none"/>
          <w:lang w:val="en-US" w:eastAsia="zh-CN"/>
        </w:rPr>
        <w:t>（含</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lang w:val="en-US" w:eastAsia="zh-CN"/>
        </w:rPr>
        <w:t>级）及以上</w:t>
      </w:r>
      <w:r>
        <w:rPr>
          <w:rFonts w:hint="eastAsia" w:ascii="宋体" w:hAnsi="宋体" w:cs="宋体"/>
          <w:color w:val="auto"/>
          <w:kern w:val="0"/>
          <w:sz w:val="24"/>
          <w:szCs w:val="24"/>
          <w:highlight w:val="none"/>
          <w:lang w:eastAsia="zh-CN"/>
        </w:rPr>
        <w:t>资质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有效</w:t>
      </w:r>
      <w:r>
        <w:rPr>
          <w:rFonts w:hint="eastAsia" w:ascii="宋体" w:hAnsi="宋体" w:eastAsia="宋体" w:cs="宋体"/>
          <w:color w:val="auto"/>
          <w:kern w:val="0"/>
          <w:sz w:val="24"/>
          <w:szCs w:val="24"/>
          <w:highlight w:val="none"/>
        </w:rPr>
        <w:t>的安全生产许可证</w:t>
      </w:r>
      <w:r>
        <w:rPr>
          <w:rFonts w:hint="eastAsia" w:ascii="宋体" w:hAnsi="宋体" w:eastAsia="宋体" w:cs="宋体"/>
          <w:color w:val="auto"/>
          <w:kern w:val="0"/>
          <w:sz w:val="24"/>
          <w:szCs w:val="24"/>
          <w:highlight w:val="none"/>
          <w:lang w:eastAsia="zh-CN"/>
        </w:rPr>
        <w:t>。</w:t>
      </w:r>
    </w:p>
    <w:p w14:paraId="4B0D3B7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i w:val="0"/>
          <w:iCs w:val="0"/>
          <w:caps w:val="0"/>
          <w:color w:val="auto"/>
          <w:spacing w:val="0"/>
          <w:sz w:val="24"/>
          <w:szCs w:val="24"/>
          <w:highlight w:val="none"/>
          <w:shd w:val="clear" w:color="auto" w:fill="FFFFFF"/>
        </w:rPr>
        <w:t>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14:paraId="28D6DD24">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i w:val="0"/>
          <w:iCs w:val="0"/>
          <w:caps w:val="0"/>
          <w:color w:val="auto"/>
          <w:spacing w:val="0"/>
          <w:sz w:val="24"/>
          <w:szCs w:val="24"/>
          <w:highlight w:val="none"/>
          <w:shd w:val="clear" w:color="auto" w:fill="FFFFFF"/>
        </w:rPr>
        <w:t>财务状况报告：供应商须提供20</w:t>
      </w:r>
      <w:r>
        <w:rPr>
          <w:rFonts w:hint="eastAsia" w:ascii="宋体" w:hAnsi="宋体" w:eastAsia="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年度经会计师事务所或审计机构审计的</w:t>
      </w:r>
      <w:r>
        <w:rPr>
          <w:rFonts w:hint="eastAsia" w:ascii="宋体" w:hAnsi="宋体" w:eastAsia="宋体" w:cs="宋体"/>
          <w:i w:val="0"/>
          <w:iCs w:val="0"/>
          <w:caps w:val="0"/>
          <w:color w:val="auto"/>
          <w:spacing w:val="0"/>
          <w:sz w:val="24"/>
          <w:szCs w:val="24"/>
          <w:highlight w:val="none"/>
          <w:shd w:val="clear" w:color="auto" w:fill="FFFFFF"/>
          <w:lang w:val="en-US" w:eastAsia="zh-CN"/>
        </w:rPr>
        <w:t>财务会计报表（包括资产负债表、现金流量表、利润表（损益表）和财务报表附注等</w:t>
      </w:r>
      <w:r>
        <w:rPr>
          <w:rFonts w:hint="eastAsia" w:ascii="宋体" w:hAnsi="宋体" w:eastAsia="宋体" w:cs="宋体"/>
          <w:i w:val="0"/>
          <w:iCs w:val="0"/>
          <w:caps w:val="0"/>
          <w:color w:val="auto"/>
          <w:spacing w:val="0"/>
          <w:sz w:val="24"/>
          <w:szCs w:val="24"/>
          <w:highlight w:val="none"/>
          <w:shd w:val="clear" w:color="auto" w:fill="FFFFFF"/>
        </w:rPr>
        <w:t>，成立时间至提交响应文件截止时间不足一年的可提供成立后任意时段的资产负债表）或其基本存款账户开户银行出具的资信证明。其他组织和自然人提供银行出具的资信证明；</w:t>
      </w:r>
    </w:p>
    <w:p w14:paraId="7DCC0B3F">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i w:val="0"/>
          <w:iCs w:val="0"/>
          <w:caps w:val="0"/>
          <w:color w:val="auto"/>
          <w:spacing w:val="0"/>
          <w:sz w:val="24"/>
          <w:szCs w:val="24"/>
          <w:highlight w:val="none"/>
          <w:shd w:val="clear" w:color="auto" w:fill="FFFFFF"/>
        </w:rPr>
        <w:t>社会保障资金缴纳证明：供应商须提供参加本次政府采购活动20</w:t>
      </w:r>
      <w:r>
        <w:rPr>
          <w:rFonts w:hint="eastAsia" w:ascii="宋体" w:hAnsi="宋体" w:eastAsia="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p w14:paraId="607F2A0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i w:val="0"/>
          <w:iCs w:val="0"/>
          <w:caps w:val="0"/>
          <w:color w:val="auto"/>
          <w:spacing w:val="0"/>
          <w:sz w:val="24"/>
          <w:szCs w:val="24"/>
          <w:highlight w:val="none"/>
          <w:shd w:val="clear" w:color="auto" w:fill="FFFFFF"/>
        </w:rPr>
        <w:t>税收缴纳证明：供应商须提供参加本次政府采购活动20</w:t>
      </w:r>
      <w:r>
        <w:rPr>
          <w:rFonts w:hint="eastAsia" w:ascii="宋体" w:hAnsi="宋体" w:eastAsia="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月至今本单位已缴纳的至少六个月的纳税证明或完税证明（依法免税的单位应提供相关证明材料）；</w:t>
      </w:r>
    </w:p>
    <w:p w14:paraId="0D77D26F">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i w:val="0"/>
          <w:iCs w:val="0"/>
          <w:caps w:val="0"/>
          <w:color w:val="auto"/>
          <w:spacing w:val="0"/>
          <w:sz w:val="24"/>
          <w:szCs w:val="24"/>
          <w:highlight w:val="none"/>
          <w:shd w:val="clear" w:color="auto" w:fill="FFFFFF"/>
        </w:rPr>
        <w:t>供应商提供参加本次政府采购活动前3年内，在经营活动中没有重大违法记录的书面声明；</w:t>
      </w:r>
    </w:p>
    <w:p w14:paraId="1F490C5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i w:val="0"/>
          <w:iCs w:val="0"/>
          <w:caps w:val="0"/>
          <w:color w:val="auto"/>
          <w:spacing w:val="0"/>
          <w:sz w:val="24"/>
          <w:szCs w:val="24"/>
          <w:highlight w:val="none"/>
          <w:shd w:val="clear" w:color="auto" w:fill="FFFFFF"/>
        </w:rPr>
        <w:t>供应商提供具有履行合同所必需的设备和专业技术能力的承诺函；</w:t>
      </w:r>
    </w:p>
    <w:p w14:paraId="0997D2BD">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i w:val="0"/>
          <w:iCs w:val="0"/>
          <w:caps w:val="0"/>
          <w:color w:val="auto"/>
          <w:spacing w:val="0"/>
          <w:sz w:val="24"/>
          <w:szCs w:val="24"/>
          <w:highlight w:val="none"/>
          <w:shd w:val="clear" w:color="auto" w:fill="FFFFFF"/>
        </w:rPr>
        <w:t>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w:t>
      </w:r>
    </w:p>
    <w:p w14:paraId="3425B12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i w:val="0"/>
          <w:iCs w:val="0"/>
          <w:caps w:val="0"/>
          <w:color w:val="auto"/>
          <w:spacing w:val="0"/>
          <w:sz w:val="24"/>
          <w:szCs w:val="24"/>
          <w:highlight w:val="none"/>
          <w:shd w:val="clear" w:color="auto" w:fill="FFFFFF"/>
        </w:rPr>
        <w:t>单位负责人为同一人或者存在直接控股、管理关系的不同供应商，不得同时参加同一合同项下的政府采购活动；</w:t>
      </w:r>
    </w:p>
    <w:p w14:paraId="22381AE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华文楷体"/>
          <w:color w:val="auto"/>
          <w:sz w:val="24"/>
          <w:szCs w:val="24"/>
          <w:highlight w:val="none"/>
          <w:lang w:val="en-US" w:eastAsia="zh-CN"/>
        </w:rPr>
        <w:t>（11）本项目专门面向中小企业采购（供应商应为中小微企业或监狱企业或残疾人福利性单位），提供《中小企业声明函》或《残疾人福利性单位声明函》或《监狱企业证明文件》；</w:t>
      </w:r>
    </w:p>
    <w:p w14:paraId="49A45BEF">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SA"/>
        </w:rPr>
        <w:t>（12）</w:t>
      </w:r>
      <w:r>
        <w:rPr>
          <w:rFonts w:hint="eastAsia" w:ascii="宋体" w:hAnsi="宋体" w:eastAsia="宋体" w:cs="宋体"/>
          <w:i w:val="0"/>
          <w:iCs w:val="0"/>
          <w:caps w:val="0"/>
          <w:color w:val="auto"/>
          <w:spacing w:val="0"/>
          <w:sz w:val="24"/>
          <w:szCs w:val="24"/>
          <w:highlight w:val="none"/>
          <w:shd w:val="clear" w:color="auto" w:fill="FFFFFF"/>
        </w:rPr>
        <w:t>本项目不接受联合体投标。</w:t>
      </w:r>
    </w:p>
    <w:p w14:paraId="4C8D72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三、获取招标文件</w:t>
      </w:r>
    </w:p>
    <w:p w14:paraId="5E13C60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w:t>
      </w:r>
      <w:r>
        <w:rPr>
          <w:rFonts w:hint="eastAsia" w:ascii="宋体" w:hAnsi="宋体" w:eastAsia="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25</w:t>
      </w:r>
      <w:r>
        <w:rPr>
          <w:rFonts w:hint="eastAsia" w:ascii="宋体" w:hAnsi="宋体" w:eastAsia="宋体" w:cs="宋体"/>
          <w:i w:val="0"/>
          <w:iCs w:val="0"/>
          <w:caps w:val="0"/>
          <w:color w:val="auto"/>
          <w:spacing w:val="0"/>
          <w:sz w:val="24"/>
          <w:szCs w:val="24"/>
          <w:highlight w:val="none"/>
          <w:shd w:val="clear" w:color="auto" w:fill="FFFFFF"/>
        </w:rPr>
        <w:t>日至20</w:t>
      </w:r>
      <w:r>
        <w:rPr>
          <w:rFonts w:hint="eastAsia" w:ascii="宋体" w:hAnsi="宋体" w:eastAsia="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rPr>
        <w:t>日，每天上午09:00:00至12:00:00，下午14:00:00至17:00:00（北京时间）</w:t>
      </w:r>
    </w:p>
    <w:p w14:paraId="273C5AF9">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途径：【全国公共资源交易平台（陕西省·宝鸡市）宝鸡市公共资源交易中心】自行下载</w:t>
      </w:r>
    </w:p>
    <w:p w14:paraId="255CDDA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方式：在线获取</w:t>
      </w:r>
    </w:p>
    <w:p w14:paraId="7631ACBE">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售价：0元</w:t>
      </w:r>
    </w:p>
    <w:p w14:paraId="5EFF8D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四、提交投标文件截止时间、开标时间和地点</w:t>
      </w:r>
    </w:p>
    <w:p w14:paraId="408F0D4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w:t>
      </w:r>
      <w:r>
        <w:rPr>
          <w:rFonts w:hint="eastAsia" w:ascii="宋体" w:hAnsi="宋体" w:eastAsia="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日09时00分00秒（北京时间）</w:t>
      </w:r>
    </w:p>
    <w:p w14:paraId="1A20AE9B">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提交投标文件地点：【全国公共资源交易平台（陕西省·宝鸡市）宝鸡市公共资源交易中心】平台线上提交</w:t>
      </w:r>
    </w:p>
    <w:p w14:paraId="08F5E80B">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开标地点：</w:t>
      </w:r>
      <w:r>
        <w:rPr>
          <w:rFonts w:hint="eastAsia" w:ascii="宋体" w:hAnsi="宋体" w:eastAsia="宋体" w:cs="宋体"/>
          <w:i w:val="0"/>
          <w:iCs w:val="0"/>
          <w:caps w:val="0"/>
          <w:color w:val="auto"/>
          <w:spacing w:val="0"/>
          <w:sz w:val="24"/>
          <w:szCs w:val="24"/>
          <w:highlight w:val="none"/>
          <w:shd w:val="clear" w:color="auto" w:fill="FFFFFF"/>
          <w:lang w:val="en-US" w:eastAsia="zh-CN"/>
        </w:rPr>
        <w:t>宝鸡市公共资源交易中心五楼第8开标室</w:t>
      </w:r>
    </w:p>
    <w:p w14:paraId="0BCD80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五、公告期限</w:t>
      </w:r>
    </w:p>
    <w:p w14:paraId="594113F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自本公告发布之日起5个工作日。</w:t>
      </w:r>
    </w:p>
    <w:p w14:paraId="49C7D8B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六、其他补充事宜</w:t>
      </w:r>
    </w:p>
    <w:p w14:paraId="6BE76BE5">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1、请供应商按照陕西省财政厅关于政府采购供应商注册登记有关事项的通知中的要求，通过《陕西省政府采购网》注册登记加入陕西省政府采购供应商库并及时办理CA数字证书（陕西CA锁）；</w:t>
      </w:r>
    </w:p>
    <w:p w14:paraId="16A994E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2、本项目有意向供应商</w:t>
      </w:r>
      <w:r>
        <w:rPr>
          <w:rFonts w:hint="eastAsia" w:ascii="宋体" w:hAnsi="宋体" w:eastAsia="宋体" w:cs="宋体"/>
          <w:i w:val="0"/>
          <w:iCs w:val="0"/>
          <w:caps w:val="0"/>
          <w:color w:val="auto"/>
          <w:spacing w:val="0"/>
          <w:sz w:val="24"/>
          <w:szCs w:val="24"/>
          <w:highlight w:val="none"/>
          <w:shd w:val="clear" w:color="auto" w:fill="FFFFFF"/>
          <w:lang w:eastAsia="zh-CN"/>
        </w:rPr>
        <w:t>在获取采购文件时间内，</w:t>
      </w:r>
      <w:r>
        <w:rPr>
          <w:rFonts w:hint="eastAsia" w:ascii="宋体" w:hAnsi="宋体" w:eastAsia="宋体" w:cs="宋体"/>
          <w:i w:val="0"/>
          <w:iCs w:val="0"/>
          <w:caps w:val="0"/>
          <w:color w:val="auto"/>
          <w:spacing w:val="0"/>
          <w:sz w:val="24"/>
          <w:szCs w:val="24"/>
          <w:highlight w:val="none"/>
          <w:shd w:val="clear" w:color="auto" w:fill="FFFFFF"/>
        </w:rPr>
        <w:t>使用捆绑CA证书在【全国公共资源交易平台（陕西省·宝鸡市）宝鸡市公共资源交易中心】〖首页〉电子交易平台〉陕西政府采购交易系统〉企业端〗进行登录，登录后选择“交易乙方”身份在〖招标公告/出让公告〗模块中选择本项目点击“我要投标”进行项目确认，确认成功后即可从〖我的项目〉项目流程〉交易文件下载〗中下载电子招标文件（*.SXSZF 格式），逾期下载通道将关闭，未及时下载招标文件导致的任何后果请供应商自行负责；</w:t>
      </w:r>
    </w:p>
    <w:p w14:paraId="2FC31A1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3.供应商在网上填写的单位信息（单位名称、营业执照相关信息）应与招标文件要求及后期上传的电子投标文件中的相关信息一致，否则造成资格审查不通过的后果供应商自负；</w:t>
      </w:r>
    </w:p>
    <w:p w14:paraId="7F558CC5">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4、未完成网上投标或未在规定时间内在平台上下载电子招标文件的，导致无法完成后续流程的责任自负；</w:t>
      </w:r>
    </w:p>
    <w:p w14:paraId="1E6ED12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5、本项目采用不见面开标方式，各供应商可登录【全国公共资源交易平台（陕西省·宝鸡市）宝鸡市公共资源交易中心】下载《政府采购电子标书制作工具》、《政府采购投标单位操作手册》和《宝鸡市不见面大厅供应商操作手册》按照流程制作电子标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并在投标截止时间前上传电子投标文件。为了保证远程不见面开标顺利进行，供应商需使用配备相关设备的电脑提前一小时登录网络开标大厅进行线上签到。因供应商自身设施故障或自身原因导致无法完成投标的，由供应商自行承担后果。</w:t>
      </w:r>
    </w:p>
    <w:p w14:paraId="23D1839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七、对本次招标提出询问，请按以下方式联系。</w:t>
      </w:r>
    </w:p>
    <w:p w14:paraId="02C86FD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1.采购人信息</w:t>
      </w:r>
    </w:p>
    <w:p w14:paraId="22D43F5E">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w:t>
      </w:r>
      <w:r>
        <w:rPr>
          <w:rFonts w:hint="eastAsia" w:ascii="宋体" w:hAnsi="宋体" w:eastAsia="宋体" w:cs="宋体"/>
          <w:i w:val="0"/>
          <w:iCs w:val="0"/>
          <w:caps w:val="0"/>
          <w:color w:val="auto"/>
          <w:spacing w:val="0"/>
          <w:sz w:val="24"/>
          <w:szCs w:val="24"/>
          <w:highlight w:val="none"/>
          <w:shd w:val="clear" w:color="auto" w:fill="FFFFFF"/>
          <w:lang w:val="en-US" w:eastAsia="zh-CN"/>
        </w:rPr>
        <w:t>宝鸡市陈仓区渭河综合治理保护中心</w:t>
      </w:r>
    </w:p>
    <w:p w14:paraId="570DFFA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地址：宝鸡市陈仓区南环路45号</w:t>
      </w:r>
    </w:p>
    <w:p w14:paraId="6F60D8E7">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联系方式：</w:t>
      </w:r>
      <w:r>
        <w:rPr>
          <w:rFonts w:hint="eastAsia" w:ascii="宋体" w:hAnsi="宋体" w:eastAsia="宋体" w:cs="宋体"/>
          <w:b w:val="0"/>
          <w:bCs/>
          <w:sz w:val="24"/>
          <w:szCs w:val="24"/>
          <w:highlight w:val="none"/>
        </w:rPr>
        <w:t>0917-</w:t>
      </w:r>
      <w:r>
        <w:rPr>
          <w:rFonts w:hint="eastAsia" w:ascii="宋体" w:hAnsi="宋体" w:eastAsia="宋体" w:cs="宋体"/>
          <w:b w:val="0"/>
          <w:bCs/>
          <w:sz w:val="24"/>
          <w:szCs w:val="24"/>
          <w:highlight w:val="none"/>
          <w:lang w:val="en-US" w:eastAsia="zh-CN"/>
        </w:rPr>
        <w:t>6216609</w:t>
      </w:r>
    </w:p>
    <w:p w14:paraId="47333F0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2.采购代理机构信息</w:t>
      </w:r>
    </w:p>
    <w:p w14:paraId="3788599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w:t>
      </w:r>
      <w:r>
        <w:rPr>
          <w:rFonts w:hint="eastAsia" w:ascii="宋体" w:hAnsi="宋体" w:cs="华文楷体"/>
          <w:sz w:val="24"/>
          <w:szCs w:val="24"/>
          <w:highlight w:val="none"/>
          <w:lang w:val="zh-CN"/>
        </w:rPr>
        <w:t>陕西中耀昌项目管理有限公司</w:t>
      </w:r>
    </w:p>
    <w:p w14:paraId="1111E3EB">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地址：宝鸡市高新四路星钻国际A座1202室</w:t>
      </w:r>
    </w:p>
    <w:p w14:paraId="7F519196">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联系方式：</w:t>
      </w:r>
      <w:r>
        <w:rPr>
          <w:rFonts w:hint="eastAsia" w:ascii="宋体" w:hAnsi="宋体" w:eastAsia="宋体" w:cs="宋体"/>
          <w:i w:val="0"/>
          <w:iCs w:val="0"/>
          <w:caps w:val="0"/>
          <w:color w:val="auto"/>
          <w:spacing w:val="0"/>
          <w:sz w:val="24"/>
          <w:szCs w:val="24"/>
          <w:highlight w:val="none"/>
          <w:shd w:val="clear" w:color="auto" w:fill="FFFFFF"/>
          <w:lang w:val="en-US" w:eastAsia="zh-CN"/>
        </w:rPr>
        <w:t>18991742412</w:t>
      </w:r>
    </w:p>
    <w:p w14:paraId="7C4FD8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3.项目联系方式</w:t>
      </w:r>
    </w:p>
    <w:p w14:paraId="5C79D8EB">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项目联系人：</w:t>
      </w:r>
      <w:r>
        <w:rPr>
          <w:rFonts w:hint="eastAsia" w:ascii="宋体" w:hAnsi="宋体" w:eastAsia="宋体" w:cs="宋体"/>
          <w:i w:val="0"/>
          <w:iCs w:val="0"/>
          <w:caps w:val="0"/>
          <w:color w:val="auto"/>
          <w:spacing w:val="0"/>
          <w:sz w:val="24"/>
          <w:szCs w:val="24"/>
          <w:highlight w:val="none"/>
          <w:shd w:val="clear" w:color="auto" w:fill="FFFFFF"/>
          <w:lang w:eastAsia="zh-CN"/>
        </w:rPr>
        <w:t>袁青青</w:t>
      </w:r>
    </w:p>
    <w:p w14:paraId="22C6214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电话：</w:t>
      </w:r>
      <w:r>
        <w:rPr>
          <w:rFonts w:hint="eastAsia" w:ascii="宋体" w:hAnsi="宋体" w:eastAsia="宋体" w:cs="宋体"/>
          <w:i w:val="0"/>
          <w:iCs w:val="0"/>
          <w:caps w:val="0"/>
          <w:color w:val="auto"/>
          <w:spacing w:val="0"/>
          <w:sz w:val="24"/>
          <w:szCs w:val="24"/>
          <w:highlight w:val="none"/>
          <w:shd w:val="clear" w:color="auto" w:fill="FFFFFF"/>
          <w:lang w:val="en-US" w:eastAsia="zh-CN"/>
        </w:rPr>
        <w:t>18991742412</w:t>
      </w:r>
    </w:p>
    <w:p w14:paraId="57088F47">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2"/>
        <w:jc w:val="both"/>
        <w:textAlignment w:val="auto"/>
        <w:rPr>
          <w:rFonts w:hint="eastAsia" w:ascii="宋体" w:hAnsi="宋体" w:eastAsia="宋体" w:cs="宋体"/>
          <w:i w:val="0"/>
          <w:iCs w:val="0"/>
          <w:caps w:val="0"/>
          <w:color w:val="auto"/>
          <w:spacing w:val="0"/>
          <w:sz w:val="24"/>
          <w:szCs w:val="24"/>
          <w:highlight w:val="none"/>
          <w:shd w:val="clear" w:color="auto" w:fill="FFFFFF"/>
        </w:rPr>
      </w:pPr>
    </w:p>
    <w:p w14:paraId="5E5C50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华文楷体"/>
          <w:sz w:val="24"/>
          <w:szCs w:val="24"/>
          <w:highlight w:val="none"/>
          <w:lang w:val="zh-CN"/>
        </w:rPr>
        <w:t>陕西中耀昌项目管理有限公司</w:t>
      </w:r>
    </w:p>
    <w:p w14:paraId="3D4AC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line="360" w:lineRule="auto"/>
        <w:ind w:left="-240" w:leftChars="-100" w:right="-334" w:rightChars="-139" w:firstLine="158" w:firstLineChars="66"/>
        <w:jc w:val="center"/>
        <w:textAlignment w:val="auto"/>
        <w:rPr>
          <w:rFonts w:hint="eastAsia" w:ascii="宋体" w:hAnsi="宋体" w:eastAsia="宋体" w:cs="宋体"/>
          <w:b/>
          <w:bCs/>
          <w:i w:val="0"/>
          <w:iCs w:val="0"/>
          <w:caps w:val="0"/>
          <w:color w:val="auto"/>
          <w:spacing w:val="0"/>
          <w:sz w:val="28"/>
          <w:szCs w:val="28"/>
          <w:highlight w:val="yellow"/>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2024年09月24日</w:t>
      </w:r>
      <w:bookmarkEnd w:id="9"/>
    </w:p>
    <w:p w14:paraId="0BEB703F">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sectPr>
          <w:footerReference r:id="rId10" w:type="first"/>
          <w:headerReference r:id="rId8" w:type="default"/>
          <w:footerReference r:id="rId9" w:type="default"/>
          <w:pgSz w:w="11907" w:h="16840"/>
          <w:pgMar w:top="1361" w:right="1417" w:bottom="1361" w:left="1417" w:header="907" w:footer="907" w:gutter="0"/>
          <w:pgBorders>
            <w:top w:val="none" w:sz="0" w:space="0"/>
            <w:left w:val="none" w:sz="0" w:space="0"/>
            <w:bottom w:val="none" w:sz="0" w:space="0"/>
            <w:right w:val="none" w:sz="0" w:space="0"/>
          </w:pgBorders>
          <w:pgNumType w:fmt="decimal" w:start="1"/>
          <w:cols w:space="0" w:num="1"/>
          <w:titlePg/>
          <w:docGrid w:linePitch="312" w:charSpace="0"/>
        </w:sectPr>
      </w:pPr>
    </w:p>
    <w:p w14:paraId="65FC3694">
      <w:pPr>
        <w:pStyle w:val="3"/>
        <w:keepNext/>
        <w:keepLines/>
        <w:pageBreakBefore w:val="0"/>
        <w:widowControl w:val="0"/>
        <w:numPr>
          <w:ilvl w:val="0"/>
          <w:numId w:val="0"/>
        </w:numPr>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sz w:val="30"/>
          <w:szCs w:val="30"/>
          <w:highlight w:val="none"/>
        </w:rPr>
      </w:pPr>
      <w:bookmarkStart w:id="14" w:name="_Toc5120"/>
      <w:r>
        <w:rPr>
          <w:rFonts w:hint="eastAsia" w:ascii="宋体" w:hAnsi="宋体" w:eastAsia="宋体" w:cs="宋体"/>
          <w:sz w:val="30"/>
          <w:szCs w:val="30"/>
          <w:highlight w:val="none"/>
          <w:lang w:eastAsia="zh-CN"/>
        </w:rPr>
        <w:t>第二章</w:t>
      </w:r>
      <w:r>
        <w:rPr>
          <w:rFonts w:hint="eastAsia" w:ascii="宋体" w:hAnsi="宋体" w:eastAsia="宋体" w:cs="宋体"/>
          <w:sz w:val="30"/>
          <w:szCs w:val="30"/>
          <w:highlight w:val="none"/>
        </w:rPr>
        <w:t xml:space="preserve"> </w:t>
      </w:r>
      <w:r>
        <w:rPr>
          <w:rFonts w:hint="eastAsia" w:ascii="宋体" w:hAnsi="宋体" w:eastAsia="宋体" w:cs="宋体"/>
          <w:sz w:val="30"/>
          <w:szCs w:val="30"/>
          <w:highlight w:val="none"/>
          <w:lang w:eastAsia="zh-CN"/>
        </w:rPr>
        <w:t>供应商</w:t>
      </w:r>
      <w:r>
        <w:rPr>
          <w:rFonts w:hint="eastAsia" w:ascii="宋体" w:hAnsi="宋体" w:eastAsia="宋体" w:cs="宋体"/>
          <w:sz w:val="30"/>
          <w:szCs w:val="30"/>
          <w:highlight w:val="none"/>
        </w:rPr>
        <w:t>须知</w:t>
      </w:r>
      <w:bookmarkEnd w:id="10"/>
      <w:bookmarkEnd w:id="11"/>
      <w:bookmarkEnd w:id="12"/>
      <w:bookmarkEnd w:id="13"/>
      <w:bookmarkEnd w:id="14"/>
    </w:p>
    <w:p w14:paraId="4D61CE98">
      <w:pPr>
        <w:pStyle w:val="2"/>
        <w:keepNext/>
        <w:keepLines/>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szCs w:val="28"/>
          <w:highlight w:val="none"/>
        </w:rPr>
      </w:pPr>
      <w:bookmarkStart w:id="15" w:name="_Toc458617454"/>
      <w:bookmarkStart w:id="16" w:name="_Toc19775"/>
      <w:bookmarkStart w:id="17" w:name="_Toc22933"/>
      <w:bookmarkStart w:id="18" w:name="_Toc15082"/>
      <w:bookmarkStart w:id="19" w:name="_Toc24820"/>
      <w:bookmarkStart w:id="20" w:name="_Toc16045"/>
      <w:bookmarkStart w:id="21" w:name="_Toc458617731"/>
      <w:bookmarkStart w:id="22" w:name="_Toc30543"/>
      <w:bookmarkStart w:id="23" w:name="_Toc16167"/>
      <w:bookmarkStart w:id="24" w:name="_Toc13187"/>
      <w:bookmarkStart w:id="25" w:name="_Toc6969"/>
      <w:bookmarkStart w:id="26" w:name="_Toc19037"/>
      <w:bookmarkStart w:id="27" w:name="_Toc22136"/>
      <w:bookmarkStart w:id="28" w:name="_Toc6796"/>
      <w:r>
        <w:rPr>
          <w:rFonts w:hint="eastAsia" w:ascii="宋体" w:hAnsi="宋体" w:eastAsia="宋体" w:cs="宋体"/>
          <w:szCs w:val="28"/>
          <w:highlight w:val="none"/>
        </w:rPr>
        <w:t>一、</w:t>
      </w:r>
      <w:r>
        <w:rPr>
          <w:rFonts w:hint="eastAsia" w:ascii="宋体" w:hAnsi="宋体" w:eastAsia="宋体" w:cs="宋体"/>
          <w:szCs w:val="28"/>
          <w:highlight w:val="none"/>
          <w:lang w:eastAsia="zh-CN"/>
        </w:rPr>
        <w:t>供应商</w:t>
      </w:r>
      <w:r>
        <w:rPr>
          <w:rFonts w:hint="eastAsia" w:ascii="宋体" w:hAnsi="宋体" w:eastAsia="宋体" w:cs="宋体"/>
          <w:szCs w:val="28"/>
          <w:highlight w:val="none"/>
        </w:rPr>
        <w:t>须知前附表</w:t>
      </w:r>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Style w:val="2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6"/>
        <w:gridCol w:w="6591"/>
      </w:tblGrid>
      <w:tr w14:paraId="3449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9" w:type="dxa"/>
            <w:vAlign w:val="center"/>
          </w:tcPr>
          <w:p w14:paraId="5FD1ADF7">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916" w:type="dxa"/>
            <w:vAlign w:val="center"/>
          </w:tcPr>
          <w:p w14:paraId="35079311">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591" w:type="dxa"/>
            <w:vAlign w:val="center"/>
          </w:tcPr>
          <w:p w14:paraId="7C5C9F5C">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编制内容</w:t>
            </w:r>
          </w:p>
        </w:tc>
      </w:tr>
      <w:tr w14:paraId="3791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09" w:type="dxa"/>
            <w:vAlign w:val="center"/>
          </w:tcPr>
          <w:p w14:paraId="5B7DDE8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6" w:type="dxa"/>
            <w:vAlign w:val="center"/>
          </w:tcPr>
          <w:p w14:paraId="5558293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购</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p>
        </w:tc>
        <w:tc>
          <w:tcPr>
            <w:tcW w:w="6591" w:type="dxa"/>
            <w:vAlign w:val="center"/>
          </w:tcPr>
          <w:p w14:paraId="7EF7E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宝鸡市陈仓区渭河综合治理保护中心</w:t>
            </w:r>
          </w:p>
          <w:p w14:paraId="0AFF1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i w:val="0"/>
                <w:iCs w:val="0"/>
                <w:caps w:val="0"/>
                <w:color w:val="auto"/>
                <w:spacing w:val="0"/>
                <w:sz w:val="24"/>
                <w:szCs w:val="24"/>
                <w:highlight w:val="none"/>
                <w:shd w:val="clear" w:color="auto" w:fill="FFFFFF"/>
              </w:rPr>
              <w:t>宝鸡市陈仓区南环路45号</w:t>
            </w:r>
          </w:p>
          <w:p w14:paraId="0113C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李国平</w:t>
            </w:r>
          </w:p>
          <w:p w14:paraId="7E4DB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b w:val="0"/>
                <w:bCs/>
                <w:sz w:val="24"/>
                <w:szCs w:val="24"/>
                <w:highlight w:val="none"/>
              </w:rPr>
              <w:t>0917-</w:t>
            </w:r>
            <w:r>
              <w:rPr>
                <w:rFonts w:hint="eastAsia" w:ascii="宋体" w:hAnsi="宋体" w:eastAsia="宋体" w:cs="宋体"/>
                <w:b w:val="0"/>
                <w:bCs/>
                <w:sz w:val="24"/>
                <w:szCs w:val="24"/>
                <w:highlight w:val="none"/>
                <w:lang w:val="en-US" w:eastAsia="zh-CN"/>
              </w:rPr>
              <w:t>6216609</w:t>
            </w:r>
          </w:p>
        </w:tc>
      </w:tr>
      <w:tr w14:paraId="693F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09" w:type="dxa"/>
            <w:vAlign w:val="center"/>
          </w:tcPr>
          <w:p w14:paraId="34A6EE4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6" w:type="dxa"/>
            <w:vAlign w:val="center"/>
          </w:tcPr>
          <w:p w14:paraId="68F2F79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591" w:type="dxa"/>
            <w:vAlign w:val="center"/>
          </w:tcPr>
          <w:p w14:paraId="083E7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称：陕西中耀昌项目管理有限公司</w:t>
            </w:r>
          </w:p>
          <w:p w14:paraId="1682B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w:t>
            </w:r>
            <w:r>
              <w:rPr>
                <w:rFonts w:hint="eastAsia" w:ascii="宋体" w:hAnsi="宋体" w:eastAsia="宋体" w:cs="宋体"/>
                <w:i w:val="0"/>
                <w:iCs w:val="0"/>
                <w:caps w:val="0"/>
                <w:color w:val="auto"/>
                <w:spacing w:val="0"/>
                <w:sz w:val="24"/>
                <w:szCs w:val="24"/>
                <w:highlight w:val="none"/>
                <w:shd w:val="clear" w:color="auto" w:fill="FFFFFF"/>
              </w:rPr>
              <w:t>宝鸡市高新四路星钻国际A座1202室</w:t>
            </w:r>
            <w:r>
              <w:rPr>
                <w:rFonts w:hint="eastAsia" w:ascii="宋体" w:hAnsi="宋体" w:eastAsia="宋体" w:cs="宋体"/>
                <w:sz w:val="24"/>
                <w:szCs w:val="24"/>
                <w:highlight w:val="none"/>
                <w:lang w:val="en-US" w:eastAsia="zh-CN"/>
              </w:rPr>
              <w:t xml:space="preserve"> </w:t>
            </w:r>
          </w:p>
          <w:p w14:paraId="23B39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联系人：袁青青</w:t>
            </w:r>
          </w:p>
          <w:p w14:paraId="1DC49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  话：</w:t>
            </w:r>
            <w:r>
              <w:rPr>
                <w:rFonts w:hint="eastAsia" w:ascii="宋体" w:hAnsi="宋体" w:eastAsia="宋体" w:cs="宋体"/>
                <w:i w:val="0"/>
                <w:iCs w:val="0"/>
                <w:caps w:val="0"/>
                <w:color w:val="auto"/>
                <w:spacing w:val="0"/>
                <w:sz w:val="24"/>
                <w:szCs w:val="24"/>
                <w:highlight w:val="none"/>
                <w:shd w:val="clear" w:color="auto" w:fill="FFFFFF"/>
                <w:lang w:val="en-US" w:eastAsia="zh-CN"/>
              </w:rPr>
              <w:t>18991742412</w:t>
            </w:r>
          </w:p>
        </w:tc>
      </w:tr>
      <w:tr w14:paraId="425C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69C348A5">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6" w:type="dxa"/>
            <w:vAlign w:val="center"/>
          </w:tcPr>
          <w:p w14:paraId="21B9761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监督管理机构</w:t>
            </w:r>
          </w:p>
        </w:tc>
        <w:tc>
          <w:tcPr>
            <w:tcW w:w="6591" w:type="dxa"/>
            <w:vAlign w:val="center"/>
          </w:tcPr>
          <w:p w14:paraId="2F3194AF">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陈仓区财政局</w:t>
            </w:r>
          </w:p>
        </w:tc>
      </w:tr>
      <w:tr w14:paraId="4BAE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55B005E8">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6" w:type="dxa"/>
            <w:vAlign w:val="center"/>
          </w:tcPr>
          <w:p w14:paraId="5042756E">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采购项目名称</w:t>
            </w:r>
          </w:p>
        </w:tc>
        <w:tc>
          <w:tcPr>
            <w:tcW w:w="6591" w:type="dxa"/>
            <w:vAlign w:val="center"/>
          </w:tcPr>
          <w:p w14:paraId="7B44A49A">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宝鸡市陈仓区渭河中游段绿化管护卫生保洁及设施管理项目</w:t>
            </w:r>
          </w:p>
        </w:tc>
      </w:tr>
      <w:tr w14:paraId="2EF0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12406FF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6" w:type="dxa"/>
            <w:vAlign w:val="center"/>
          </w:tcPr>
          <w:p w14:paraId="5E74974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p>
        </w:tc>
        <w:tc>
          <w:tcPr>
            <w:tcW w:w="6591" w:type="dxa"/>
            <w:vAlign w:val="center"/>
          </w:tcPr>
          <w:p w14:paraId="1A37B981">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i w:val="0"/>
                <w:iCs w:val="0"/>
                <w:caps w:val="0"/>
                <w:color w:val="auto"/>
                <w:spacing w:val="0"/>
                <w:sz w:val="24"/>
                <w:szCs w:val="24"/>
                <w:highlight w:val="none"/>
                <w:shd w:val="clear" w:color="auto" w:fill="FFFFFF"/>
              </w:rPr>
              <w:t>ZYCCG-2024-020</w:t>
            </w:r>
          </w:p>
        </w:tc>
      </w:tr>
      <w:tr w14:paraId="7AD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2F9DB13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6" w:type="dxa"/>
            <w:vAlign w:val="center"/>
          </w:tcPr>
          <w:p w14:paraId="6B9CF95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资金</w:t>
            </w:r>
            <w:r>
              <w:rPr>
                <w:rFonts w:hint="eastAsia" w:ascii="宋体" w:hAnsi="宋体" w:eastAsia="宋体" w:cs="宋体"/>
                <w:sz w:val="24"/>
                <w:szCs w:val="24"/>
                <w:highlight w:val="none"/>
                <w:lang w:eastAsia="zh-CN"/>
              </w:rPr>
              <w:t>来源</w:t>
            </w:r>
          </w:p>
        </w:tc>
        <w:tc>
          <w:tcPr>
            <w:tcW w:w="6591" w:type="dxa"/>
            <w:vAlign w:val="center"/>
          </w:tcPr>
          <w:p w14:paraId="6EB7EDF6">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财政资金</w:t>
            </w:r>
          </w:p>
        </w:tc>
      </w:tr>
      <w:tr w14:paraId="597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709" w:type="dxa"/>
            <w:vAlign w:val="center"/>
          </w:tcPr>
          <w:p w14:paraId="37F8522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6" w:type="dxa"/>
            <w:vAlign w:val="center"/>
          </w:tcPr>
          <w:p w14:paraId="68373EA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采购最高限价</w:t>
            </w:r>
          </w:p>
        </w:tc>
        <w:tc>
          <w:tcPr>
            <w:tcW w:w="6591" w:type="dxa"/>
            <w:vAlign w:val="center"/>
          </w:tcPr>
          <w:p w14:paraId="4DCF1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本项目采购最高限价为</w:t>
            </w:r>
            <w:r>
              <w:rPr>
                <w:rFonts w:hint="eastAsia" w:ascii="宋体" w:hAnsi="宋体" w:eastAsia="宋体" w:cs="宋体"/>
                <w:b w:val="0"/>
                <w:bCs w:val="0"/>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2400000.00</w:t>
            </w:r>
            <w:r>
              <w:rPr>
                <w:rFonts w:hint="eastAsia" w:ascii="宋体" w:hAnsi="宋体" w:eastAsia="宋体" w:cs="宋体"/>
                <w:b/>
                <w:bCs/>
                <w:highlight w:val="none"/>
                <w:lang w:eastAsia="zh-CN"/>
              </w:rPr>
              <w:t>元（大写：</w:t>
            </w:r>
            <w:r>
              <w:rPr>
                <w:rFonts w:hint="eastAsia" w:ascii="宋体" w:hAnsi="宋体" w:eastAsia="宋体" w:cs="宋体"/>
                <w:b/>
                <w:bCs/>
                <w:highlight w:val="none"/>
                <w:lang w:val="en-US" w:eastAsia="zh-CN"/>
              </w:rPr>
              <w:t>贰佰肆拾万元整</w:t>
            </w:r>
            <w:r>
              <w:rPr>
                <w:rFonts w:hint="eastAsia" w:ascii="宋体" w:hAnsi="宋体" w:eastAsia="宋体" w:cs="宋体"/>
                <w:b/>
                <w:bCs/>
                <w:highlight w:val="none"/>
                <w:lang w:eastAsia="zh-CN"/>
              </w:rPr>
              <w:t>）</w:t>
            </w:r>
            <w:r>
              <w:rPr>
                <w:rFonts w:hint="eastAsia" w:ascii="宋体" w:hAnsi="宋体" w:eastAsia="宋体" w:cs="宋体"/>
                <w:highlight w:val="none"/>
                <w:lang w:eastAsia="zh-CN"/>
              </w:rPr>
              <w:t>。</w:t>
            </w:r>
          </w:p>
          <w:p w14:paraId="377CE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供应商的报价不得大于</w:t>
            </w:r>
            <w:r>
              <w:rPr>
                <w:rFonts w:hint="eastAsia" w:ascii="宋体" w:hAnsi="宋体" w:eastAsia="宋体" w:cs="宋体"/>
                <w:sz w:val="24"/>
                <w:szCs w:val="24"/>
                <w:highlight w:val="none"/>
                <w:lang w:val="en-US" w:eastAsia="zh-CN"/>
              </w:rPr>
              <w:t>或等于</w:t>
            </w:r>
            <w:r>
              <w:rPr>
                <w:rFonts w:hint="eastAsia" w:ascii="宋体" w:hAnsi="宋体" w:eastAsia="宋体" w:cs="宋体"/>
                <w:highlight w:val="none"/>
                <w:lang w:eastAsia="zh-CN"/>
              </w:rPr>
              <w:t>采购最高限价，</w:t>
            </w:r>
            <w:r>
              <w:rPr>
                <w:rFonts w:hint="eastAsia" w:ascii="宋体" w:hAnsi="宋体" w:eastAsia="宋体" w:cs="宋体"/>
                <w:highlight w:val="none"/>
                <w:lang w:val="en-US" w:eastAsia="zh-CN"/>
              </w:rPr>
              <w:t>否则按无效投标处理。</w:t>
            </w:r>
          </w:p>
        </w:tc>
      </w:tr>
      <w:tr w14:paraId="2454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709" w:type="dxa"/>
            <w:vAlign w:val="center"/>
          </w:tcPr>
          <w:p w14:paraId="4D85585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6" w:type="dxa"/>
            <w:vAlign w:val="center"/>
          </w:tcPr>
          <w:p w14:paraId="4307373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项目用途</w:t>
            </w:r>
          </w:p>
        </w:tc>
        <w:tc>
          <w:tcPr>
            <w:tcW w:w="6591" w:type="dxa"/>
            <w:vAlign w:val="center"/>
          </w:tcPr>
          <w:p w14:paraId="45D4D7D8">
            <w:pPr>
              <w:keepNext w:val="0"/>
              <w:keepLines w:val="0"/>
              <w:suppressLineNumbers w:val="0"/>
              <w:spacing w:before="0" w:beforeAutospacing="0" w:after="0" w:afterAutospacing="0" w:line="240" w:lineRule="auto"/>
              <w:ind w:left="0" w:right="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确保渭河中游段环境卫生整洁，提升绿化景观效果，打造“堤固、岸绿、景美、业兴”的渭河生态保护区</w:t>
            </w:r>
          </w:p>
        </w:tc>
      </w:tr>
      <w:tr w14:paraId="226F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1CA28F9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916" w:type="dxa"/>
            <w:vAlign w:val="center"/>
          </w:tcPr>
          <w:p w14:paraId="2658AD6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采购内容及要求</w:t>
            </w:r>
          </w:p>
        </w:tc>
        <w:tc>
          <w:tcPr>
            <w:tcW w:w="6591" w:type="dxa"/>
            <w:vAlign w:val="center"/>
          </w:tcPr>
          <w:p w14:paraId="6888BF0F">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详见招标文件第四章“采购内容及要求”</w:t>
            </w:r>
          </w:p>
        </w:tc>
      </w:tr>
      <w:tr w14:paraId="21A1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9" w:type="dxa"/>
            <w:vAlign w:val="center"/>
          </w:tcPr>
          <w:p w14:paraId="677C0FC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16" w:type="dxa"/>
            <w:vAlign w:val="center"/>
          </w:tcPr>
          <w:p w14:paraId="251D879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6591" w:type="dxa"/>
            <w:vAlign w:val="center"/>
          </w:tcPr>
          <w:p w14:paraId="3EF49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"http://baike.baidu.com/view/8707.htm"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招标</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并且</w:t>
            </w:r>
            <w:r>
              <w:rPr>
                <w:rFonts w:hint="eastAsia" w:ascii="宋体" w:hAnsi="宋体" w:eastAsia="宋体" w:cs="宋体"/>
                <w:sz w:val="24"/>
                <w:szCs w:val="24"/>
                <w:highlight w:val="none"/>
              </w:rPr>
              <w:t>符合招标文件规定资格条件和参加投标竞争的法人或其他组织</w:t>
            </w:r>
            <w:r>
              <w:rPr>
                <w:rFonts w:hint="eastAsia" w:ascii="宋体" w:hAnsi="宋体" w:eastAsia="宋体" w:cs="宋体"/>
                <w:sz w:val="24"/>
                <w:szCs w:val="24"/>
                <w:highlight w:val="none"/>
                <w:lang w:eastAsia="zh-CN"/>
              </w:rPr>
              <w:t>或自然人</w:t>
            </w:r>
            <w:r>
              <w:rPr>
                <w:rFonts w:hint="eastAsia" w:ascii="宋体" w:hAnsi="宋体" w:eastAsia="宋体" w:cs="宋体"/>
                <w:sz w:val="24"/>
                <w:szCs w:val="24"/>
                <w:highlight w:val="none"/>
              </w:rPr>
              <w:t>。</w:t>
            </w:r>
          </w:p>
        </w:tc>
      </w:tr>
      <w:tr w14:paraId="3F79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709" w:type="dxa"/>
            <w:vAlign w:val="center"/>
          </w:tcPr>
          <w:p w14:paraId="31B3105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p>
          <w:p w14:paraId="6A0FCFED">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916" w:type="dxa"/>
            <w:vAlign w:val="center"/>
          </w:tcPr>
          <w:p w14:paraId="16A0A5A1">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资格要求</w:t>
            </w:r>
          </w:p>
        </w:tc>
        <w:tc>
          <w:tcPr>
            <w:tcW w:w="6591" w:type="dxa"/>
            <w:vAlign w:val="center"/>
          </w:tcPr>
          <w:p w14:paraId="687F132E">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29" w:name="_Toc10578"/>
            <w:bookmarkStart w:id="30" w:name="_Toc9492"/>
            <w:bookmarkStart w:id="31" w:name="_Toc7495"/>
            <w:bookmarkStart w:id="32" w:name="_Toc7913"/>
            <w:bookmarkStart w:id="33" w:name="_Toc1748"/>
            <w:bookmarkStart w:id="34" w:name="_Toc1330"/>
            <w:bookmarkStart w:id="35" w:name="_Toc5723"/>
            <w:bookmarkStart w:id="36" w:name="_Toc15047"/>
            <w:bookmarkStart w:id="37" w:name="_Toc10178"/>
            <w:r>
              <w:rPr>
                <w:rFonts w:hint="eastAsia" w:ascii="宋体" w:hAnsi="宋体" w:eastAsia="宋体" w:cs="宋体"/>
                <w:b w:val="0"/>
                <w:bCs w:val="0"/>
                <w:sz w:val="24"/>
                <w:szCs w:val="24"/>
                <w:highlight w:val="none"/>
                <w:lang w:val="en-US" w:eastAsia="zh-CN"/>
              </w:rPr>
              <w:t>1、满足《中华人民共和国政府采购法》第二十二条的规定；</w:t>
            </w:r>
            <w:bookmarkEnd w:id="29"/>
            <w:bookmarkEnd w:id="30"/>
            <w:bookmarkEnd w:id="31"/>
          </w:p>
          <w:p w14:paraId="0045D47B">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38" w:name="_Toc9196"/>
            <w:bookmarkStart w:id="39" w:name="_Toc8027"/>
            <w:bookmarkStart w:id="40" w:name="_Toc28647"/>
            <w:r>
              <w:rPr>
                <w:rFonts w:hint="eastAsia" w:ascii="宋体" w:hAnsi="宋体" w:eastAsia="宋体" w:cs="宋体"/>
                <w:b w:val="0"/>
                <w:bCs w:val="0"/>
                <w:sz w:val="24"/>
                <w:szCs w:val="24"/>
                <w:highlight w:val="none"/>
                <w:lang w:val="en-US" w:eastAsia="zh-CN"/>
              </w:rPr>
              <w:t>2、本项目的特定资格要求：</w:t>
            </w:r>
            <w:bookmarkEnd w:id="38"/>
            <w:bookmarkEnd w:id="39"/>
            <w:bookmarkEnd w:id="40"/>
          </w:p>
          <w:p w14:paraId="0DDA1D2B">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1" w:name="_Toc16733"/>
            <w:r>
              <w:rPr>
                <w:rFonts w:hint="eastAsia" w:ascii="宋体" w:hAnsi="宋体" w:eastAsia="宋体" w:cs="宋体"/>
                <w:b w:val="0"/>
                <w:bCs w:val="0"/>
                <w:sz w:val="24"/>
                <w:szCs w:val="24"/>
                <w:highlight w:val="none"/>
                <w:lang w:val="en-US" w:eastAsia="zh-CN"/>
              </w:rPr>
              <w:t>（1）供应商应为具有独立承担民事责任能力的企业法人、事业法人、其他组织或自然人，企业法人须提供有效存续的统一社会信用代码的营业执照，事业单位须提供事业单位法人证、组织机构代码证等证明文件，其他组织应提供合法证明文件，自然人参与的提供其身份证；</w:t>
            </w:r>
            <w:bookmarkEnd w:id="41"/>
          </w:p>
          <w:p w14:paraId="20C1D45A">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（2）</w:t>
            </w:r>
            <w:r>
              <w:rPr>
                <w:rFonts w:hint="eastAsia" w:ascii="宋体" w:hAnsi="宋体" w:cs="宋体"/>
                <w:b w:val="0"/>
                <w:bCs w:val="0"/>
                <w:kern w:val="0"/>
                <w:sz w:val="24"/>
                <w:szCs w:val="24"/>
                <w:highlight w:val="none"/>
                <w:lang w:val="en-US" w:eastAsia="zh-CN"/>
              </w:rPr>
              <w:t>供应商须</w:t>
            </w:r>
            <w:r>
              <w:rPr>
                <w:rFonts w:hint="eastAsia" w:ascii="宋体" w:hAnsi="宋体" w:eastAsia="宋体" w:cs="宋体"/>
                <w:b w:val="0"/>
                <w:bCs w:val="0"/>
                <w:kern w:val="0"/>
                <w:sz w:val="24"/>
                <w:szCs w:val="24"/>
                <w:highlight w:val="none"/>
              </w:rPr>
              <w:t>具备</w:t>
            </w:r>
            <w:r>
              <w:rPr>
                <w:rFonts w:hint="eastAsia" w:ascii="宋体" w:hAnsi="宋体" w:cs="宋体"/>
                <w:b w:val="0"/>
                <w:bCs w:val="0"/>
                <w:kern w:val="0"/>
                <w:sz w:val="24"/>
                <w:szCs w:val="24"/>
                <w:highlight w:val="none"/>
                <w:lang w:eastAsia="zh-CN"/>
              </w:rPr>
              <w:t>有效的市政公用</w:t>
            </w:r>
            <w:r>
              <w:rPr>
                <w:rFonts w:hint="eastAsia" w:ascii="宋体" w:hAnsi="宋体" w:cs="宋体"/>
                <w:b w:val="0"/>
                <w:bCs w:val="0"/>
                <w:color w:val="auto"/>
                <w:kern w:val="0"/>
                <w:sz w:val="24"/>
                <w:szCs w:val="24"/>
                <w:highlight w:val="none"/>
                <w:lang w:eastAsia="zh-CN"/>
              </w:rPr>
              <w:t>工程施工总承包三级</w:t>
            </w:r>
            <w:r>
              <w:rPr>
                <w:rFonts w:hint="eastAsia" w:ascii="宋体" w:hAnsi="宋体" w:cs="宋体"/>
                <w:b w:val="0"/>
                <w:bCs w:val="0"/>
                <w:color w:val="auto"/>
                <w:kern w:val="0"/>
                <w:sz w:val="24"/>
                <w:szCs w:val="24"/>
                <w:highlight w:val="none"/>
                <w:lang w:val="en-US" w:eastAsia="zh-CN"/>
              </w:rPr>
              <w:t>（含</w:t>
            </w:r>
            <w:r>
              <w:rPr>
                <w:rFonts w:hint="eastAsia" w:ascii="宋体" w:hAnsi="宋体" w:cs="宋体"/>
                <w:b w:val="0"/>
                <w:bCs w:val="0"/>
                <w:color w:val="auto"/>
                <w:kern w:val="0"/>
                <w:sz w:val="24"/>
                <w:szCs w:val="24"/>
                <w:highlight w:val="none"/>
                <w:lang w:eastAsia="zh-CN"/>
              </w:rPr>
              <w:t>三</w:t>
            </w:r>
            <w:r>
              <w:rPr>
                <w:rFonts w:hint="eastAsia" w:ascii="宋体" w:hAnsi="宋体" w:cs="宋体"/>
                <w:b w:val="0"/>
                <w:bCs w:val="0"/>
                <w:color w:val="auto"/>
                <w:kern w:val="0"/>
                <w:sz w:val="24"/>
                <w:szCs w:val="24"/>
                <w:highlight w:val="none"/>
                <w:lang w:val="en-US" w:eastAsia="zh-CN"/>
              </w:rPr>
              <w:t>级）及以上</w:t>
            </w:r>
            <w:r>
              <w:rPr>
                <w:rFonts w:hint="eastAsia" w:ascii="宋体" w:hAnsi="宋体" w:cs="宋体"/>
                <w:b w:val="0"/>
                <w:bCs w:val="0"/>
                <w:color w:val="auto"/>
                <w:kern w:val="0"/>
                <w:sz w:val="24"/>
                <w:szCs w:val="24"/>
                <w:highlight w:val="none"/>
                <w:lang w:eastAsia="zh-CN"/>
              </w:rPr>
              <w:t>资质</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具有</w:t>
            </w:r>
            <w:r>
              <w:rPr>
                <w:rFonts w:hint="eastAsia" w:ascii="宋体" w:hAnsi="宋体" w:eastAsia="宋体" w:cs="宋体"/>
                <w:b w:val="0"/>
                <w:bCs w:val="0"/>
                <w:color w:val="auto"/>
                <w:kern w:val="0"/>
                <w:sz w:val="24"/>
                <w:szCs w:val="24"/>
                <w:highlight w:val="none"/>
                <w:lang w:eastAsia="zh-CN"/>
              </w:rPr>
              <w:t>有效</w:t>
            </w:r>
            <w:r>
              <w:rPr>
                <w:rFonts w:hint="eastAsia" w:ascii="宋体" w:hAnsi="宋体" w:eastAsia="宋体" w:cs="宋体"/>
                <w:b w:val="0"/>
                <w:bCs w:val="0"/>
                <w:color w:val="auto"/>
                <w:kern w:val="0"/>
                <w:sz w:val="24"/>
                <w:szCs w:val="24"/>
                <w:highlight w:val="none"/>
              </w:rPr>
              <w:t>的安全生产许可证</w:t>
            </w:r>
            <w:r>
              <w:rPr>
                <w:rFonts w:hint="eastAsia" w:ascii="宋体" w:hAnsi="宋体" w:eastAsia="宋体" w:cs="宋体"/>
                <w:b w:val="0"/>
                <w:bCs w:val="0"/>
                <w:color w:val="auto"/>
                <w:kern w:val="0"/>
                <w:sz w:val="24"/>
                <w:szCs w:val="24"/>
                <w:highlight w:val="none"/>
                <w:lang w:eastAsia="zh-CN"/>
              </w:rPr>
              <w:t>。</w:t>
            </w:r>
          </w:p>
          <w:p w14:paraId="4EB88B32">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2" w:name="_Toc9115"/>
            <w:r>
              <w:rPr>
                <w:rFonts w:hint="eastAsia" w:ascii="宋体" w:hAnsi="宋体" w:eastAsia="宋体" w:cs="宋体"/>
                <w:b w:val="0"/>
                <w:bCs w:val="0"/>
                <w:sz w:val="24"/>
                <w:szCs w:val="24"/>
                <w:highlight w:val="none"/>
                <w:lang w:val="en-US" w:eastAsia="zh-CN"/>
              </w:rPr>
              <w:t>（3）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bookmarkEnd w:id="42"/>
          </w:p>
          <w:p w14:paraId="4B5B3450">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3" w:name="_Toc29618"/>
            <w:r>
              <w:rPr>
                <w:rFonts w:hint="eastAsia" w:ascii="宋体" w:hAnsi="宋体" w:eastAsia="宋体" w:cs="宋体"/>
                <w:b w:val="0"/>
                <w:bCs w:val="0"/>
                <w:sz w:val="24"/>
                <w:szCs w:val="24"/>
                <w:highlight w:val="none"/>
                <w:lang w:val="en-US" w:eastAsia="zh-CN"/>
              </w:rPr>
              <w:t>（4）财务状况报告：供应商须提供2023年度经会计师事务所或审计机构审计的财务会计报表（包括资产负债表、现金流量表、利润表（损益表）和财务报表附注等，成立时间至提交响应文件截止时间不足一年的可提供成立后任意时段的资产负债表）或其基本存款账户开户银行出具的资信证明。其他组织和自然人提供银行出具的资信证明；</w:t>
            </w:r>
            <w:bookmarkEnd w:id="43"/>
          </w:p>
          <w:p w14:paraId="24A356F1">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4" w:name="_Toc28388"/>
            <w:r>
              <w:rPr>
                <w:rFonts w:hint="eastAsia" w:ascii="宋体" w:hAnsi="宋体" w:eastAsia="宋体" w:cs="宋体"/>
                <w:b w:val="0"/>
                <w:bCs w:val="0"/>
                <w:sz w:val="24"/>
                <w:szCs w:val="24"/>
                <w:highlight w:val="none"/>
                <w:lang w:val="en-US" w:eastAsia="zh-CN"/>
              </w:rPr>
              <w:t>（5）社会保障资金缴纳证明：供应商须提供参加本次政府采购活动2023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bookmarkEnd w:id="44"/>
          </w:p>
          <w:p w14:paraId="74D4F3E3">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5" w:name="_Toc2844"/>
            <w:r>
              <w:rPr>
                <w:rFonts w:hint="eastAsia" w:ascii="宋体" w:hAnsi="宋体" w:eastAsia="宋体" w:cs="宋体"/>
                <w:b w:val="0"/>
                <w:bCs w:val="0"/>
                <w:sz w:val="24"/>
                <w:szCs w:val="24"/>
                <w:highlight w:val="none"/>
                <w:lang w:val="en-US" w:eastAsia="zh-CN"/>
              </w:rPr>
              <w:t>（6）税收缴纳证明：供应商须提供参加本次政府采购活动2023年8月至今本单位已缴纳的至少六个月的纳税证明或完税证明（依法免税的单位应提供相关证明材料）；</w:t>
            </w:r>
            <w:bookmarkEnd w:id="45"/>
          </w:p>
          <w:p w14:paraId="0FAA6046">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6" w:name="_Toc23675"/>
            <w:r>
              <w:rPr>
                <w:rFonts w:hint="eastAsia" w:ascii="宋体" w:hAnsi="宋体" w:eastAsia="宋体" w:cs="宋体"/>
                <w:b w:val="0"/>
                <w:bCs w:val="0"/>
                <w:sz w:val="24"/>
                <w:szCs w:val="24"/>
                <w:highlight w:val="none"/>
                <w:lang w:val="en-US" w:eastAsia="zh-CN"/>
              </w:rPr>
              <w:t>（7）供应商提供参加本次政府采购活动前3年内，在经营活动中没有重大违法记录的书面声明；</w:t>
            </w:r>
            <w:bookmarkEnd w:id="46"/>
          </w:p>
          <w:p w14:paraId="639F17F3">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7" w:name="_Toc18421"/>
            <w:r>
              <w:rPr>
                <w:rFonts w:hint="eastAsia" w:ascii="宋体" w:hAnsi="宋体" w:eastAsia="宋体" w:cs="宋体"/>
                <w:b w:val="0"/>
                <w:bCs w:val="0"/>
                <w:sz w:val="24"/>
                <w:szCs w:val="24"/>
                <w:highlight w:val="none"/>
                <w:lang w:val="en-US" w:eastAsia="zh-CN"/>
              </w:rPr>
              <w:t>（8）供应商提供具有履行合同所必需的设备和专业技术能力的承诺函；</w:t>
            </w:r>
            <w:bookmarkEnd w:id="47"/>
          </w:p>
          <w:p w14:paraId="0F654470">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8" w:name="_Toc12725"/>
            <w:r>
              <w:rPr>
                <w:rFonts w:hint="eastAsia" w:ascii="宋体" w:hAnsi="宋体" w:eastAsia="宋体" w:cs="宋体"/>
                <w:b w:val="0"/>
                <w:bCs w:val="0"/>
                <w:sz w:val="24"/>
                <w:szCs w:val="24"/>
                <w:highlight w:val="none"/>
                <w:lang w:val="en-US" w:eastAsia="zh-CN"/>
              </w:rPr>
              <w:t>（9）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w:t>
            </w:r>
            <w:bookmarkEnd w:id="48"/>
          </w:p>
          <w:p w14:paraId="3726F56A">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49" w:name="_Toc20252"/>
            <w:r>
              <w:rPr>
                <w:rFonts w:hint="eastAsia" w:ascii="宋体" w:hAnsi="宋体" w:eastAsia="宋体" w:cs="宋体"/>
                <w:b w:val="0"/>
                <w:bCs w:val="0"/>
                <w:sz w:val="24"/>
                <w:szCs w:val="24"/>
                <w:highlight w:val="none"/>
                <w:lang w:val="en-US" w:eastAsia="zh-CN"/>
              </w:rPr>
              <w:t>（10）单位负责人为同一人或者存在直接控股、管理关系的不同供应商，不得同时参加同一合同项下的政府采购活动；</w:t>
            </w:r>
            <w:bookmarkEnd w:id="49"/>
          </w:p>
          <w:p w14:paraId="7554656A">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50" w:name="_Toc2403"/>
            <w:r>
              <w:rPr>
                <w:rFonts w:hint="eastAsia" w:ascii="宋体" w:hAnsi="宋体" w:eastAsia="宋体" w:cs="宋体"/>
                <w:b w:val="0"/>
                <w:bCs w:val="0"/>
                <w:sz w:val="24"/>
                <w:szCs w:val="24"/>
                <w:highlight w:val="none"/>
                <w:lang w:val="en-US" w:eastAsia="zh-CN"/>
              </w:rPr>
              <w:t>（11）本项目专门面向中小企业采购（供应商应为中小微企业或监狱企业或残疾人福利性单位），提供《中小企业声明函》或《残疾人福利性单位声明函》或《监狱企业证明文件》；</w:t>
            </w:r>
            <w:bookmarkEnd w:id="50"/>
          </w:p>
          <w:p w14:paraId="0AAA0D11">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sz w:val="24"/>
                <w:szCs w:val="24"/>
                <w:highlight w:val="none"/>
                <w:lang w:val="en-US" w:eastAsia="zh-CN"/>
              </w:rPr>
            </w:pPr>
            <w:bookmarkStart w:id="51" w:name="_Toc31683"/>
            <w:r>
              <w:rPr>
                <w:rFonts w:hint="eastAsia" w:ascii="宋体" w:hAnsi="宋体" w:eastAsia="宋体" w:cs="宋体"/>
                <w:b w:val="0"/>
                <w:bCs w:val="0"/>
                <w:sz w:val="24"/>
                <w:szCs w:val="24"/>
                <w:highlight w:val="none"/>
                <w:lang w:val="en-US" w:eastAsia="zh-CN"/>
              </w:rPr>
              <w:t>（12）本项目不接受联合体投标。</w:t>
            </w:r>
            <w:bookmarkEnd w:id="51"/>
          </w:p>
          <w:p w14:paraId="6392F6F8">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lang w:val="en-US" w:eastAsia="zh-CN"/>
              </w:rPr>
            </w:pPr>
            <w:bookmarkStart w:id="52" w:name="_Toc30453"/>
            <w:bookmarkStart w:id="53" w:name="_Toc14283"/>
            <w:bookmarkStart w:id="54" w:name="_Toc13770"/>
            <w:r>
              <w:rPr>
                <w:rFonts w:hint="eastAsia" w:ascii="宋体" w:hAnsi="宋体" w:eastAsia="宋体" w:cs="宋体"/>
                <w:b/>
                <w:bCs/>
                <w:sz w:val="24"/>
                <w:szCs w:val="24"/>
                <w:highlight w:val="none"/>
                <w:lang w:val="en-US" w:eastAsia="zh-CN"/>
              </w:rPr>
              <w:t>注：词语解释及认定标准：</w:t>
            </w:r>
            <w:bookmarkEnd w:id="32"/>
            <w:bookmarkEnd w:id="33"/>
            <w:bookmarkEnd w:id="34"/>
            <w:bookmarkEnd w:id="35"/>
            <w:bookmarkEnd w:id="36"/>
            <w:bookmarkEnd w:id="37"/>
            <w:bookmarkEnd w:id="52"/>
            <w:bookmarkEnd w:id="53"/>
            <w:bookmarkEnd w:id="54"/>
          </w:p>
          <w:p w14:paraId="50077804">
            <w:pPr>
              <w:pStyle w:val="2"/>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kern w:val="2"/>
                <w:sz w:val="24"/>
                <w:szCs w:val="24"/>
                <w:highlight w:val="none"/>
              </w:rPr>
            </w:pPr>
            <w:bookmarkStart w:id="55" w:name="_Toc7514"/>
            <w:bookmarkStart w:id="56" w:name="_Toc22971"/>
            <w:bookmarkStart w:id="57" w:name="_Toc4008"/>
            <w:bookmarkStart w:id="58" w:name="_Toc7920"/>
            <w:bookmarkStart w:id="59" w:name="_Toc24122"/>
            <w:bookmarkStart w:id="60" w:name="_Toc11418"/>
            <w:bookmarkStart w:id="61" w:name="_Toc20900"/>
            <w:bookmarkStart w:id="62" w:name="_Toc30883"/>
            <w:bookmarkStart w:id="63" w:name="_Toc11650"/>
            <w:r>
              <w:rPr>
                <w:rFonts w:hint="eastAsia" w:ascii="宋体" w:hAnsi="宋体" w:eastAsia="宋体" w:cs="宋体"/>
                <w:b/>
                <w:bCs/>
                <w:sz w:val="24"/>
                <w:szCs w:val="24"/>
                <w:highlight w:val="none"/>
                <w:lang w:val="en-US" w:eastAsia="zh-CN"/>
              </w:rPr>
              <w:t>重大违法记录：是指供应商因违法经营受到刑事处罚或者责令停产停业、吊销许可证或者执照、较大数额罚款等行政处罚。</w:t>
            </w:r>
            <w:bookmarkEnd w:id="55"/>
            <w:bookmarkEnd w:id="56"/>
            <w:bookmarkEnd w:id="57"/>
            <w:bookmarkEnd w:id="58"/>
            <w:bookmarkEnd w:id="59"/>
            <w:bookmarkEnd w:id="60"/>
            <w:bookmarkEnd w:id="61"/>
            <w:bookmarkEnd w:id="62"/>
            <w:bookmarkEnd w:id="63"/>
          </w:p>
        </w:tc>
      </w:tr>
      <w:tr w14:paraId="3995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09" w:type="dxa"/>
            <w:vAlign w:val="center"/>
          </w:tcPr>
          <w:p w14:paraId="1E8B1E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6" w:type="dxa"/>
            <w:vAlign w:val="center"/>
          </w:tcPr>
          <w:p w14:paraId="400B1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cs="华文楷体" w:asciiTheme="minorEastAsia" w:hAnsiTheme="minorEastAsia"/>
                <w:color w:val="auto"/>
                <w:szCs w:val="24"/>
                <w:highlight w:val="none"/>
                <w:lang w:eastAsia="zh-CN"/>
              </w:rPr>
              <w:t>服务期限</w:t>
            </w:r>
          </w:p>
        </w:tc>
        <w:tc>
          <w:tcPr>
            <w:tcW w:w="6591" w:type="dxa"/>
            <w:vAlign w:val="center"/>
          </w:tcPr>
          <w:p w14:paraId="4F912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shd w:val="clear" w:color="auto" w:fill="FFFFFF"/>
              </w:rPr>
              <w:t>合同签订之日起一年，可连续三年</w:t>
            </w:r>
          </w:p>
        </w:tc>
      </w:tr>
      <w:tr w14:paraId="24E1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709" w:type="dxa"/>
            <w:vAlign w:val="center"/>
          </w:tcPr>
          <w:p w14:paraId="7197BB0E">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916" w:type="dxa"/>
            <w:vAlign w:val="center"/>
          </w:tcPr>
          <w:p w14:paraId="433D6BF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eastAsia="zh-CN"/>
              </w:rPr>
              <w:t>下载</w:t>
            </w:r>
          </w:p>
        </w:tc>
        <w:tc>
          <w:tcPr>
            <w:tcW w:w="6591" w:type="dxa"/>
            <w:vAlign w:val="center"/>
          </w:tcPr>
          <w:p w14:paraId="5014C731">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sz w:val="24"/>
                <w:szCs w:val="24"/>
                <w:highlight w:val="none"/>
              </w:rPr>
            </w:pPr>
            <w:bookmarkStart w:id="64" w:name="_Toc13320"/>
            <w:bookmarkStart w:id="65" w:name="_Toc25174"/>
            <w:bookmarkStart w:id="66" w:name="_Toc24866"/>
            <w:bookmarkStart w:id="67" w:name="_Toc5742"/>
            <w:bookmarkStart w:id="68" w:name="_Toc645"/>
            <w:bookmarkStart w:id="69" w:name="_Toc25587"/>
            <w:bookmarkStart w:id="70" w:name="_Toc31747"/>
            <w:bookmarkStart w:id="71" w:name="_Toc5738"/>
            <w:bookmarkStart w:id="72" w:name="_Toc17061"/>
            <w:bookmarkStart w:id="73" w:name="_Toc31596"/>
            <w:r>
              <w:rPr>
                <w:rFonts w:hint="eastAsia" w:ascii="宋体" w:hAnsi="宋体" w:eastAsia="宋体" w:cs="宋体"/>
                <w:b/>
                <w:bCs/>
                <w:sz w:val="24"/>
                <w:szCs w:val="24"/>
                <w:highlight w:val="none"/>
                <w:lang w:eastAsia="zh-CN"/>
              </w:rPr>
              <w:t>下载</w:t>
            </w:r>
            <w:r>
              <w:rPr>
                <w:rFonts w:hint="eastAsia" w:ascii="宋体" w:hAnsi="宋体" w:eastAsia="宋体" w:cs="宋体"/>
                <w:b/>
                <w:bCs/>
                <w:sz w:val="24"/>
                <w:szCs w:val="24"/>
                <w:highlight w:val="none"/>
              </w:rPr>
              <w:t>时间：</w:t>
            </w:r>
            <w:r>
              <w:rPr>
                <w:rFonts w:hint="eastAsia" w:ascii="宋体" w:hAnsi="宋体" w:eastAsia="宋体" w:cs="宋体"/>
                <w:b/>
                <w:bCs/>
                <w:sz w:val="24"/>
                <w:szCs w:val="24"/>
                <w:highlight w:val="none"/>
                <w:lang w:val="en-US" w:eastAsia="zh-CN"/>
              </w:rPr>
              <w:t>2024年09月25日至2024年09月30日</w:t>
            </w:r>
            <w:r>
              <w:rPr>
                <w:rFonts w:hint="eastAsia" w:ascii="宋体" w:hAnsi="宋体" w:eastAsia="宋体" w:cs="宋体"/>
                <w:b w:val="0"/>
                <w:bCs w:val="0"/>
                <w:sz w:val="24"/>
                <w:szCs w:val="24"/>
                <w:highlight w:val="none"/>
                <w:lang w:eastAsia="zh-CN"/>
              </w:rPr>
              <w:t>，每日</w:t>
            </w:r>
            <w:r>
              <w:rPr>
                <w:rFonts w:hint="eastAsia" w:ascii="宋体" w:hAnsi="宋体" w:eastAsia="宋体" w:cs="宋体"/>
                <w:b w:val="0"/>
                <w:bCs w:val="0"/>
                <w:sz w:val="24"/>
                <w:szCs w:val="24"/>
                <w:highlight w:val="none"/>
              </w:rPr>
              <w:t>上午9:00-12:00，下午</w:t>
            </w: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:00-17:</w:t>
            </w:r>
            <w:r>
              <w:rPr>
                <w:rFonts w:hint="eastAsia" w:ascii="宋体" w:hAnsi="宋体" w:eastAsia="宋体" w:cs="宋体"/>
                <w:b w:val="0"/>
                <w:bCs w:val="0"/>
                <w:sz w:val="24"/>
                <w:szCs w:val="24"/>
                <w:highlight w:val="none"/>
                <w:lang w:val="en-US" w:eastAsia="zh-CN"/>
              </w:rPr>
              <w:t>00</w:t>
            </w:r>
            <w:r>
              <w:rPr>
                <w:rFonts w:hint="eastAsia" w:ascii="宋体" w:hAnsi="宋体" w:eastAsia="宋体" w:cs="宋体"/>
                <w:b w:val="0"/>
                <w:bCs w:val="0"/>
                <w:sz w:val="24"/>
                <w:szCs w:val="24"/>
                <w:highlight w:val="none"/>
              </w:rPr>
              <w:t>时止（</w:t>
            </w:r>
            <w:r>
              <w:rPr>
                <w:rFonts w:hint="eastAsia" w:ascii="宋体" w:hAnsi="宋体" w:eastAsia="宋体" w:cs="宋体"/>
                <w:b w:val="0"/>
                <w:bCs w:val="0"/>
                <w:sz w:val="24"/>
                <w:szCs w:val="24"/>
                <w:highlight w:val="none"/>
                <w:lang w:val="en-US" w:eastAsia="zh-CN"/>
              </w:rPr>
              <w:t>北京时间，法定节假日除外</w:t>
            </w:r>
            <w:r>
              <w:rPr>
                <w:rFonts w:hint="eastAsia" w:ascii="宋体" w:hAnsi="宋体" w:eastAsia="宋体" w:cs="宋体"/>
                <w:b w:val="0"/>
                <w:bCs w:val="0"/>
                <w:sz w:val="24"/>
                <w:szCs w:val="24"/>
                <w:highlight w:val="none"/>
              </w:rPr>
              <w:t>）。</w:t>
            </w:r>
            <w:bookmarkEnd w:id="64"/>
            <w:bookmarkEnd w:id="65"/>
            <w:bookmarkEnd w:id="66"/>
            <w:bookmarkEnd w:id="67"/>
            <w:bookmarkEnd w:id="68"/>
            <w:bookmarkEnd w:id="69"/>
            <w:bookmarkEnd w:id="70"/>
            <w:bookmarkEnd w:id="71"/>
            <w:bookmarkEnd w:id="72"/>
            <w:bookmarkEnd w:id="73"/>
          </w:p>
          <w:p w14:paraId="2D25E7D7">
            <w:pPr>
              <w:pStyle w:val="2"/>
              <w:keepNext/>
              <w:keepLines/>
              <w:pageBreakBefore w:val="0"/>
              <w:widowControl w:val="0"/>
              <w:suppressLineNumbers w:val="0"/>
              <w:tabs>
                <w:tab w:val="left" w:pos="240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rPr>
            </w:pPr>
            <w:bookmarkStart w:id="74" w:name="_Toc21209"/>
            <w:bookmarkStart w:id="75" w:name="_Toc3585"/>
            <w:bookmarkStart w:id="76" w:name="_Toc21678"/>
            <w:bookmarkStart w:id="77" w:name="_Toc3785"/>
            <w:bookmarkStart w:id="78" w:name="_Toc32556"/>
            <w:bookmarkStart w:id="79" w:name="_Toc3379"/>
            <w:bookmarkStart w:id="80" w:name="_Toc1941"/>
            <w:bookmarkStart w:id="81" w:name="_Toc5532"/>
            <w:bookmarkStart w:id="82" w:name="_Toc14917"/>
            <w:bookmarkStart w:id="83" w:name="_Toc20325"/>
            <w:r>
              <w:rPr>
                <w:rFonts w:hint="eastAsia" w:ascii="宋体" w:hAnsi="宋体" w:eastAsia="宋体" w:cs="宋体"/>
                <w:b/>
                <w:bCs/>
                <w:sz w:val="24"/>
                <w:szCs w:val="24"/>
                <w:highlight w:val="none"/>
                <w:lang w:eastAsia="zh-CN"/>
              </w:rPr>
              <w:t>下载</w:t>
            </w:r>
            <w:r>
              <w:rPr>
                <w:rFonts w:hint="eastAsia" w:ascii="宋体" w:hAnsi="宋体" w:eastAsia="宋体" w:cs="宋体"/>
                <w:b/>
                <w:bCs/>
                <w:sz w:val="24"/>
                <w:szCs w:val="24"/>
                <w:highlight w:val="none"/>
              </w:rPr>
              <w:t>地点：</w:t>
            </w:r>
            <w:r>
              <w:rPr>
                <w:rFonts w:hint="eastAsia" w:ascii="宋体" w:hAnsi="宋体" w:eastAsia="宋体" w:cs="宋体"/>
                <w:b w:val="0"/>
                <w:bCs w:val="0"/>
                <w:sz w:val="24"/>
                <w:szCs w:val="24"/>
                <w:highlight w:val="none"/>
                <w:lang w:val="zh-CN" w:eastAsia="zh-CN"/>
              </w:rPr>
              <w:t>各供应商凭数字证书（陕西CA锁）自行登录【全国公共资源交易平台（陕西省·宝鸡市）宝鸡市公共资源交易中心】下载电子招标文件（*.SXSZF 格式）。</w:t>
            </w:r>
            <w:bookmarkEnd w:id="74"/>
            <w:bookmarkEnd w:id="75"/>
            <w:bookmarkEnd w:id="76"/>
            <w:bookmarkEnd w:id="77"/>
            <w:bookmarkEnd w:id="78"/>
            <w:bookmarkEnd w:id="79"/>
            <w:bookmarkEnd w:id="80"/>
            <w:bookmarkEnd w:id="81"/>
            <w:bookmarkEnd w:id="82"/>
            <w:bookmarkEnd w:id="83"/>
          </w:p>
        </w:tc>
      </w:tr>
      <w:tr w14:paraId="27B8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Align w:val="center"/>
          </w:tcPr>
          <w:p w14:paraId="25990C56">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916" w:type="dxa"/>
            <w:vAlign w:val="center"/>
          </w:tcPr>
          <w:p w14:paraId="3F43A80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p>
        </w:tc>
        <w:tc>
          <w:tcPr>
            <w:tcW w:w="6591" w:type="dxa"/>
            <w:vAlign w:val="center"/>
          </w:tcPr>
          <w:p w14:paraId="2D072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rPr>
              <w:t>不接受</w:t>
            </w:r>
            <w:r>
              <w:rPr>
                <w:rFonts w:hint="eastAsia" w:ascii="宋体" w:hAnsi="宋体" w:eastAsia="宋体" w:cs="宋体"/>
                <w:sz w:val="24"/>
                <w:szCs w:val="24"/>
                <w:highlight w:val="none"/>
                <w:lang w:eastAsia="zh-CN"/>
              </w:rPr>
              <w:t>联合体投标</w:t>
            </w:r>
          </w:p>
        </w:tc>
      </w:tr>
      <w:tr w14:paraId="53CB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9" w:type="dxa"/>
            <w:vAlign w:val="center"/>
          </w:tcPr>
          <w:p w14:paraId="70365800">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15</w:t>
            </w:r>
          </w:p>
        </w:tc>
        <w:tc>
          <w:tcPr>
            <w:tcW w:w="1916" w:type="dxa"/>
            <w:vAlign w:val="center"/>
          </w:tcPr>
          <w:p w14:paraId="15D1E8D6">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sz w:val="24"/>
                <w:szCs w:val="24"/>
                <w:highlight w:val="none"/>
              </w:rPr>
            </w:pPr>
            <w:bookmarkStart w:id="84" w:name="_Toc26571"/>
            <w:bookmarkStart w:id="85" w:name="_Toc6396"/>
            <w:bookmarkStart w:id="86" w:name="_Toc1340"/>
            <w:bookmarkStart w:id="87" w:name="_Toc23467"/>
            <w:bookmarkStart w:id="88" w:name="_Toc12783"/>
            <w:bookmarkStart w:id="89" w:name="_Toc20387"/>
            <w:bookmarkStart w:id="90" w:name="_Toc9356"/>
            <w:bookmarkStart w:id="91" w:name="_Toc8987"/>
            <w:bookmarkStart w:id="92" w:name="_Toc30420"/>
            <w:bookmarkStart w:id="93" w:name="_Toc19543"/>
            <w:r>
              <w:rPr>
                <w:rFonts w:hint="eastAsia" w:ascii="宋体" w:hAnsi="宋体" w:eastAsia="宋体" w:cs="宋体"/>
                <w:b w:val="0"/>
                <w:bCs w:val="0"/>
                <w:sz w:val="24"/>
                <w:szCs w:val="24"/>
                <w:highlight w:val="none"/>
              </w:rPr>
              <w:t>现场勘查、标前</w:t>
            </w:r>
            <w:bookmarkEnd w:id="84"/>
            <w:bookmarkEnd w:id="85"/>
            <w:bookmarkEnd w:id="86"/>
            <w:bookmarkEnd w:id="87"/>
            <w:bookmarkEnd w:id="88"/>
            <w:bookmarkEnd w:id="89"/>
            <w:bookmarkEnd w:id="90"/>
            <w:bookmarkEnd w:id="91"/>
            <w:bookmarkEnd w:id="92"/>
            <w:bookmarkEnd w:id="93"/>
          </w:p>
          <w:p w14:paraId="5F6EC373">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rPr>
            </w:pPr>
            <w:bookmarkStart w:id="94" w:name="_Toc8327"/>
            <w:bookmarkStart w:id="95" w:name="_Toc29606"/>
            <w:bookmarkStart w:id="96" w:name="_Toc30019"/>
            <w:bookmarkStart w:id="97" w:name="_Toc7478"/>
            <w:bookmarkStart w:id="98" w:name="_Toc22716"/>
            <w:bookmarkStart w:id="99" w:name="_Toc19335"/>
            <w:bookmarkStart w:id="100" w:name="_Toc17991"/>
            <w:bookmarkStart w:id="101" w:name="_Toc5075"/>
            <w:bookmarkStart w:id="102" w:name="_Toc29828"/>
            <w:bookmarkStart w:id="103" w:name="_Toc26406"/>
            <w:r>
              <w:rPr>
                <w:rFonts w:hint="eastAsia" w:ascii="宋体" w:hAnsi="宋体" w:eastAsia="宋体" w:cs="宋体"/>
                <w:b w:val="0"/>
                <w:bCs w:val="0"/>
                <w:sz w:val="24"/>
                <w:szCs w:val="24"/>
                <w:highlight w:val="none"/>
              </w:rPr>
              <w:t>答疑会</w:t>
            </w:r>
            <w:bookmarkEnd w:id="94"/>
            <w:bookmarkEnd w:id="95"/>
            <w:bookmarkEnd w:id="96"/>
            <w:bookmarkEnd w:id="97"/>
            <w:bookmarkEnd w:id="98"/>
            <w:bookmarkEnd w:id="99"/>
            <w:bookmarkEnd w:id="100"/>
            <w:bookmarkEnd w:id="101"/>
            <w:bookmarkEnd w:id="102"/>
            <w:bookmarkEnd w:id="103"/>
          </w:p>
        </w:tc>
        <w:tc>
          <w:tcPr>
            <w:tcW w:w="6591" w:type="dxa"/>
            <w:vAlign w:val="center"/>
          </w:tcPr>
          <w:p w14:paraId="27C0E192">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rPr>
            </w:pPr>
            <w:bookmarkStart w:id="104" w:name="_Toc12647"/>
            <w:bookmarkStart w:id="105" w:name="_Toc16483"/>
            <w:bookmarkStart w:id="106" w:name="_Toc12866"/>
            <w:bookmarkStart w:id="107" w:name="_Toc5429"/>
            <w:bookmarkStart w:id="108" w:name="_Toc6736"/>
            <w:bookmarkStart w:id="109" w:name="_Toc29415"/>
            <w:bookmarkStart w:id="110" w:name="_Toc17700"/>
            <w:bookmarkStart w:id="111" w:name="_Toc21306"/>
            <w:bookmarkStart w:id="112" w:name="_Toc25796"/>
            <w:bookmarkStart w:id="113" w:name="_Toc15837"/>
            <w:r>
              <w:rPr>
                <w:rFonts w:hint="eastAsia" w:ascii="宋体" w:hAnsi="宋体" w:eastAsia="宋体" w:cs="宋体"/>
                <w:b w:val="0"/>
                <w:bCs w:val="0"/>
                <w:sz w:val="24"/>
                <w:szCs w:val="24"/>
                <w:highlight w:val="none"/>
                <w:lang w:eastAsia="zh-CN"/>
              </w:rPr>
              <w:t>采购</w:t>
            </w:r>
            <w:r>
              <w:rPr>
                <w:rFonts w:hint="eastAsia" w:ascii="宋体" w:hAnsi="宋体" w:eastAsia="宋体" w:cs="宋体"/>
                <w:b w:val="0"/>
                <w:bCs w:val="0"/>
                <w:sz w:val="24"/>
                <w:szCs w:val="24"/>
                <w:highlight w:val="none"/>
              </w:rPr>
              <w:t>人不组织踏勘现场</w:t>
            </w:r>
            <w:r>
              <w:rPr>
                <w:rFonts w:hint="eastAsia" w:ascii="宋体" w:hAnsi="宋体" w:eastAsia="宋体" w:cs="宋体"/>
                <w:b w:val="0"/>
                <w:bCs w:val="0"/>
                <w:sz w:val="24"/>
                <w:szCs w:val="24"/>
                <w:highlight w:val="none"/>
                <w:lang w:eastAsia="zh-CN"/>
              </w:rPr>
              <w:t>和标前答疑会</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认为有必要可自行勘查，并承担所有费用及风险。</w:t>
            </w:r>
            <w:bookmarkEnd w:id="104"/>
            <w:bookmarkEnd w:id="105"/>
            <w:bookmarkEnd w:id="106"/>
            <w:bookmarkEnd w:id="107"/>
            <w:bookmarkEnd w:id="108"/>
            <w:bookmarkEnd w:id="109"/>
            <w:bookmarkEnd w:id="110"/>
            <w:bookmarkEnd w:id="111"/>
            <w:bookmarkEnd w:id="112"/>
            <w:bookmarkEnd w:id="113"/>
          </w:p>
        </w:tc>
      </w:tr>
      <w:tr w14:paraId="43E8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09" w:type="dxa"/>
            <w:vAlign w:val="center"/>
          </w:tcPr>
          <w:p w14:paraId="38C89FFF">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916" w:type="dxa"/>
            <w:vAlign w:val="center"/>
          </w:tcPr>
          <w:p w14:paraId="7E43D0B0">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4"/>
                <w:szCs w:val="24"/>
                <w:highlight w:val="none"/>
              </w:rPr>
            </w:pPr>
            <w:bookmarkStart w:id="114" w:name="_Toc520"/>
            <w:bookmarkStart w:id="115" w:name="_Toc23611"/>
            <w:bookmarkStart w:id="116" w:name="_Toc26022"/>
            <w:bookmarkStart w:id="117" w:name="_Toc25204"/>
            <w:bookmarkStart w:id="118" w:name="_Toc26433"/>
            <w:bookmarkStart w:id="119" w:name="_Toc22613"/>
            <w:bookmarkStart w:id="120" w:name="_Toc12378"/>
            <w:bookmarkStart w:id="121" w:name="_Toc5907"/>
            <w:bookmarkStart w:id="122" w:name="_Toc6794"/>
            <w:bookmarkStart w:id="123" w:name="_Toc15357"/>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对招标文件提出质疑时间</w:t>
            </w:r>
            <w:bookmarkEnd w:id="114"/>
            <w:bookmarkEnd w:id="115"/>
            <w:bookmarkEnd w:id="116"/>
            <w:bookmarkEnd w:id="117"/>
            <w:bookmarkEnd w:id="118"/>
            <w:bookmarkEnd w:id="119"/>
            <w:bookmarkEnd w:id="120"/>
            <w:bookmarkEnd w:id="121"/>
            <w:bookmarkEnd w:id="122"/>
            <w:bookmarkEnd w:id="123"/>
          </w:p>
        </w:tc>
        <w:tc>
          <w:tcPr>
            <w:tcW w:w="6591" w:type="dxa"/>
            <w:vAlign w:val="center"/>
          </w:tcPr>
          <w:p w14:paraId="09A8B466">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eastAsia="zh-CN"/>
              </w:rPr>
            </w:pPr>
            <w:bookmarkStart w:id="124" w:name="_Toc6480"/>
            <w:bookmarkStart w:id="125" w:name="_Toc7894"/>
            <w:bookmarkStart w:id="126" w:name="_Toc26413"/>
            <w:bookmarkStart w:id="127" w:name="_Toc32450"/>
            <w:bookmarkStart w:id="128" w:name="_Toc22873"/>
            <w:bookmarkStart w:id="129" w:name="_Toc30780"/>
            <w:bookmarkStart w:id="130" w:name="_Toc31364"/>
            <w:bookmarkStart w:id="131" w:name="_Toc14888"/>
            <w:bookmarkStart w:id="132" w:name="_Toc28603"/>
            <w:bookmarkStart w:id="133" w:name="_Toc14422"/>
            <w:bookmarkStart w:id="134" w:name="_Toc19979"/>
            <w:bookmarkStart w:id="135" w:name="_Toc13500"/>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认为招标文件使自己的权益受到损害的，在收到招标文件之日起七个工作日内</w:t>
            </w:r>
            <w:r>
              <w:rPr>
                <w:rFonts w:hint="eastAsia" w:ascii="宋体" w:hAnsi="宋体" w:eastAsia="宋体" w:cs="宋体"/>
                <w:b w:val="0"/>
                <w:bCs w:val="0"/>
                <w:sz w:val="24"/>
                <w:szCs w:val="24"/>
                <w:highlight w:val="none"/>
                <w:lang w:eastAsia="zh-CN"/>
              </w:rPr>
              <w:t>，在</w:t>
            </w:r>
            <w:r>
              <w:rPr>
                <w:rFonts w:hint="eastAsia" w:ascii="宋体" w:hAnsi="宋体" w:eastAsia="宋体" w:cs="宋体"/>
                <w:b w:val="0"/>
                <w:bCs w:val="0"/>
                <w:sz w:val="24"/>
                <w:szCs w:val="24"/>
                <w:highlight w:val="none"/>
                <w:lang w:val="zh-CN" w:eastAsia="zh-CN"/>
              </w:rPr>
              <w:t>【全国公共资源交易平台（陕西省·宝鸡市）宝鸡市公共资源交易中心】上</w:t>
            </w:r>
            <w:r>
              <w:rPr>
                <w:rFonts w:hint="eastAsia" w:ascii="宋体" w:hAnsi="宋体" w:eastAsia="宋体" w:cs="宋体"/>
                <w:b w:val="0"/>
                <w:bCs w:val="0"/>
                <w:sz w:val="24"/>
                <w:szCs w:val="24"/>
                <w:highlight w:val="none"/>
                <w:lang w:eastAsia="zh-CN"/>
              </w:rPr>
              <w:t>提出质疑问题，并通知采购代理机构。逾期提出的不予答复，因此带来的一切不利后果由供应商自负。</w:t>
            </w:r>
            <w:bookmarkEnd w:id="124"/>
            <w:bookmarkEnd w:id="125"/>
            <w:bookmarkEnd w:id="126"/>
            <w:bookmarkEnd w:id="127"/>
            <w:bookmarkEnd w:id="128"/>
            <w:bookmarkEnd w:id="129"/>
            <w:bookmarkEnd w:id="130"/>
            <w:bookmarkEnd w:id="131"/>
            <w:bookmarkEnd w:id="132"/>
            <w:bookmarkEnd w:id="133"/>
            <w:bookmarkEnd w:id="134"/>
            <w:bookmarkEnd w:id="135"/>
          </w:p>
        </w:tc>
      </w:tr>
      <w:tr w14:paraId="545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14:paraId="5C444C9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916" w:type="dxa"/>
            <w:vAlign w:val="center"/>
          </w:tcPr>
          <w:p w14:paraId="6B6B5E73">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sz w:val="24"/>
                <w:szCs w:val="24"/>
                <w:highlight w:val="none"/>
              </w:rPr>
            </w:pPr>
            <w:bookmarkStart w:id="136" w:name="_Toc11105"/>
            <w:bookmarkStart w:id="137" w:name="_Toc29635"/>
            <w:bookmarkStart w:id="138" w:name="_Toc27293"/>
            <w:bookmarkStart w:id="139" w:name="_Toc26736"/>
            <w:bookmarkStart w:id="140" w:name="_Toc17299"/>
            <w:bookmarkStart w:id="141" w:name="_Toc27240"/>
            <w:bookmarkStart w:id="142" w:name="_Toc8581"/>
            <w:bookmarkStart w:id="143" w:name="_Toc26592"/>
            <w:bookmarkStart w:id="144" w:name="_Toc28217"/>
            <w:bookmarkStart w:id="145" w:name="_Toc8654"/>
            <w:r>
              <w:rPr>
                <w:rFonts w:hint="eastAsia" w:ascii="宋体" w:hAnsi="宋体" w:eastAsia="宋体" w:cs="宋体"/>
                <w:b w:val="0"/>
                <w:bCs w:val="0"/>
                <w:sz w:val="24"/>
                <w:szCs w:val="24"/>
                <w:highlight w:val="none"/>
              </w:rPr>
              <w:t>构成招标文件的</w:t>
            </w:r>
            <w:bookmarkEnd w:id="136"/>
            <w:bookmarkEnd w:id="137"/>
            <w:bookmarkEnd w:id="138"/>
            <w:bookmarkEnd w:id="139"/>
            <w:bookmarkEnd w:id="140"/>
            <w:bookmarkEnd w:id="141"/>
            <w:bookmarkEnd w:id="142"/>
            <w:bookmarkEnd w:id="143"/>
            <w:bookmarkEnd w:id="144"/>
            <w:bookmarkEnd w:id="145"/>
          </w:p>
          <w:p w14:paraId="1C27DB84">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highlight w:val="none"/>
              </w:rPr>
            </w:pPr>
            <w:bookmarkStart w:id="146" w:name="_Toc15122"/>
            <w:bookmarkStart w:id="147" w:name="_Toc8489"/>
            <w:bookmarkStart w:id="148" w:name="_Toc26765"/>
            <w:bookmarkStart w:id="149" w:name="_Toc22384"/>
            <w:bookmarkStart w:id="150" w:name="_Toc24051"/>
            <w:bookmarkStart w:id="151" w:name="_Toc1255"/>
            <w:bookmarkStart w:id="152" w:name="_Toc3268"/>
            <w:bookmarkStart w:id="153" w:name="_Toc20222"/>
            <w:bookmarkStart w:id="154" w:name="_Toc23306"/>
            <w:bookmarkStart w:id="155" w:name="_Toc15217"/>
            <w:r>
              <w:rPr>
                <w:rFonts w:hint="eastAsia" w:ascii="宋体" w:hAnsi="宋体" w:eastAsia="宋体" w:cs="宋体"/>
                <w:b w:val="0"/>
                <w:bCs w:val="0"/>
                <w:sz w:val="24"/>
                <w:szCs w:val="24"/>
                <w:highlight w:val="none"/>
              </w:rPr>
              <w:t>其他文件</w:t>
            </w:r>
            <w:bookmarkEnd w:id="146"/>
            <w:bookmarkEnd w:id="147"/>
            <w:bookmarkEnd w:id="148"/>
            <w:bookmarkEnd w:id="149"/>
            <w:bookmarkEnd w:id="150"/>
            <w:bookmarkEnd w:id="151"/>
            <w:bookmarkEnd w:id="152"/>
            <w:bookmarkEnd w:id="153"/>
            <w:bookmarkEnd w:id="154"/>
            <w:bookmarkEnd w:id="155"/>
          </w:p>
        </w:tc>
        <w:tc>
          <w:tcPr>
            <w:tcW w:w="6591" w:type="dxa"/>
            <w:vAlign w:val="center"/>
          </w:tcPr>
          <w:p w14:paraId="57423C17">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rPr>
            </w:pPr>
            <w:bookmarkStart w:id="156" w:name="_Toc8110"/>
            <w:bookmarkStart w:id="157" w:name="_Toc11663"/>
            <w:bookmarkStart w:id="158" w:name="_Toc23827"/>
            <w:bookmarkStart w:id="159" w:name="_Toc20115"/>
            <w:bookmarkStart w:id="160" w:name="_Toc8506"/>
            <w:bookmarkStart w:id="161" w:name="_Toc2585"/>
            <w:bookmarkStart w:id="162" w:name="_Toc4878"/>
            <w:bookmarkStart w:id="163" w:name="_Toc19514"/>
            <w:bookmarkStart w:id="164" w:name="_Toc4267"/>
            <w:bookmarkStart w:id="165" w:name="_Toc15834"/>
            <w:r>
              <w:rPr>
                <w:rFonts w:hint="eastAsia" w:ascii="宋体" w:hAnsi="宋体" w:eastAsia="宋体" w:cs="宋体"/>
                <w:b w:val="0"/>
                <w:bCs w:val="0"/>
                <w:sz w:val="24"/>
                <w:szCs w:val="24"/>
                <w:highlight w:val="none"/>
              </w:rPr>
              <w:t>招标文件的澄清、修改及有关补充通知均为招标文件的有效组成部分。</w:t>
            </w:r>
            <w:bookmarkEnd w:id="156"/>
            <w:bookmarkEnd w:id="157"/>
            <w:bookmarkEnd w:id="158"/>
            <w:bookmarkEnd w:id="159"/>
            <w:bookmarkEnd w:id="160"/>
            <w:bookmarkEnd w:id="161"/>
            <w:bookmarkEnd w:id="162"/>
            <w:bookmarkEnd w:id="163"/>
            <w:bookmarkEnd w:id="164"/>
            <w:bookmarkEnd w:id="165"/>
          </w:p>
        </w:tc>
      </w:tr>
      <w:tr w14:paraId="7CC1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9" w:type="dxa"/>
            <w:vAlign w:val="center"/>
          </w:tcPr>
          <w:p w14:paraId="12F12A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916" w:type="dxa"/>
            <w:vAlign w:val="center"/>
          </w:tcPr>
          <w:p w14:paraId="254253EF">
            <w:pPr>
              <w:pStyle w:val="43"/>
              <w:keepNext w:val="0"/>
              <w:keepLines w:val="0"/>
              <w:pageBreakBefore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投标文件提交截止时间、开标时间和地点</w:t>
            </w:r>
          </w:p>
        </w:tc>
        <w:tc>
          <w:tcPr>
            <w:tcW w:w="6591" w:type="dxa"/>
            <w:vAlign w:val="center"/>
          </w:tcPr>
          <w:p w14:paraId="33B37C6A">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b/>
                <w:bCs/>
                <w:sz w:val="24"/>
                <w:szCs w:val="24"/>
                <w:highlight w:val="none"/>
                <w:lang w:val="en-US" w:eastAsia="zh-CN"/>
              </w:rPr>
            </w:pPr>
            <w:bookmarkStart w:id="166" w:name="_Toc21348"/>
            <w:bookmarkStart w:id="167" w:name="_Toc12112"/>
            <w:bookmarkStart w:id="168" w:name="_Toc5958"/>
            <w:bookmarkStart w:id="169" w:name="_Toc28104"/>
            <w:bookmarkStart w:id="170" w:name="_Toc14071"/>
            <w:bookmarkStart w:id="171" w:name="_Toc29644"/>
            <w:bookmarkStart w:id="172" w:name="_Toc3041"/>
            <w:bookmarkStart w:id="173" w:name="_Toc4120"/>
            <w:bookmarkStart w:id="174" w:name="_Toc11495"/>
            <w:bookmarkStart w:id="175" w:name="_Toc1468"/>
            <w:r>
              <w:rPr>
                <w:rFonts w:hint="eastAsia" w:ascii="宋体" w:hAnsi="宋体" w:eastAsia="宋体" w:cs="宋体"/>
                <w:b/>
                <w:bCs/>
                <w:sz w:val="24"/>
                <w:szCs w:val="24"/>
                <w:highlight w:val="none"/>
                <w:lang w:val="en-US" w:eastAsia="zh-CN"/>
              </w:rPr>
              <w:t>时间：</w:t>
            </w:r>
            <w:bookmarkEnd w:id="166"/>
            <w:bookmarkEnd w:id="167"/>
            <w:bookmarkEnd w:id="168"/>
            <w:bookmarkEnd w:id="169"/>
            <w:bookmarkEnd w:id="170"/>
            <w:bookmarkEnd w:id="171"/>
            <w:bookmarkEnd w:id="172"/>
            <w:r>
              <w:rPr>
                <w:rFonts w:hint="eastAsia" w:ascii="宋体" w:hAnsi="宋体" w:eastAsia="宋体" w:cs="宋体"/>
                <w:b/>
                <w:bCs/>
                <w:sz w:val="24"/>
                <w:szCs w:val="24"/>
                <w:highlight w:val="none"/>
                <w:lang w:val="en-US" w:eastAsia="zh-CN"/>
              </w:rPr>
              <w:t>2024年10月15日9时00分</w:t>
            </w:r>
            <w:bookmarkEnd w:id="173"/>
            <w:bookmarkEnd w:id="174"/>
            <w:bookmarkEnd w:id="175"/>
          </w:p>
          <w:p w14:paraId="26677678">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b/>
                <w:bCs/>
                <w:sz w:val="24"/>
                <w:szCs w:val="24"/>
                <w:highlight w:val="none"/>
                <w:lang w:val="en-US" w:eastAsia="zh-CN"/>
              </w:rPr>
            </w:pPr>
            <w:bookmarkStart w:id="176" w:name="_Toc5746"/>
            <w:bookmarkStart w:id="177" w:name="_Toc2214"/>
            <w:bookmarkStart w:id="178" w:name="_Toc7535"/>
            <w:bookmarkStart w:id="179" w:name="_Toc1210"/>
            <w:bookmarkStart w:id="180" w:name="_Toc31951"/>
            <w:bookmarkStart w:id="181" w:name="_Toc17585"/>
            <w:bookmarkStart w:id="182" w:name="_Toc31902"/>
            <w:bookmarkStart w:id="183" w:name="_Toc3623"/>
            <w:bookmarkStart w:id="184" w:name="_Toc29149"/>
            <w:bookmarkStart w:id="185" w:name="_Toc8637"/>
            <w:r>
              <w:rPr>
                <w:rFonts w:hint="eastAsia" w:ascii="宋体" w:hAnsi="宋体" w:eastAsia="宋体" w:cs="宋体"/>
                <w:b/>
                <w:bCs/>
                <w:sz w:val="24"/>
                <w:szCs w:val="24"/>
                <w:highlight w:val="none"/>
                <w:lang w:val="en-US" w:eastAsia="zh-CN"/>
              </w:rPr>
              <w:t>地点：</w:t>
            </w:r>
            <w:bookmarkEnd w:id="176"/>
            <w:bookmarkEnd w:id="177"/>
            <w:bookmarkEnd w:id="178"/>
            <w:bookmarkEnd w:id="179"/>
            <w:bookmarkEnd w:id="180"/>
            <w:bookmarkEnd w:id="181"/>
            <w:bookmarkEnd w:id="182"/>
            <w:bookmarkEnd w:id="183"/>
            <w:bookmarkEnd w:id="184"/>
            <w:bookmarkEnd w:id="185"/>
            <w:r>
              <w:rPr>
                <w:rFonts w:hint="eastAsia" w:ascii="宋体" w:hAnsi="宋体" w:eastAsia="宋体" w:cs="宋体"/>
                <w:b/>
                <w:bCs/>
                <w:i w:val="0"/>
                <w:iCs w:val="0"/>
                <w:caps w:val="0"/>
                <w:color w:val="auto"/>
                <w:spacing w:val="0"/>
                <w:sz w:val="24"/>
                <w:szCs w:val="24"/>
                <w:highlight w:val="none"/>
                <w:shd w:val="clear" w:color="auto" w:fill="FFFFFF"/>
                <w:lang w:val="en-US" w:eastAsia="zh-CN"/>
              </w:rPr>
              <w:t>宝鸡市公共资源交易中心五楼第8开标室</w:t>
            </w:r>
          </w:p>
          <w:p w14:paraId="59EA79EE">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sz w:val="24"/>
                <w:szCs w:val="24"/>
                <w:highlight w:val="none"/>
              </w:rPr>
            </w:pPr>
            <w:bookmarkStart w:id="186" w:name="_Toc13340"/>
            <w:bookmarkStart w:id="187" w:name="_Toc22759"/>
            <w:bookmarkStart w:id="188" w:name="_Toc26241"/>
            <w:bookmarkStart w:id="189" w:name="_Toc13116"/>
            <w:bookmarkStart w:id="190" w:name="_Toc14004"/>
            <w:bookmarkStart w:id="191" w:name="_Toc3483"/>
            <w:bookmarkStart w:id="192" w:name="_Toc29071"/>
            <w:bookmarkStart w:id="193" w:name="_Toc10627"/>
            <w:bookmarkStart w:id="194" w:name="_Toc15771"/>
            <w:bookmarkStart w:id="195" w:name="_Toc27165"/>
            <w:r>
              <w:rPr>
                <w:rFonts w:hint="eastAsia" w:ascii="宋体" w:hAnsi="宋体" w:eastAsia="宋体" w:cs="宋体"/>
                <w:b/>
                <w:bCs/>
                <w:sz w:val="24"/>
                <w:szCs w:val="24"/>
                <w:highlight w:val="none"/>
                <w:lang w:val="en-US" w:eastAsia="zh-CN"/>
              </w:rPr>
              <w:t>特别提示：</w:t>
            </w:r>
            <w:bookmarkEnd w:id="186"/>
            <w:bookmarkEnd w:id="187"/>
            <w:bookmarkEnd w:id="188"/>
            <w:bookmarkEnd w:id="189"/>
            <w:bookmarkEnd w:id="190"/>
            <w:bookmarkEnd w:id="191"/>
            <w:r>
              <w:rPr>
                <w:rFonts w:hint="eastAsia" w:ascii="宋体" w:hAnsi="宋体" w:eastAsia="宋体" w:cs="宋体"/>
                <w:b w:val="0"/>
                <w:bCs w:val="0"/>
                <w:sz w:val="24"/>
                <w:szCs w:val="24"/>
                <w:highlight w:val="none"/>
                <w:lang w:val="en-US" w:eastAsia="zh-CN"/>
              </w:rPr>
              <w:t>供应商须在投标文件提交截止时间（即开标时间）前，持陕西CA锁，登录</w:t>
            </w:r>
            <w:r>
              <w:rPr>
                <w:rFonts w:hint="eastAsia" w:ascii="宋体" w:hAnsi="宋体" w:eastAsia="宋体" w:cs="宋体"/>
                <w:b w:val="0"/>
                <w:bCs w:val="0"/>
                <w:sz w:val="24"/>
                <w:szCs w:val="24"/>
                <w:highlight w:val="none"/>
                <w:lang w:val="zh-CN" w:eastAsia="zh-CN"/>
              </w:rPr>
              <w:t>全国公共资源交易平台（陕西省·宝鸡市）宝鸡市公共资源交易中心（http://bj.sxggzyjy.cn）</w:t>
            </w:r>
            <w:r>
              <w:rPr>
                <w:rFonts w:hint="eastAsia" w:ascii="宋体" w:hAnsi="宋体" w:eastAsia="宋体" w:cs="宋体"/>
                <w:b w:val="0"/>
                <w:bCs w:val="0"/>
                <w:sz w:val="24"/>
                <w:szCs w:val="24"/>
                <w:highlight w:val="none"/>
                <w:lang w:val="en-US" w:eastAsia="zh-CN"/>
              </w:rPr>
              <w:t>上传电子标书</w:t>
            </w:r>
            <w:r>
              <w:rPr>
                <w:rFonts w:hint="eastAsia" w:ascii="宋体" w:hAnsi="宋体" w:eastAsia="宋体" w:cs="宋体"/>
                <w:sz w:val="24"/>
                <w:szCs w:val="24"/>
                <w:highlight w:val="none"/>
                <w:lang w:val="en-US" w:eastAsia="zh-CN"/>
              </w:rPr>
              <w:t>（*.SXSTF格式）</w:t>
            </w:r>
            <w:r>
              <w:rPr>
                <w:rFonts w:hint="eastAsia" w:ascii="宋体" w:hAnsi="宋体" w:eastAsia="宋体" w:cs="宋体"/>
                <w:b w:val="0"/>
                <w:bCs w:val="0"/>
                <w:sz w:val="24"/>
                <w:szCs w:val="24"/>
                <w:highlight w:val="none"/>
                <w:lang w:val="en-US" w:eastAsia="zh-CN"/>
              </w:rPr>
              <w:t>，逾期提交，系统将拒绝接收。</w:t>
            </w:r>
            <w:bookmarkEnd w:id="192"/>
            <w:bookmarkEnd w:id="193"/>
            <w:bookmarkEnd w:id="194"/>
            <w:bookmarkEnd w:id="195"/>
          </w:p>
        </w:tc>
      </w:tr>
      <w:tr w14:paraId="7439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11104AB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916" w:type="dxa"/>
            <w:vAlign w:val="center"/>
          </w:tcPr>
          <w:p w14:paraId="78B4896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591" w:type="dxa"/>
            <w:vAlign w:val="center"/>
          </w:tcPr>
          <w:p w14:paraId="37633FA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自提交投标文件截止之日起90天</w:t>
            </w:r>
          </w:p>
        </w:tc>
      </w:tr>
      <w:tr w14:paraId="4D3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jc w:val="center"/>
        </w:trPr>
        <w:tc>
          <w:tcPr>
            <w:tcW w:w="709" w:type="dxa"/>
            <w:vAlign w:val="center"/>
          </w:tcPr>
          <w:p w14:paraId="6C14FD58">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916" w:type="dxa"/>
            <w:vAlign w:val="center"/>
          </w:tcPr>
          <w:p w14:paraId="4F40288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591" w:type="dxa"/>
            <w:vAlign w:val="center"/>
          </w:tcPr>
          <w:p w14:paraId="19D7F7C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投标保证金的金额：</w:t>
            </w:r>
            <w:r>
              <w:rPr>
                <w:rFonts w:hint="eastAsia" w:hAnsi="宋体" w:eastAsia="宋体" w:cs="宋体"/>
                <w:b/>
                <w:bCs/>
                <w:sz w:val="24"/>
                <w:szCs w:val="24"/>
                <w:highlight w:val="none"/>
                <w:lang w:eastAsia="zh-CN"/>
              </w:rPr>
              <w:t>贰万元整</w:t>
            </w:r>
            <w:r>
              <w:rPr>
                <w:rFonts w:hint="eastAsia" w:ascii="宋体" w:hAnsi="宋体" w:eastAsia="宋体" w:cs="宋体"/>
                <w:b/>
                <w:bCs/>
                <w:sz w:val="24"/>
                <w:szCs w:val="24"/>
                <w:highlight w:val="none"/>
              </w:rPr>
              <w:t>（￥：</w:t>
            </w:r>
            <w:r>
              <w:rPr>
                <w:rFonts w:hint="eastAsia" w:hAnsi="宋体" w:eastAsia="宋体" w:cs="宋体"/>
                <w:b/>
                <w:bCs/>
                <w:sz w:val="24"/>
                <w:szCs w:val="24"/>
                <w:highlight w:val="none"/>
                <w:lang w:val="en-US" w:eastAsia="zh-CN"/>
              </w:rPr>
              <w:t>20000.00</w:t>
            </w:r>
            <w:r>
              <w:rPr>
                <w:rFonts w:hint="eastAsia" w:ascii="宋体" w:hAnsi="宋体" w:eastAsia="宋体" w:cs="宋体"/>
                <w:b/>
                <w:bCs/>
                <w:sz w:val="24"/>
                <w:szCs w:val="24"/>
                <w:highlight w:val="none"/>
              </w:rPr>
              <w:t>元）</w:t>
            </w:r>
          </w:p>
          <w:p w14:paraId="1C10AE5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投标保证金的形式：银行转账或保函 </w:t>
            </w:r>
          </w:p>
          <w:p w14:paraId="29B32A0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开户行：长安银行股份有限公司宝鸡分行营业部</w:t>
            </w:r>
          </w:p>
          <w:p w14:paraId="2BCD608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账户名称：宝鸡市公共资源交易中心</w:t>
            </w:r>
            <w:r>
              <w:rPr>
                <w:rFonts w:hint="eastAsia" w:ascii="宋体" w:hAnsi="宋体" w:eastAsia="宋体" w:cs="宋体"/>
                <w:b/>
                <w:bCs/>
                <w:sz w:val="24"/>
                <w:szCs w:val="24"/>
                <w:highlight w:val="none"/>
                <w:lang w:eastAsia="zh-CN"/>
              </w:rPr>
              <w:t>保证金专户</w:t>
            </w:r>
          </w:p>
          <w:p w14:paraId="49CFA65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账</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号：80602000142101980610852</w:t>
            </w:r>
          </w:p>
          <w:p w14:paraId="12C07AE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eastAsia" w:ascii="宋体" w:hAnsi="宋体" w:eastAsia="宋体" w:cs="宋体"/>
                <w:b w:val="0"/>
                <w:bCs w:val="0"/>
                <w:sz w:val="24"/>
                <w:szCs w:val="24"/>
                <w:highlight w:val="none"/>
                <w:lang w:val="en-US" w:eastAsia="zh-CN"/>
              </w:rPr>
            </w:pPr>
            <w:bookmarkStart w:id="196" w:name="_Toc11571"/>
            <w:bookmarkStart w:id="197" w:name="_Toc12901"/>
            <w:bookmarkStart w:id="198" w:name="_Toc15325"/>
            <w:bookmarkStart w:id="199" w:name="_Toc8378"/>
            <w:r>
              <w:rPr>
                <w:rFonts w:hint="eastAsia" w:ascii="宋体" w:hAnsi="宋体" w:eastAsia="宋体" w:cs="宋体"/>
                <w:b w:val="0"/>
                <w:bCs w:val="0"/>
                <w:sz w:val="24"/>
                <w:szCs w:val="24"/>
                <w:highlight w:val="none"/>
                <w:lang w:val="en-US" w:eastAsia="zh-CN"/>
              </w:rPr>
              <w:t>①供应商以银行转账方式递交投标保证金的，必须在开标前将投标保证金从本单位基本账户缴存至宝鸡市公共资源交易中心的保证金专户，供应商在缴纳保证金时应充分考虑银行到账时间，否则由此造成的损失由供应商自行承担。交易中心财务室电话：0917-3262731。</w:t>
            </w:r>
            <w:bookmarkEnd w:id="196"/>
            <w:bookmarkEnd w:id="197"/>
            <w:bookmarkEnd w:id="198"/>
            <w:bookmarkEnd w:id="199"/>
          </w:p>
          <w:p w14:paraId="0295C27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eastAsia" w:ascii="宋体" w:hAnsi="宋体" w:eastAsia="宋体" w:cs="宋体"/>
                <w:b w:val="0"/>
                <w:bCs w:val="0"/>
                <w:sz w:val="24"/>
                <w:szCs w:val="24"/>
                <w:highlight w:val="none"/>
                <w:lang w:val="en-US" w:eastAsia="zh-CN"/>
              </w:rPr>
            </w:pPr>
            <w:bookmarkStart w:id="200" w:name="_Toc5819"/>
            <w:bookmarkStart w:id="201" w:name="_Toc1486"/>
            <w:bookmarkStart w:id="202" w:name="_Toc7114"/>
            <w:bookmarkStart w:id="203" w:name="_Toc10328"/>
            <w:r>
              <w:rPr>
                <w:rFonts w:hint="eastAsia" w:ascii="宋体" w:hAnsi="宋体" w:eastAsia="宋体" w:cs="宋体"/>
                <w:b w:val="0"/>
                <w:bCs w:val="0"/>
                <w:sz w:val="24"/>
                <w:szCs w:val="24"/>
                <w:highlight w:val="none"/>
                <w:lang w:val="en-US" w:eastAsia="zh-CN"/>
              </w:rPr>
              <w:t>供应商应将基本户转账回执单的彩色扫描件或复印件附于投标文件中。</w:t>
            </w:r>
            <w:bookmarkEnd w:id="200"/>
            <w:bookmarkEnd w:id="201"/>
            <w:bookmarkEnd w:id="202"/>
            <w:bookmarkEnd w:id="203"/>
          </w:p>
          <w:p w14:paraId="228DAD5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1" w:firstLineChars="100"/>
              <w:textAlignment w:val="auto"/>
              <w:rPr>
                <w:rFonts w:hint="eastAsia" w:ascii="宋体" w:hAnsi="宋体" w:eastAsia="宋体" w:cs="宋体"/>
                <w:b/>
                <w:bCs/>
                <w:sz w:val="24"/>
                <w:szCs w:val="24"/>
                <w:highlight w:val="none"/>
                <w:lang w:val="en-US" w:eastAsia="zh-CN"/>
              </w:rPr>
            </w:pPr>
            <w:bookmarkStart w:id="204" w:name="_Toc18943"/>
            <w:bookmarkStart w:id="205" w:name="_Toc18218"/>
            <w:bookmarkStart w:id="206" w:name="_Toc1296"/>
            <w:bookmarkStart w:id="207" w:name="_Toc14656"/>
            <w:r>
              <w:rPr>
                <w:rFonts w:hint="eastAsia" w:ascii="宋体" w:hAnsi="宋体" w:eastAsia="宋体" w:cs="宋体"/>
                <w:b/>
                <w:bCs/>
                <w:sz w:val="24"/>
                <w:szCs w:val="24"/>
                <w:highlight w:val="none"/>
                <w:lang w:val="en-US" w:eastAsia="zh-CN"/>
              </w:rPr>
              <w:t>转账时应注明：账号后5位数字。</w:t>
            </w:r>
            <w:bookmarkEnd w:id="204"/>
            <w:bookmarkEnd w:id="205"/>
            <w:bookmarkEnd w:id="206"/>
            <w:bookmarkEnd w:id="207"/>
          </w:p>
          <w:p w14:paraId="3EA1987C">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ascii="宋体" w:hAnsi="宋体" w:eastAsia="宋体" w:cs="宋体"/>
                <w:w w:val="100"/>
                <w:sz w:val="24"/>
                <w:szCs w:val="24"/>
                <w:highlight w:val="none"/>
                <w:lang w:val="en-US" w:eastAsia="zh-CN"/>
              </w:rPr>
            </w:pPr>
            <w:r>
              <w:rPr>
                <w:rFonts w:hint="eastAsia" w:ascii="宋体" w:hAnsi="宋体" w:eastAsia="宋体" w:cs="宋体"/>
                <w:sz w:val="24"/>
                <w:szCs w:val="24"/>
                <w:highlight w:val="none"/>
              </w:rPr>
              <w:t>②</w:t>
            </w:r>
            <w:r>
              <w:rPr>
                <w:rFonts w:hint="eastAsia" w:ascii="宋体" w:hAnsi="宋体" w:eastAsia="宋体" w:cs="宋体"/>
                <w:b w:val="0"/>
                <w:bCs w:val="0"/>
                <w:sz w:val="24"/>
                <w:szCs w:val="24"/>
                <w:highlight w:val="none"/>
                <w:lang w:val="en-US" w:eastAsia="zh-CN"/>
              </w:rPr>
              <w:t>供应商以</w:t>
            </w:r>
            <w:r>
              <w:rPr>
                <w:rFonts w:hint="eastAsia" w:ascii="宋体" w:hAnsi="宋体" w:eastAsia="宋体" w:cs="宋体"/>
                <w:sz w:val="24"/>
                <w:szCs w:val="24"/>
                <w:highlight w:val="none"/>
                <w:lang w:eastAsia="zh-CN"/>
              </w:rPr>
              <w:t>银行</w:t>
            </w:r>
            <w:r>
              <w:rPr>
                <w:rFonts w:hint="eastAsia" w:ascii="宋体" w:hAnsi="宋体" w:eastAsia="宋体" w:cs="宋体"/>
                <w:sz w:val="24"/>
                <w:szCs w:val="24"/>
                <w:highlight w:val="none"/>
              </w:rPr>
              <w:t>保函形式缴纳</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w w:val="100"/>
                <w:sz w:val="24"/>
                <w:szCs w:val="24"/>
                <w:highlight w:val="none"/>
              </w:rPr>
              <w:t>须于开标前3</w:t>
            </w:r>
            <w:r>
              <w:rPr>
                <w:rFonts w:hint="eastAsia" w:ascii="宋体" w:hAnsi="宋体" w:eastAsia="宋体" w:cs="宋体"/>
                <w:w w:val="100"/>
                <w:sz w:val="24"/>
                <w:szCs w:val="24"/>
                <w:highlight w:val="none"/>
                <w:lang w:eastAsia="zh-CN"/>
              </w:rPr>
              <w:t>个工作日</w:t>
            </w:r>
            <w:r>
              <w:rPr>
                <w:rFonts w:hint="eastAsia" w:ascii="宋体" w:hAnsi="宋体" w:eastAsia="宋体" w:cs="宋体"/>
                <w:w w:val="100"/>
                <w:sz w:val="24"/>
                <w:szCs w:val="24"/>
                <w:highlight w:val="none"/>
              </w:rPr>
              <w:t>持</w:t>
            </w:r>
            <w:r>
              <w:rPr>
                <w:rFonts w:hint="eastAsia" w:ascii="宋体" w:hAnsi="宋体" w:eastAsia="宋体" w:cs="宋体"/>
                <w:w w:val="100"/>
                <w:sz w:val="24"/>
                <w:szCs w:val="24"/>
                <w:highlight w:val="none"/>
                <w:lang w:eastAsia="zh-CN"/>
              </w:rPr>
              <w:t>公司介绍信（或授权委托书）</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eastAsia="zh-CN"/>
              </w:rPr>
              <w:t>保函正本（纸质版）、开户许可证复印件（加盖公司公章）、法定</w:t>
            </w:r>
            <w:r>
              <w:rPr>
                <w:rFonts w:hint="eastAsia" w:ascii="宋体" w:hAnsi="宋体" w:eastAsia="宋体" w:cs="宋体"/>
                <w:w w:val="100"/>
                <w:sz w:val="24"/>
                <w:szCs w:val="24"/>
                <w:highlight w:val="none"/>
                <w:lang w:val="en-US" w:eastAsia="zh-CN"/>
              </w:rPr>
              <w:t>代表人和经办人身份证复印件（加盖公司公章）交至宝鸡市公共资源交易中心财务科，并告知招标代理机构。</w:t>
            </w:r>
          </w:p>
          <w:p w14:paraId="62CBC489">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ascii="宋体" w:hAnsi="宋体" w:eastAsia="宋体" w:cs="宋体"/>
                <w:w w:val="100"/>
                <w:sz w:val="24"/>
                <w:szCs w:val="24"/>
                <w:highlight w:val="none"/>
                <w:lang w:eastAsia="zh-CN"/>
              </w:rPr>
            </w:pPr>
            <w:r>
              <w:rPr>
                <w:rFonts w:hint="eastAsia" w:ascii="宋体" w:hAnsi="宋体" w:eastAsia="宋体" w:cs="宋体"/>
                <w:w w:val="100"/>
                <w:sz w:val="24"/>
                <w:szCs w:val="24"/>
                <w:highlight w:val="none"/>
                <w:lang w:val="en-US" w:eastAsia="zh-CN"/>
              </w:rPr>
              <w:t>由财务科予以核实后在开标当天向代理机构出具保函核实结果。投标人</w:t>
            </w:r>
            <w:r>
              <w:rPr>
                <w:rFonts w:hint="eastAsia" w:ascii="宋体" w:hAnsi="宋体" w:eastAsia="宋体" w:cs="宋体"/>
                <w:w w:val="100"/>
                <w:sz w:val="24"/>
                <w:szCs w:val="24"/>
                <w:highlight w:val="none"/>
                <w:lang w:eastAsia="zh-CN"/>
              </w:rPr>
              <w:t>应</w:t>
            </w:r>
            <w:r>
              <w:rPr>
                <w:rFonts w:hint="eastAsia" w:ascii="宋体" w:hAnsi="宋体" w:eastAsia="宋体" w:cs="宋体"/>
                <w:w w:val="100"/>
                <w:sz w:val="24"/>
                <w:szCs w:val="24"/>
                <w:highlight w:val="none"/>
                <w:lang w:val="en-US" w:eastAsia="zh-CN"/>
              </w:rPr>
              <w:t>保证</w:t>
            </w:r>
            <w:r>
              <w:rPr>
                <w:rFonts w:hint="eastAsia" w:ascii="宋体" w:hAnsi="宋体" w:eastAsia="宋体" w:cs="宋体"/>
                <w:w w:val="100"/>
                <w:sz w:val="24"/>
                <w:szCs w:val="24"/>
                <w:highlight w:val="none"/>
                <w:lang w:eastAsia="zh-CN"/>
              </w:rPr>
              <w:t>银行保函真实有效，一旦查出有假，将取消其投标资格，</w:t>
            </w:r>
            <w:r>
              <w:rPr>
                <w:rFonts w:hint="eastAsia" w:ascii="宋体" w:hAnsi="宋体" w:eastAsia="宋体" w:cs="宋体"/>
                <w:w w:val="100"/>
                <w:sz w:val="24"/>
                <w:szCs w:val="24"/>
                <w:highlight w:val="none"/>
                <w:lang w:val="en-US" w:eastAsia="zh-CN"/>
              </w:rPr>
              <w:t>并</w:t>
            </w:r>
            <w:r>
              <w:rPr>
                <w:rFonts w:hint="eastAsia" w:ascii="宋体" w:hAnsi="宋体" w:eastAsia="宋体" w:cs="宋体"/>
                <w:w w:val="100"/>
                <w:sz w:val="24"/>
                <w:szCs w:val="24"/>
                <w:highlight w:val="none"/>
                <w:lang w:eastAsia="zh-CN"/>
              </w:rPr>
              <w:t>严格按照有关规定进行处罚。</w:t>
            </w:r>
          </w:p>
          <w:p w14:paraId="53649788">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eastAsia="zh-CN"/>
              </w:rPr>
              <w:t>供应商须</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lang w:eastAsia="zh-CN"/>
              </w:rPr>
              <w:t>银行</w:t>
            </w:r>
            <w:r>
              <w:rPr>
                <w:rFonts w:hint="eastAsia" w:ascii="宋体" w:hAnsi="宋体" w:eastAsia="宋体" w:cs="宋体"/>
                <w:sz w:val="24"/>
                <w:szCs w:val="24"/>
                <w:highlight w:val="none"/>
                <w:lang w:val="en-US" w:eastAsia="zh-CN"/>
              </w:rPr>
              <w:t>保函的</w:t>
            </w:r>
            <w:r>
              <w:rPr>
                <w:rFonts w:hint="eastAsia" w:ascii="宋体" w:hAnsi="宋体" w:eastAsia="宋体" w:cs="宋体"/>
                <w:sz w:val="24"/>
                <w:szCs w:val="24"/>
                <w:highlight w:val="none"/>
              </w:rPr>
              <w:t>彩色扫描件或</w:t>
            </w:r>
            <w:r>
              <w:rPr>
                <w:rFonts w:hint="eastAsia" w:ascii="宋体" w:hAnsi="宋体" w:eastAsia="宋体" w:cs="宋体"/>
                <w:sz w:val="24"/>
                <w:szCs w:val="24"/>
                <w:highlight w:val="none"/>
                <w:lang w:val="en-US" w:eastAsia="zh-CN"/>
              </w:rPr>
              <w:t>复印件附于</w:t>
            </w:r>
            <w:r>
              <w:rPr>
                <w:rFonts w:hint="eastAsia" w:ascii="宋体" w:hAnsi="宋体" w:eastAsia="宋体" w:cs="宋体"/>
                <w:b w:val="0"/>
                <w:bCs w:val="0"/>
                <w:sz w:val="24"/>
                <w:szCs w:val="24"/>
                <w:highlight w:val="none"/>
                <w:lang w:val="en-US" w:eastAsia="zh-CN"/>
              </w:rPr>
              <w:t>投标文件</w:t>
            </w:r>
            <w:r>
              <w:rPr>
                <w:rFonts w:hint="eastAsia" w:ascii="宋体" w:hAnsi="宋体" w:eastAsia="宋体" w:cs="宋体"/>
                <w:sz w:val="24"/>
                <w:szCs w:val="24"/>
                <w:highlight w:val="none"/>
                <w:lang w:val="en-US" w:eastAsia="zh-CN"/>
              </w:rPr>
              <w:t>中</w:t>
            </w:r>
            <w:r>
              <w:rPr>
                <w:rFonts w:hint="eastAsia" w:ascii="宋体" w:hAnsi="宋体" w:eastAsia="宋体" w:cs="宋体"/>
                <w:sz w:val="24"/>
                <w:szCs w:val="24"/>
                <w:highlight w:val="none"/>
              </w:rPr>
              <w:t>，否则，其保证金视为无效。</w:t>
            </w:r>
          </w:p>
          <w:p w14:paraId="3FE8B8D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1" w:firstLineChars="100"/>
              <w:textAlignment w:val="auto"/>
              <w:rPr>
                <w:rFonts w:hint="eastAsia" w:ascii="宋体" w:hAnsi="宋体" w:eastAsia="宋体" w:cs="宋体"/>
                <w:color w:val="000000"/>
                <w:sz w:val="24"/>
                <w:szCs w:val="24"/>
                <w:highlight w:val="none"/>
              </w:rPr>
            </w:pPr>
            <w:bookmarkStart w:id="208" w:name="_Toc24841"/>
            <w:bookmarkStart w:id="209" w:name="_Toc32700"/>
            <w:bookmarkStart w:id="210" w:name="_Toc31417"/>
            <w:bookmarkStart w:id="211" w:name="_Toc287"/>
            <w:r>
              <w:rPr>
                <w:rFonts w:hint="eastAsia" w:ascii="宋体" w:hAnsi="宋体" w:eastAsia="宋体" w:cs="宋体"/>
                <w:b/>
                <w:bCs/>
                <w:sz w:val="24"/>
                <w:szCs w:val="24"/>
                <w:highlight w:val="none"/>
                <w:lang w:val="en-US" w:eastAsia="zh-CN"/>
              </w:rPr>
              <w:t>投标保证金的有效期与投标有效期一致。</w:t>
            </w:r>
            <w:bookmarkEnd w:id="208"/>
            <w:bookmarkEnd w:id="209"/>
            <w:bookmarkEnd w:id="210"/>
            <w:bookmarkEnd w:id="211"/>
          </w:p>
        </w:tc>
      </w:tr>
      <w:tr w14:paraId="48E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vAlign w:val="center"/>
          </w:tcPr>
          <w:p w14:paraId="1313C2A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916" w:type="dxa"/>
            <w:vAlign w:val="center"/>
          </w:tcPr>
          <w:p w14:paraId="65BC7C1B">
            <w:pPr>
              <w:keepNext w:val="0"/>
              <w:keepLines w:val="0"/>
              <w:suppressLineNumbers w:val="0"/>
              <w:tabs>
                <w:tab w:val="left" w:pos="7013"/>
              </w:tabs>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备选投标方案</w:t>
            </w:r>
          </w:p>
          <w:p w14:paraId="6F75DCB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和报价</w:t>
            </w:r>
          </w:p>
        </w:tc>
        <w:tc>
          <w:tcPr>
            <w:tcW w:w="6591" w:type="dxa"/>
            <w:vAlign w:val="center"/>
          </w:tcPr>
          <w:p w14:paraId="28B3F21A">
            <w:pPr>
              <w:keepNext w:val="0"/>
              <w:keepLines w:val="0"/>
              <w:suppressLineNumbers w:val="0"/>
              <w:tabs>
                <w:tab w:val="left" w:pos="7013"/>
              </w:tabs>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不接受备选投标方案和多个报价。</w:t>
            </w:r>
          </w:p>
        </w:tc>
      </w:tr>
      <w:tr w14:paraId="1B4F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14:paraId="5FDA6CC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1916" w:type="dxa"/>
            <w:vAlign w:val="center"/>
          </w:tcPr>
          <w:p w14:paraId="797DC85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盖章签字</w:t>
            </w:r>
          </w:p>
        </w:tc>
        <w:tc>
          <w:tcPr>
            <w:tcW w:w="6591" w:type="dxa"/>
            <w:vAlign w:val="center"/>
          </w:tcPr>
          <w:p w14:paraId="7F8D175F">
            <w:pPr>
              <w:keepNext w:val="0"/>
              <w:keepLines w:val="0"/>
              <w:suppressLineNumbers w:val="0"/>
              <w:tabs>
                <w:tab w:val="left" w:pos="7013"/>
              </w:tabs>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投标文件必须按照招标文件的规定和要求</w:t>
            </w:r>
            <w:bookmarkStart w:id="212" w:name="OLE_LINK5"/>
            <w:r>
              <w:rPr>
                <w:rFonts w:hint="eastAsia" w:ascii="宋体" w:hAnsi="宋体" w:eastAsia="宋体" w:cs="宋体"/>
                <w:sz w:val="24"/>
                <w:szCs w:val="24"/>
                <w:highlight w:val="none"/>
              </w:rPr>
              <w:t>由法定代表人或被授权</w:t>
            </w:r>
            <w:r>
              <w:rPr>
                <w:rFonts w:hint="eastAsia" w:ascii="宋体" w:hAnsi="宋体" w:eastAsia="宋体" w:cs="宋体"/>
                <w:sz w:val="24"/>
                <w:szCs w:val="24"/>
                <w:highlight w:val="none"/>
                <w:lang w:eastAsia="zh-CN"/>
              </w:rPr>
              <w:t>代理</w:t>
            </w:r>
            <w:r>
              <w:rPr>
                <w:rFonts w:hint="eastAsia" w:ascii="宋体" w:hAnsi="宋体" w:eastAsia="宋体" w:cs="宋体"/>
                <w:sz w:val="24"/>
                <w:szCs w:val="24"/>
                <w:highlight w:val="none"/>
              </w:rPr>
              <w:t>人签字（或盖章）</w:t>
            </w:r>
            <w:r>
              <w:rPr>
                <w:rFonts w:hint="eastAsia" w:ascii="宋体" w:hAnsi="宋体" w:eastAsia="宋体" w:cs="宋体"/>
                <w:sz w:val="24"/>
                <w:szCs w:val="24"/>
                <w:highlight w:val="none"/>
                <w:lang w:eastAsia="zh-CN"/>
              </w:rPr>
              <w:t>，并加盖单位公章</w:t>
            </w:r>
            <w:r>
              <w:rPr>
                <w:rFonts w:hint="eastAsia" w:ascii="宋体" w:hAnsi="宋体" w:eastAsia="宋体" w:cs="宋体"/>
                <w:sz w:val="24"/>
                <w:szCs w:val="24"/>
                <w:highlight w:val="none"/>
              </w:rPr>
              <w:t>。</w:t>
            </w:r>
            <w:bookmarkEnd w:id="212"/>
          </w:p>
        </w:tc>
      </w:tr>
      <w:tr w14:paraId="1981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709" w:type="dxa"/>
            <w:vAlign w:val="center"/>
          </w:tcPr>
          <w:p w14:paraId="71E51277">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916" w:type="dxa"/>
            <w:vAlign w:val="center"/>
          </w:tcPr>
          <w:p w14:paraId="5AE3D53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投标文件数量、装订</w:t>
            </w:r>
          </w:p>
        </w:tc>
        <w:tc>
          <w:tcPr>
            <w:tcW w:w="6591" w:type="dxa"/>
            <w:vAlign w:val="center"/>
          </w:tcPr>
          <w:p w14:paraId="4649E5E4">
            <w:pPr>
              <w:keepNext w:val="0"/>
              <w:keepLines w:val="0"/>
              <w:suppressLineNumbers w:val="0"/>
              <w:tabs>
                <w:tab w:val="left" w:pos="7013"/>
              </w:tabs>
              <w:spacing w:before="0" w:beforeAutospacing="0" w:after="0" w:afterAutospacing="0" w:line="240" w:lineRule="auto"/>
              <w:ind w:left="0" w:right="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）成交单位在领取成交通知书时须向采购代理机构提交</w:t>
            </w:r>
            <w:r>
              <w:rPr>
                <w:rFonts w:hint="eastAsia" w:ascii="宋体" w:hAnsi="宋体" w:eastAsia="宋体" w:cs="宋体"/>
                <w:bCs/>
                <w:sz w:val="24"/>
                <w:szCs w:val="24"/>
                <w:highlight w:val="none"/>
              </w:rPr>
              <w:t>投标文件正本一份，副本</w:t>
            </w:r>
            <w:r>
              <w:rPr>
                <w:rFonts w:hint="eastAsia" w:ascii="宋体" w:hAnsi="宋体" w:eastAsia="宋体" w:cs="宋体"/>
                <w:bCs/>
                <w:sz w:val="24"/>
                <w:szCs w:val="24"/>
                <w:highlight w:val="none"/>
                <w:lang w:eastAsia="zh-CN"/>
              </w:rPr>
              <w:t>二</w:t>
            </w:r>
            <w:r>
              <w:rPr>
                <w:rFonts w:hint="eastAsia" w:ascii="宋体" w:hAnsi="宋体" w:eastAsia="宋体" w:cs="宋体"/>
                <w:bCs/>
                <w:sz w:val="24"/>
                <w:szCs w:val="24"/>
                <w:highlight w:val="none"/>
              </w:rPr>
              <w:t>份，电子文件（U盘）一份。</w:t>
            </w:r>
            <w:r>
              <w:rPr>
                <w:rFonts w:hint="eastAsia" w:ascii="宋体" w:hAnsi="宋体" w:eastAsia="宋体" w:cs="宋体"/>
                <w:b/>
                <w:bCs w:val="0"/>
                <w:sz w:val="24"/>
                <w:szCs w:val="24"/>
                <w:highlight w:val="none"/>
                <w:lang w:eastAsia="zh-CN"/>
              </w:rPr>
              <w:t>提交的纸质投标文件须与网上上传的电子投标文件内容一致，若不一致导致的一切后果由供应商自负。</w:t>
            </w:r>
          </w:p>
          <w:p w14:paraId="7A697CA9">
            <w:pPr>
              <w:keepNext w:val="0"/>
              <w:keepLines w:val="0"/>
              <w:suppressLineNumbers w:val="0"/>
              <w:tabs>
                <w:tab w:val="left" w:pos="7013"/>
              </w:tabs>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正本和副本的封面上应清楚的标记“正本”或“副本”的字样</w:t>
            </w:r>
            <w:r>
              <w:rPr>
                <w:rFonts w:hint="eastAsia" w:ascii="宋体" w:hAnsi="宋体" w:eastAsia="宋体" w:cs="宋体"/>
                <w:sz w:val="24"/>
                <w:szCs w:val="24"/>
                <w:highlight w:val="none"/>
              </w:rPr>
              <w:t>。投标文件的正本与副本均应采用A4纸印刷，分别各自胶装成册，并编</w:t>
            </w:r>
            <w:r>
              <w:rPr>
                <w:rFonts w:hint="eastAsia" w:ascii="宋体" w:hAnsi="宋体" w:eastAsia="宋体" w:cs="宋体"/>
                <w:bCs/>
                <w:sz w:val="24"/>
                <w:szCs w:val="24"/>
                <w:highlight w:val="none"/>
              </w:rPr>
              <w:t>制目录和页码，不得采用活页装订。</w:t>
            </w:r>
          </w:p>
        </w:tc>
      </w:tr>
      <w:tr w14:paraId="2901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9" w:type="dxa"/>
            <w:vAlign w:val="center"/>
          </w:tcPr>
          <w:p w14:paraId="6A49CCE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1916" w:type="dxa"/>
            <w:vAlign w:val="center"/>
          </w:tcPr>
          <w:p w14:paraId="2D69ACA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评标委员会组建</w:t>
            </w:r>
          </w:p>
        </w:tc>
        <w:tc>
          <w:tcPr>
            <w:tcW w:w="6591" w:type="dxa"/>
            <w:vAlign w:val="center"/>
          </w:tcPr>
          <w:p w14:paraId="5FE27FD2">
            <w:pPr>
              <w:keepNext w:val="0"/>
              <w:keepLines w:val="0"/>
              <w:suppressLineNumbers w:val="0"/>
              <w:tabs>
                <w:tab w:val="left" w:pos="7013"/>
              </w:tabs>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评标委员会构成：</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其中，招标人代表：</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lang w:val="en-US" w:eastAsia="zh-CN"/>
              </w:rPr>
              <w:t>人，专家</w:t>
            </w:r>
            <w:r>
              <w:rPr>
                <w:rFonts w:hint="eastAsia" w:ascii="宋体" w:hAnsi="宋体" w:eastAsia="宋体" w:cs="宋体"/>
                <w:sz w:val="24"/>
                <w:szCs w:val="24"/>
                <w:highlight w:val="none"/>
                <w:u w:val="single"/>
                <w:lang w:val="en-US" w:eastAsia="zh-CN"/>
              </w:rPr>
              <w:t xml:space="preserve"> 4 </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w:t>
            </w:r>
          </w:p>
          <w:p w14:paraId="184548AB">
            <w:pPr>
              <w:keepNext w:val="0"/>
              <w:keepLines w:val="0"/>
              <w:suppressLineNumbers w:val="0"/>
              <w:tabs>
                <w:tab w:val="left" w:pos="7013"/>
              </w:tabs>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专家确定方式：</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前由采购代理机构在陕西省政府采购网评标专家系统中随机抽取评标专家。</w:t>
            </w:r>
          </w:p>
        </w:tc>
      </w:tr>
      <w:tr w14:paraId="3215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vAlign w:val="center"/>
          </w:tcPr>
          <w:p w14:paraId="55BA187F">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1916" w:type="dxa"/>
            <w:vAlign w:val="center"/>
          </w:tcPr>
          <w:p w14:paraId="27D551F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评标办法及标准</w:t>
            </w:r>
          </w:p>
        </w:tc>
        <w:tc>
          <w:tcPr>
            <w:tcW w:w="6591" w:type="dxa"/>
            <w:vAlign w:val="center"/>
          </w:tcPr>
          <w:p w14:paraId="1123C41F">
            <w:pPr>
              <w:pStyle w:val="43"/>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采用综合评估法，具体详</w:t>
            </w:r>
            <w:r>
              <w:rPr>
                <w:rFonts w:hint="eastAsia" w:ascii="宋体" w:hAnsi="宋体" w:eastAsia="宋体" w:cs="宋体"/>
                <w:sz w:val="24"/>
                <w:szCs w:val="24"/>
                <w:highlight w:val="none"/>
                <w:lang w:eastAsia="zh-CN"/>
              </w:rPr>
              <w:t>见</w:t>
            </w:r>
            <w:r>
              <w:rPr>
                <w:rFonts w:hint="eastAsia" w:ascii="宋体" w:hAnsi="宋体" w:eastAsia="宋体" w:cs="宋体"/>
                <w:sz w:val="24"/>
                <w:szCs w:val="24"/>
                <w:highlight w:val="none"/>
              </w:rPr>
              <w:t>招标文件第</w:t>
            </w:r>
            <w:r>
              <w:rPr>
                <w:rFonts w:hint="eastAsia" w:ascii="宋体" w:hAnsi="宋体" w:eastAsia="宋体" w:cs="宋体"/>
                <w:sz w:val="24"/>
                <w:szCs w:val="24"/>
                <w:highlight w:val="none"/>
                <w:lang w:eastAsia="zh-CN"/>
              </w:rPr>
              <w:t>三章“评标办法”</w:t>
            </w:r>
            <w:r>
              <w:rPr>
                <w:rFonts w:hint="eastAsia" w:ascii="宋体" w:hAnsi="宋体" w:eastAsia="宋体" w:cs="宋体"/>
                <w:sz w:val="24"/>
                <w:szCs w:val="24"/>
                <w:highlight w:val="none"/>
              </w:rPr>
              <w:t>。</w:t>
            </w:r>
          </w:p>
        </w:tc>
      </w:tr>
      <w:tr w14:paraId="3291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vAlign w:val="center"/>
          </w:tcPr>
          <w:p w14:paraId="32A1B018">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1916" w:type="dxa"/>
            <w:vAlign w:val="center"/>
          </w:tcPr>
          <w:p w14:paraId="0F62649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时限要求</w:t>
            </w:r>
          </w:p>
        </w:tc>
        <w:tc>
          <w:tcPr>
            <w:tcW w:w="6591" w:type="dxa"/>
            <w:vAlign w:val="center"/>
          </w:tcPr>
          <w:p w14:paraId="5990CD54">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提供具体日期至今资料的，若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在该日期后成立，只需提供自成立之日起至今的资料文件。</w:t>
            </w:r>
          </w:p>
        </w:tc>
      </w:tr>
      <w:tr w14:paraId="2883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09" w:type="dxa"/>
            <w:vAlign w:val="center"/>
          </w:tcPr>
          <w:p w14:paraId="59F411C7">
            <w:pPr>
              <w:pStyle w:val="7"/>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27</w:t>
            </w:r>
          </w:p>
        </w:tc>
        <w:tc>
          <w:tcPr>
            <w:tcW w:w="1916" w:type="dxa"/>
            <w:vAlign w:val="center"/>
          </w:tcPr>
          <w:p w14:paraId="5D7D04A4">
            <w:pPr>
              <w:pStyle w:val="7"/>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同义词语</w:t>
            </w:r>
          </w:p>
        </w:tc>
        <w:tc>
          <w:tcPr>
            <w:tcW w:w="6591" w:type="dxa"/>
            <w:vAlign w:val="center"/>
          </w:tcPr>
          <w:p w14:paraId="5E69FF57">
            <w:pPr>
              <w:pStyle w:val="7"/>
              <w:keepNext w:val="0"/>
              <w:keepLines w:val="0"/>
              <w:suppressLineNumbers w:val="0"/>
              <w:spacing w:before="0" w:beforeAutospacing="0" w:after="0" w:afterAutospacing="0" w:line="240" w:lineRule="auto"/>
              <w:ind w:left="0" w:right="0" w:firstLine="0"/>
              <w:jc w:val="both"/>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构成招标文件组成部分的各</w:t>
            </w:r>
            <w:r>
              <w:rPr>
                <w:rFonts w:hint="eastAsia" w:ascii="宋体" w:hAnsi="宋体" w:eastAsia="宋体" w:cs="宋体"/>
                <w:kern w:val="0"/>
                <w:sz w:val="24"/>
                <w:szCs w:val="24"/>
                <w:highlight w:val="none"/>
                <w:lang w:eastAsia="zh-CN"/>
              </w:rPr>
              <w:t>章节</w:t>
            </w:r>
            <w:r>
              <w:rPr>
                <w:rFonts w:hint="eastAsia" w:ascii="宋体" w:hAnsi="宋体" w:eastAsia="宋体" w:cs="宋体"/>
                <w:sz w:val="24"/>
                <w:szCs w:val="24"/>
                <w:highlight w:val="none"/>
                <w:lang w:eastAsia="zh-CN"/>
              </w:rPr>
              <w:t>中</w:t>
            </w:r>
            <w:r>
              <w:rPr>
                <w:rFonts w:hint="eastAsia" w:ascii="宋体" w:hAnsi="宋体" w:eastAsia="宋体" w:cs="宋体"/>
                <w:kern w:val="0"/>
                <w:sz w:val="24"/>
                <w:szCs w:val="24"/>
                <w:highlight w:val="none"/>
                <w:lang w:eastAsia="zh-CN"/>
              </w:rPr>
              <w:t>出现</w:t>
            </w:r>
            <w:r>
              <w:rPr>
                <w:rFonts w:hint="eastAsia" w:ascii="宋体" w:hAnsi="宋体" w:eastAsia="宋体" w:cs="宋体"/>
                <w:sz w:val="24"/>
                <w:szCs w:val="24"/>
                <w:highlight w:val="none"/>
                <w:lang w:eastAsia="zh-CN"/>
              </w:rPr>
              <w:t>的措辞“委托人”、“发包人”、“招标人”“和“投标人”、“承包人”在招标投标阶段应当分别按“采购人”和“供应商”进行理解。</w:t>
            </w:r>
          </w:p>
        </w:tc>
      </w:tr>
      <w:tr w14:paraId="3290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709" w:type="dxa"/>
            <w:vAlign w:val="center"/>
          </w:tcPr>
          <w:p w14:paraId="5A15B8EA">
            <w:pPr>
              <w:pStyle w:val="7"/>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sz w:val="24"/>
                <w:szCs w:val="24"/>
                <w:highlight w:val="none"/>
                <w:lang w:val="en-US" w:eastAsia="zh-CN"/>
              </w:rPr>
            </w:pPr>
            <w:bookmarkStart w:id="213" w:name="_Toc22502"/>
            <w:bookmarkStart w:id="214" w:name="_Toc18854"/>
            <w:bookmarkStart w:id="215" w:name="_Toc363474017"/>
            <w:bookmarkStart w:id="216" w:name="_Toc403077639"/>
            <w:bookmarkStart w:id="217" w:name="_Toc363473972"/>
            <w:r>
              <w:rPr>
                <w:rFonts w:hint="eastAsia" w:hAnsi="宋体" w:cs="宋体"/>
                <w:sz w:val="24"/>
                <w:szCs w:val="24"/>
                <w:highlight w:val="none"/>
                <w:lang w:val="en-US" w:eastAsia="zh-CN"/>
              </w:rPr>
              <w:t>28</w:t>
            </w:r>
          </w:p>
        </w:tc>
        <w:tc>
          <w:tcPr>
            <w:tcW w:w="1916" w:type="dxa"/>
            <w:vAlign w:val="center"/>
          </w:tcPr>
          <w:p w14:paraId="16F1A2EF">
            <w:pPr>
              <w:pStyle w:val="7"/>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电子投标</w:t>
            </w:r>
          </w:p>
          <w:p w14:paraId="5CE276C7">
            <w:pPr>
              <w:pStyle w:val="7"/>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注意事项</w:t>
            </w:r>
          </w:p>
        </w:tc>
        <w:tc>
          <w:tcPr>
            <w:tcW w:w="6591" w:type="dxa"/>
            <w:vAlign w:val="center"/>
          </w:tcPr>
          <w:p w14:paraId="74E62A8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8" w:lineRule="auto"/>
              <w:ind w:left="0" w:right="0" w:firstLine="240" w:firstLineChars="1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应在规定的时间内及时下载招标文件、澄清和修改文件以及答疑纪要等相关文件，在投标文件递交截止时间前</w:t>
            </w:r>
            <w:r>
              <w:rPr>
                <w:rFonts w:hint="eastAsia" w:ascii="宋体" w:hAnsi="宋体" w:eastAsia="宋体" w:cs="宋体"/>
                <w:b w:val="0"/>
                <w:bCs w:val="0"/>
                <w:sz w:val="24"/>
                <w:szCs w:val="24"/>
                <w:highlight w:val="none"/>
                <w:lang w:val="en-US" w:eastAsia="zh-CN"/>
              </w:rPr>
              <w:t>登录【</w:t>
            </w:r>
            <w:r>
              <w:rPr>
                <w:rFonts w:hint="eastAsia" w:ascii="宋体" w:hAnsi="宋体" w:eastAsia="宋体" w:cs="宋体"/>
                <w:b w:val="0"/>
                <w:bCs w:val="0"/>
                <w:sz w:val="24"/>
                <w:szCs w:val="24"/>
                <w:highlight w:val="none"/>
                <w:lang w:val="zh-CN" w:eastAsia="zh-CN"/>
              </w:rPr>
              <w:t>全国公共资源交易平台（陕西省·宝鸡市）宝鸡市公共资源交易中心</w:t>
            </w:r>
            <w:r>
              <w:rPr>
                <w:rFonts w:hint="eastAsia" w:ascii="宋体" w:hAnsi="宋体" w:eastAsia="宋体" w:cs="宋体"/>
                <w:b w:val="0"/>
                <w:bCs w:val="0"/>
                <w:sz w:val="24"/>
                <w:szCs w:val="24"/>
                <w:highlight w:val="none"/>
                <w:lang w:val="en-US" w:eastAsia="zh-CN"/>
              </w:rPr>
              <w:t>】上传电子投标文件</w:t>
            </w:r>
            <w:r>
              <w:rPr>
                <w:rFonts w:hint="eastAsia" w:ascii="宋体" w:hAnsi="宋体" w:eastAsia="宋体" w:cs="宋体"/>
                <w:sz w:val="24"/>
                <w:szCs w:val="24"/>
                <w:highlight w:val="none"/>
                <w:lang w:val="en-US" w:eastAsia="zh-CN"/>
              </w:rPr>
              <w:t>（*.SXSTF格式）。</w:t>
            </w:r>
            <w:r>
              <w:rPr>
                <w:rFonts w:hint="eastAsia" w:ascii="宋体" w:hAnsi="宋体" w:eastAsia="宋体" w:cs="宋体"/>
                <w:b/>
                <w:bCs/>
                <w:sz w:val="24"/>
                <w:szCs w:val="24"/>
                <w:highlight w:val="none"/>
                <w:lang w:val="en-US" w:eastAsia="zh-CN"/>
              </w:rPr>
              <w:t>除成交单位外，其余供应商无需提供纸质版投标文件。</w:t>
            </w:r>
          </w:p>
          <w:p w14:paraId="0E4F035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8" w:lineRule="auto"/>
              <w:ind w:left="0" w:right="0" w:firstLine="240" w:firstLineChars="1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应随时留意可能发布的变更公告，当澄清或修改的内容影响投标文件编制时，将在交易平台上同步发布答疑文件，此时</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应从“项目流程〉答疑文件下载”下载最新发布的答疑文件（*.SXSCF格式），并使用该文件重新编制电子投标文件（*.SXSTF格式），使用旧版电子招标文件或旧版答疑文件制作的电子投标文件，系统将拒绝接收。</w:t>
            </w:r>
          </w:p>
          <w:p w14:paraId="3E94DDE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8" w:lineRule="auto"/>
              <w:ind w:left="0" w:right="0" w:firstLine="240" w:firstLineChars="1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3.为了保证远程不见面开标顺利进行，</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需使用配备相关设备的电脑提前一小时登录网络开标大厅</w:t>
            </w:r>
            <w:r>
              <w:rPr>
                <w:rFonts w:hint="eastAsia" w:ascii="宋体" w:hAnsi="宋体" w:eastAsia="宋体" w:cs="宋体"/>
                <w:sz w:val="24"/>
                <w:highlight w:val="none"/>
                <w:lang w:val="en-US" w:eastAsia="zh-CN"/>
              </w:rPr>
              <w:t>进行线上签到</w:t>
            </w:r>
            <w:r>
              <w:rPr>
                <w:rFonts w:hint="eastAsia" w:ascii="宋体" w:hAnsi="宋体" w:eastAsia="宋体" w:cs="宋体"/>
                <w:sz w:val="24"/>
                <w:szCs w:val="24"/>
                <w:highlight w:val="none"/>
                <w:lang w:val="en-US" w:eastAsia="zh-CN"/>
              </w:rPr>
              <w:t>。因</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自身设施故障或自身原因导致无法完成投标的，由</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自行承担后果。</w:t>
            </w:r>
          </w:p>
        </w:tc>
      </w:tr>
    </w:tbl>
    <w:p w14:paraId="1636F64E">
      <w:pPr>
        <w:pStyle w:val="2"/>
        <w:spacing w:line="500" w:lineRule="exact"/>
        <w:jc w:val="center"/>
        <w:outlineLvl w:val="9"/>
        <w:rPr>
          <w:rFonts w:hint="eastAsia" w:ascii="宋体" w:hAnsi="宋体" w:eastAsia="宋体" w:cs="宋体"/>
          <w:szCs w:val="28"/>
          <w:highlight w:val="none"/>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12" w:charSpace="0"/>
        </w:sectPr>
      </w:pPr>
    </w:p>
    <w:p w14:paraId="6FB2387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8"/>
          <w:highlight w:val="none"/>
        </w:rPr>
      </w:pPr>
      <w:bookmarkStart w:id="218" w:name="_Toc848"/>
      <w:bookmarkStart w:id="219" w:name="_Toc24696"/>
      <w:bookmarkStart w:id="220" w:name="_Toc4392"/>
      <w:bookmarkStart w:id="221" w:name="_Toc22582"/>
      <w:bookmarkStart w:id="222" w:name="_Toc7300"/>
      <w:bookmarkStart w:id="223" w:name="_Toc4060"/>
      <w:bookmarkStart w:id="224" w:name="_Toc9264"/>
      <w:bookmarkStart w:id="225" w:name="_Toc6850"/>
      <w:bookmarkStart w:id="226" w:name="_Toc1712"/>
      <w:bookmarkStart w:id="227" w:name="_Toc15308"/>
      <w:r>
        <w:rPr>
          <w:rFonts w:hint="eastAsia" w:ascii="宋体" w:hAnsi="宋体" w:eastAsia="宋体" w:cs="宋体"/>
          <w:szCs w:val="28"/>
          <w:highlight w:val="none"/>
        </w:rPr>
        <w:t>二、</w:t>
      </w:r>
      <w:r>
        <w:rPr>
          <w:rFonts w:hint="eastAsia" w:ascii="宋体" w:hAnsi="宋体" w:eastAsia="宋体" w:cs="宋体"/>
          <w:szCs w:val="28"/>
          <w:highlight w:val="none"/>
          <w:lang w:eastAsia="zh-CN"/>
        </w:rPr>
        <w:t>供应商</w:t>
      </w:r>
      <w:r>
        <w:rPr>
          <w:rFonts w:hint="eastAsia" w:ascii="宋体" w:hAnsi="宋体" w:eastAsia="宋体" w:cs="宋体"/>
          <w:szCs w:val="28"/>
          <w:highlight w:val="none"/>
        </w:rPr>
        <w:t>须知正文</w:t>
      </w:r>
      <w:bookmarkEnd w:id="213"/>
      <w:bookmarkEnd w:id="214"/>
      <w:bookmarkEnd w:id="218"/>
      <w:bookmarkEnd w:id="219"/>
      <w:bookmarkEnd w:id="220"/>
      <w:bookmarkEnd w:id="221"/>
      <w:bookmarkEnd w:id="222"/>
      <w:bookmarkEnd w:id="223"/>
      <w:bookmarkEnd w:id="224"/>
      <w:bookmarkEnd w:id="225"/>
      <w:bookmarkEnd w:id="226"/>
      <w:bookmarkEnd w:id="227"/>
    </w:p>
    <w:p w14:paraId="642E44C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8"/>
          <w:highlight w:val="none"/>
        </w:rPr>
      </w:pPr>
      <w:bookmarkStart w:id="228" w:name="_Toc18453"/>
      <w:bookmarkStart w:id="229" w:name="_Toc30879"/>
      <w:bookmarkStart w:id="230" w:name="_Toc31568"/>
      <w:bookmarkStart w:id="231" w:name="_Toc20340"/>
      <w:bookmarkStart w:id="232" w:name="_Toc18170"/>
      <w:bookmarkStart w:id="233" w:name="_Toc686"/>
      <w:bookmarkStart w:id="234" w:name="_Toc27991"/>
      <w:bookmarkStart w:id="235" w:name="_Toc26684"/>
      <w:bookmarkStart w:id="236" w:name="_Toc11305"/>
      <w:bookmarkStart w:id="237" w:name="_Toc21970"/>
      <w:bookmarkStart w:id="238" w:name="_Toc13558"/>
      <w:bookmarkStart w:id="239" w:name="_Toc10953"/>
      <w:r>
        <w:rPr>
          <w:rFonts w:hint="eastAsia" w:ascii="宋体" w:hAnsi="宋体" w:eastAsia="宋体" w:cs="宋体"/>
          <w:szCs w:val="28"/>
          <w:highlight w:val="none"/>
        </w:rPr>
        <w:t>一、总  则</w:t>
      </w:r>
      <w:bookmarkEnd w:id="215"/>
      <w:bookmarkEnd w:id="216"/>
      <w:bookmarkEnd w:id="217"/>
      <w:bookmarkEnd w:id="228"/>
      <w:bookmarkEnd w:id="229"/>
      <w:bookmarkEnd w:id="230"/>
      <w:bookmarkEnd w:id="231"/>
      <w:bookmarkEnd w:id="232"/>
      <w:bookmarkEnd w:id="233"/>
      <w:bookmarkEnd w:id="234"/>
      <w:bookmarkEnd w:id="235"/>
      <w:bookmarkEnd w:id="236"/>
      <w:bookmarkEnd w:id="237"/>
      <w:bookmarkEnd w:id="238"/>
      <w:bookmarkEnd w:id="239"/>
    </w:p>
    <w:p w14:paraId="0FA2290C">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lang w:eastAsia="zh-CN"/>
        </w:rPr>
      </w:pPr>
      <w:r>
        <w:rPr>
          <w:rFonts w:hint="eastAsia" w:ascii="宋体" w:hAnsi="宋体" w:eastAsia="宋体" w:cs="宋体"/>
          <w:b/>
          <w:szCs w:val="24"/>
          <w:highlight w:val="none"/>
        </w:rPr>
        <w:t>1.</w:t>
      </w:r>
      <w:r>
        <w:rPr>
          <w:rFonts w:hint="eastAsia" w:ascii="宋体" w:hAnsi="宋体" w:eastAsia="宋体" w:cs="宋体"/>
          <w:b/>
          <w:szCs w:val="24"/>
          <w:highlight w:val="none"/>
          <w:lang w:eastAsia="zh-CN"/>
        </w:rPr>
        <w:t>项目概况</w:t>
      </w:r>
    </w:p>
    <w:p w14:paraId="0339983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本项目说明详见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0EACF3C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本项目按照《中华人民共和国政府采购法》</w:t>
      </w:r>
      <w:r>
        <w:rPr>
          <w:rFonts w:hint="eastAsia" w:ascii="宋体" w:hAnsi="宋体" w:eastAsia="宋体" w:cs="宋体"/>
          <w:sz w:val="24"/>
          <w:szCs w:val="24"/>
          <w:highlight w:val="none"/>
          <w:lang w:eastAsia="zh-CN"/>
        </w:rPr>
        <w:t>、</w:t>
      </w:r>
      <w:r>
        <w:rPr>
          <w:rFonts w:hint="eastAsia" w:ascii="宋体" w:hAnsi="宋体" w:eastAsia="宋体" w:cs="宋体"/>
          <w:kern w:val="0"/>
          <w:sz w:val="24"/>
          <w:highlight w:val="none"/>
          <w:lang w:eastAsia="zh-CN"/>
        </w:rPr>
        <w:t>《中华人民共和国政府采购法实施条例》、《政府采购货物和服务招标投标管理办法》、</w:t>
      </w:r>
      <w:r>
        <w:rPr>
          <w:rFonts w:hint="eastAsia" w:ascii="宋体" w:hAnsi="宋体" w:eastAsia="宋体" w:cs="宋体"/>
          <w:sz w:val="24"/>
          <w:szCs w:val="24"/>
          <w:highlight w:val="none"/>
        </w:rPr>
        <w:t>《中华人民共和国</w:t>
      </w:r>
      <w:r>
        <w:rPr>
          <w:rFonts w:hint="eastAsia" w:ascii="宋体" w:hAnsi="宋体" w:eastAsia="宋体" w:cs="宋体"/>
          <w:sz w:val="24"/>
          <w:szCs w:val="24"/>
          <w:highlight w:val="none"/>
          <w:lang w:eastAsia="zh-CN"/>
        </w:rPr>
        <w:t>招投标法</w:t>
      </w:r>
      <w:r>
        <w:rPr>
          <w:rFonts w:hint="eastAsia" w:ascii="宋体" w:hAnsi="宋体" w:eastAsia="宋体" w:cs="宋体"/>
          <w:sz w:val="24"/>
          <w:szCs w:val="24"/>
          <w:highlight w:val="none"/>
        </w:rPr>
        <w:t>》等有关法律、行政法规和部门规章，通过公开招标方式择优选定</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w:t>
      </w:r>
    </w:p>
    <w:p w14:paraId="1D4BDD9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Cs w:val="24"/>
          <w:highlight w:val="none"/>
          <w:lang w:val="en-US" w:eastAsia="zh-CN"/>
        </w:rPr>
        <w:t>3.本次招标采购所签合同使用</w:t>
      </w:r>
      <w:r>
        <w:rPr>
          <w:rFonts w:hint="eastAsia" w:ascii="宋体" w:hAnsi="宋体" w:eastAsia="宋体" w:cs="宋体"/>
          <w:sz w:val="24"/>
          <w:szCs w:val="24"/>
          <w:highlight w:val="none"/>
          <w:lang w:val="en-US" w:eastAsia="zh-CN"/>
        </w:rPr>
        <w:t>财政资金</w:t>
      </w:r>
      <w:r>
        <w:rPr>
          <w:rFonts w:hint="eastAsia" w:ascii="宋体" w:hAnsi="宋体" w:eastAsia="宋体" w:cs="宋体"/>
          <w:color w:val="000000"/>
          <w:kern w:val="2"/>
          <w:sz w:val="24"/>
          <w:szCs w:val="24"/>
          <w:highlight w:val="none"/>
          <w:lang w:val="en-US" w:eastAsia="zh-CN" w:bidi="ar-SA"/>
        </w:rPr>
        <w:t>支付</w:t>
      </w:r>
      <w:r>
        <w:rPr>
          <w:rFonts w:hint="eastAsia" w:ascii="宋体" w:hAnsi="宋体" w:eastAsia="宋体" w:cs="宋体"/>
          <w:szCs w:val="24"/>
          <w:highlight w:val="none"/>
          <w:lang w:val="en-US" w:eastAsia="zh-CN"/>
        </w:rPr>
        <w:t>，资金已落实到位</w:t>
      </w:r>
      <w:r>
        <w:rPr>
          <w:rFonts w:hint="eastAsia" w:ascii="宋体" w:hAnsi="宋体" w:eastAsia="宋体" w:cs="宋体"/>
          <w:sz w:val="24"/>
          <w:szCs w:val="24"/>
          <w:highlight w:val="none"/>
          <w:lang w:eastAsia="zh-CN"/>
        </w:rPr>
        <w:t>。</w:t>
      </w:r>
    </w:p>
    <w:p w14:paraId="4A21D964">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lang w:eastAsia="zh-CN"/>
        </w:rPr>
      </w:pPr>
      <w:r>
        <w:rPr>
          <w:rFonts w:hint="eastAsia" w:ascii="宋体" w:hAnsi="宋体" w:eastAsia="宋体" w:cs="宋体"/>
          <w:b/>
          <w:szCs w:val="24"/>
          <w:highlight w:val="none"/>
        </w:rPr>
        <w:t>2.采购代理机构及合格的</w:t>
      </w:r>
      <w:r>
        <w:rPr>
          <w:rFonts w:hint="eastAsia" w:ascii="宋体" w:hAnsi="宋体" w:eastAsia="宋体" w:cs="宋体"/>
          <w:b/>
          <w:szCs w:val="24"/>
          <w:highlight w:val="none"/>
          <w:lang w:eastAsia="zh-CN"/>
        </w:rPr>
        <w:t>供应商</w:t>
      </w:r>
    </w:p>
    <w:p w14:paraId="295D7B59">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szCs w:val="24"/>
          <w:highlight w:val="none"/>
        </w:rPr>
      </w:pPr>
      <w:r>
        <w:rPr>
          <w:rFonts w:hint="eastAsia" w:ascii="宋体" w:hAnsi="宋体" w:eastAsia="宋体" w:cs="宋体"/>
          <w:b/>
          <w:szCs w:val="24"/>
          <w:highlight w:val="none"/>
        </w:rPr>
        <w:t>2.1 采购代理机构</w:t>
      </w:r>
    </w:p>
    <w:p w14:paraId="2DEF4A9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实施本次招标的采购代理机构为</w:t>
      </w:r>
      <w:r>
        <w:rPr>
          <w:rFonts w:hint="eastAsia" w:ascii="宋体" w:hAnsi="宋体" w:eastAsia="宋体" w:cs="宋体"/>
          <w:sz w:val="24"/>
          <w:szCs w:val="24"/>
          <w:highlight w:val="none"/>
          <w:lang w:eastAsia="zh-CN"/>
        </w:rPr>
        <w:t>陕西中耀昌项目管理有限公司</w:t>
      </w:r>
      <w:r>
        <w:rPr>
          <w:rFonts w:hint="eastAsia" w:ascii="宋体" w:hAnsi="宋体" w:eastAsia="宋体" w:cs="宋体"/>
          <w:szCs w:val="24"/>
          <w:highlight w:val="none"/>
        </w:rPr>
        <w:t>。</w:t>
      </w:r>
    </w:p>
    <w:p w14:paraId="7FAB55A8">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szCs w:val="24"/>
          <w:highlight w:val="none"/>
        </w:rPr>
      </w:pPr>
      <w:r>
        <w:rPr>
          <w:rFonts w:hint="eastAsia" w:ascii="宋体" w:hAnsi="宋体" w:eastAsia="宋体" w:cs="宋体"/>
          <w:b/>
          <w:szCs w:val="24"/>
          <w:highlight w:val="none"/>
        </w:rPr>
        <w:t>2.2合格的</w:t>
      </w:r>
      <w:r>
        <w:rPr>
          <w:rFonts w:hint="eastAsia" w:ascii="宋体" w:hAnsi="宋体" w:eastAsia="宋体" w:cs="宋体"/>
          <w:b/>
          <w:szCs w:val="24"/>
          <w:highlight w:val="none"/>
          <w:lang w:eastAsia="zh-CN"/>
        </w:rPr>
        <w:t>供应商</w:t>
      </w:r>
      <w:r>
        <w:rPr>
          <w:rFonts w:hint="eastAsia" w:ascii="宋体" w:hAnsi="宋体" w:eastAsia="宋体" w:cs="宋体"/>
          <w:b/>
          <w:szCs w:val="24"/>
          <w:highlight w:val="none"/>
        </w:rPr>
        <w:t>：</w:t>
      </w:r>
    </w:p>
    <w:p w14:paraId="444972E1">
      <w:pPr>
        <w:keepNext w:val="0"/>
        <w:keepLines w:val="0"/>
        <w:pageBreakBefore w:val="0"/>
        <w:widowControl w:val="0"/>
        <w:tabs>
          <w:tab w:val="left" w:pos="851"/>
        </w:tabs>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2.2.1具备下列所有条件，方为合格的</w:t>
      </w:r>
      <w:r>
        <w:rPr>
          <w:rFonts w:hint="eastAsia" w:ascii="宋体" w:hAnsi="宋体" w:eastAsia="宋体" w:cs="宋体"/>
          <w:sz w:val="24"/>
          <w:szCs w:val="24"/>
          <w:highlight w:val="none"/>
          <w:lang w:val="en-US" w:eastAsia="zh-CN"/>
        </w:rPr>
        <w:t>供应商</w:t>
      </w:r>
    </w:p>
    <w:p w14:paraId="7C46C3E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1）具有独立承担民事责任的能力；</w:t>
      </w:r>
    </w:p>
    <w:p w14:paraId="47963D6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2）具有良好的商业信誉和健全的财务会计制度；</w:t>
      </w:r>
    </w:p>
    <w:p w14:paraId="3A02C0D8">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3）具有履行合同所必需的设备和专业技术能力；</w:t>
      </w:r>
    </w:p>
    <w:p w14:paraId="4086168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4）有依法缴纳税收和社会保障资金的</w:t>
      </w:r>
      <w:r>
        <w:rPr>
          <w:rFonts w:hint="eastAsia" w:ascii="宋体" w:hAnsi="宋体" w:eastAsia="宋体" w:cs="宋体"/>
          <w:szCs w:val="24"/>
          <w:highlight w:val="none"/>
          <w:lang w:eastAsia="zh-CN"/>
        </w:rPr>
        <w:t>良好记录</w:t>
      </w:r>
      <w:r>
        <w:rPr>
          <w:rFonts w:hint="eastAsia" w:ascii="宋体" w:hAnsi="宋体" w:eastAsia="宋体" w:cs="宋体"/>
          <w:szCs w:val="24"/>
          <w:highlight w:val="none"/>
        </w:rPr>
        <w:t>；</w:t>
      </w:r>
    </w:p>
    <w:p w14:paraId="05C2D9A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5）参加政府采购活动前三年内，在经营活动中没有重大违法</w:t>
      </w:r>
      <w:r>
        <w:rPr>
          <w:rFonts w:hint="eastAsia" w:ascii="宋体" w:hAnsi="宋体" w:eastAsia="宋体" w:cs="宋体"/>
          <w:szCs w:val="24"/>
          <w:highlight w:val="none"/>
          <w:lang w:eastAsia="zh-CN"/>
        </w:rPr>
        <w:t>记录</w:t>
      </w:r>
      <w:r>
        <w:rPr>
          <w:rFonts w:hint="eastAsia" w:ascii="宋体" w:hAnsi="宋体" w:eastAsia="宋体" w:cs="宋体"/>
          <w:szCs w:val="24"/>
          <w:highlight w:val="none"/>
        </w:rPr>
        <w:t>；</w:t>
      </w:r>
    </w:p>
    <w:p w14:paraId="174270F8">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6）法律、行政法规规定的其他条件；</w:t>
      </w:r>
    </w:p>
    <w:p w14:paraId="26D998D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w:t>
      </w:r>
      <w:r>
        <w:rPr>
          <w:rFonts w:hint="eastAsia" w:ascii="宋体" w:hAnsi="宋体" w:eastAsia="宋体" w:cs="宋体"/>
          <w:szCs w:val="24"/>
          <w:highlight w:val="none"/>
          <w:lang w:eastAsia="zh-CN"/>
        </w:rPr>
        <w:t>满足</w:t>
      </w:r>
      <w:r>
        <w:rPr>
          <w:rFonts w:hint="eastAsia" w:ascii="宋体" w:hAnsi="宋体" w:eastAsia="宋体" w:cs="宋体"/>
          <w:szCs w:val="24"/>
          <w:highlight w:val="none"/>
        </w:rPr>
        <w:t>本次采购项目规定的</w:t>
      </w:r>
      <w:r>
        <w:rPr>
          <w:rFonts w:hint="eastAsia" w:ascii="宋体" w:hAnsi="宋体" w:eastAsia="宋体" w:cs="宋体"/>
          <w:sz w:val="24"/>
          <w:szCs w:val="24"/>
          <w:highlight w:val="none"/>
          <w:lang w:val="en-US" w:eastAsia="zh-CN"/>
        </w:rPr>
        <w:t>供应商</w:t>
      </w:r>
      <w:r>
        <w:rPr>
          <w:rFonts w:hint="eastAsia" w:ascii="宋体" w:hAnsi="宋体" w:eastAsia="宋体" w:cs="宋体"/>
          <w:szCs w:val="24"/>
          <w:highlight w:val="none"/>
          <w:lang w:eastAsia="zh-CN"/>
        </w:rPr>
        <w:t>资格</w:t>
      </w:r>
      <w:r>
        <w:rPr>
          <w:rFonts w:hint="eastAsia" w:ascii="宋体" w:hAnsi="宋体" w:eastAsia="宋体" w:cs="宋体"/>
          <w:szCs w:val="24"/>
          <w:highlight w:val="none"/>
        </w:rPr>
        <w:t>条件（见</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w:t>
      </w:r>
    </w:p>
    <w:p w14:paraId="3DDB30B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2.2.</w:t>
      </w:r>
      <w:r>
        <w:rPr>
          <w:rFonts w:hint="eastAsia" w:ascii="宋体" w:hAnsi="宋体" w:eastAsia="宋体" w:cs="宋体"/>
          <w:szCs w:val="24"/>
          <w:highlight w:val="none"/>
          <w:lang w:val="en-US" w:eastAsia="zh-CN"/>
        </w:rPr>
        <w:t>2</w:t>
      </w:r>
      <w:r>
        <w:rPr>
          <w:rFonts w:hint="eastAsia" w:ascii="宋体" w:hAnsi="宋体" w:eastAsia="宋体" w:cs="宋体"/>
          <w:sz w:val="24"/>
          <w:szCs w:val="24"/>
          <w:highlight w:val="none"/>
          <w:lang w:val="en-US" w:eastAsia="zh-CN"/>
        </w:rPr>
        <w:t>供应商</w:t>
      </w:r>
      <w:r>
        <w:rPr>
          <w:rFonts w:hint="eastAsia" w:ascii="宋体" w:hAnsi="宋体" w:eastAsia="宋体" w:cs="宋体"/>
          <w:szCs w:val="24"/>
          <w:highlight w:val="none"/>
        </w:rPr>
        <w:t>不得直接或间接的与招标采购单位（包括</w:t>
      </w:r>
      <w:r>
        <w:rPr>
          <w:rFonts w:hint="eastAsia" w:ascii="宋体" w:hAnsi="宋体" w:eastAsia="宋体" w:cs="宋体"/>
          <w:sz w:val="24"/>
          <w:szCs w:val="24"/>
          <w:highlight w:val="none"/>
          <w:lang w:val="en-US" w:eastAsia="zh-CN"/>
        </w:rPr>
        <w:t>陕西中耀昌项目管理有限公司</w:t>
      </w:r>
      <w:r>
        <w:rPr>
          <w:rFonts w:hint="eastAsia" w:ascii="宋体" w:hAnsi="宋体" w:eastAsia="宋体" w:cs="宋体"/>
          <w:szCs w:val="24"/>
          <w:highlight w:val="none"/>
        </w:rPr>
        <w:t>及采购人）有任何关联，亦不得是招标采购单位的附属机构。如果</w:t>
      </w:r>
      <w:r>
        <w:rPr>
          <w:rFonts w:hint="eastAsia" w:ascii="宋体" w:hAnsi="宋体" w:eastAsia="宋体" w:cs="宋体"/>
          <w:sz w:val="24"/>
          <w:szCs w:val="24"/>
          <w:highlight w:val="none"/>
          <w:lang w:val="en-US" w:eastAsia="zh-CN"/>
        </w:rPr>
        <w:t>供应商</w:t>
      </w:r>
      <w:r>
        <w:rPr>
          <w:rFonts w:hint="eastAsia" w:ascii="宋体" w:hAnsi="宋体" w:eastAsia="宋体" w:cs="宋体"/>
          <w:szCs w:val="24"/>
          <w:highlight w:val="none"/>
        </w:rPr>
        <w:t>在投标中隐瞒了上述关系，一经证实，则该投标无效。</w:t>
      </w:r>
    </w:p>
    <w:p w14:paraId="1524AE0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2.3本项目不</w:t>
      </w:r>
      <w:r>
        <w:rPr>
          <w:rFonts w:hint="eastAsia" w:ascii="宋体" w:hAnsi="宋体" w:eastAsia="宋体" w:cs="宋体"/>
          <w:szCs w:val="24"/>
          <w:highlight w:val="none"/>
          <w:lang w:eastAsia="zh-CN"/>
        </w:rPr>
        <w:t>接受</w:t>
      </w:r>
      <w:r>
        <w:rPr>
          <w:rFonts w:hint="eastAsia" w:ascii="宋体" w:hAnsi="宋体" w:eastAsia="宋体" w:cs="宋体"/>
          <w:szCs w:val="24"/>
          <w:highlight w:val="none"/>
        </w:rPr>
        <w:t>联合体投标。</w:t>
      </w:r>
    </w:p>
    <w:p w14:paraId="53728DF9">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szCs w:val="24"/>
          <w:highlight w:val="none"/>
        </w:rPr>
      </w:pPr>
      <w:r>
        <w:rPr>
          <w:rFonts w:hint="eastAsia" w:ascii="宋体" w:hAnsi="宋体" w:eastAsia="宋体" w:cs="宋体"/>
          <w:b/>
          <w:szCs w:val="24"/>
          <w:highlight w:val="none"/>
        </w:rPr>
        <w:t>2.4现场勘查、标前答疑会</w:t>
      </w:r>
    </w:p>
    <w:p w14:paraId="5A29FEE1">
      <w:pPr>
        <w:keepNext w:val="0"/>
        <w:keepLines w:val="0"/>
        <w:pageBreakBefore w:val="0"/>
        <w:widowControl w:val="0"/>
        <w:wordWrap/>
        <w:overflowPunct/>
        <w:topLinePunct w:val="0"/>
        <w:autoSpaceDE/>
        <w:autoSpaceDN/>
        <w:bidi w:val="0"/>
        <w:spacing w:line="360" w:lineRule="auto"/>
        <w:ind w:firstLine="600" w:firstLineChars="25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采购</w:t>
      </w:r>
      <w:r>
        <w:rPr>
          <w:rFonts w:hint="eastAsia" w:ascii="宋体" w:hAnsi="宋体" w:eastAsia="宋体" w:cs="宋体"/>
          <w:szCs w:val="24"/>
          <w:highlight w:val="none"/>
        </w:rPr>
        <w:t>人不组织踏勘现场</w:t>
      </w:r>
      <w:r>
        <w:rPr>
          <w:rFonts w:hint="eastAsia" w:ascii="宋体" w:hAnsi="宋体" w:eastAsia="宋体" w:cs="宋体"/>
          <w:szCs w:val="24"/>
          <w:highlight w:val="none"/>
          <w:lang w:eastAsia="zh-CN"/>
        </w:rPr>
        <w:t>和标前答疑会</w:t>
      </w:r>
      <w:r>
        <w:rPr>
          <w:rFonts w:hint="eastAsia" w:ascii="宋体" w:hAnsi="宋体" w:eastAsia="宋体" w:cs="宋体"/>
          <w:szCs w:val="24"/>
          <w:highlight w:val="none"/>
        </w:rPr>
        <w:t>。</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认为有必要可自行勘查，并承担所有费用及风险。</w:t>
      </w:r>
    </w:p>
    <w:p w14:paraId="70B1B32A">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szCs w:val="24"/>
          <w:highlight w:val="none"/>
        </w:rPr>
      </w:pPr>
      <w:r>
        <w:rPr>
          <w:rFonts w:hint="eastAsia" w:ascii="宋体" w:hAnsi="宋体" w:eastAsia="宋体" w:cs="宋体"/>
          <w:b/>
          <w:szCs w:val="24"/>
          <w:highlight w:val="none"/>
        </w:rPr>
        <w:t>2.5费用承担</w:t>
      </w:r>
    </w:p>
    <w:p w14:paraId="31F9053D">
      <w:pPr>
        <w:keepNext w:val="0"/>
        <w:keepLines w:val="0"/>
        <w:pageBreakBefore w:val="0"/>
        <w:widowControl w:val="0"/>
        <w:wordWrap/>
        <w:overflowPunct/>
        <w:topLinePunct w:val="0"/>
        <w:autoSpaceDE/>
        <w:autoSpaceDN/>
        <w:bidi w:val="0"/>
        <w:spacing w:line="360" w:lineRule="auto"/>
        <w:ind w:firstLine="600" w:firstLineChars="250"/>
        <w:textAlignment w:val="auto"/>
        <w:rPr>
          <w:rFonts w:hint="eastAsia" w:ascii="宋体" w:hAnsi="宋体" w:eastAsia="宋体" w:cs="宋体"/>
          <w:szCs w:val="24"/>
          <w:highlight w:val="none"/>
        </w:rPr>
      </w:pPr>
      <w:r>
        <w:rPr>
          <w:rFonts w:hint="eastAsia" w:ascii="宋体" w:hAnsi="宋体" w:eastAsia="宋体" w:cs="宋体"/>
          <w:szCs w:val="24"/>
          <w:highlight w:val="none"/>
        </w:rPr>
        <w:t>不论投标的结果如何，</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均应自行承担所有与参加投标有关的费用。</w:t>
      </w:r>
    </w:p>
    <w:p w14:paraId="0D1FA2A3">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szCs w:val="24"/>
          <w:highlight w:val="none"/>
        </w:rPr>
      </w:pPr>
      <w:r>
        <w:rPr>
          <w:rFonts w:hint="eastAsia" w:ascii="宋体" w:hAnsi="宋体" w:eastAsia="宋体" w:cs="宋体"/>
          <w:b/>
          <w:szCs w:val="24"/>
          <w:highlight w:val="none"/>
        </w:rPr>
        <w:t>2.6计量单位</w:t>
      </w:r>
    </w:p>
    <w:p w14:paraId="35ED0519">
      <w:pPr>
        <w:keepNext w:val="0"/>
        <w:keepLines w:val="0"/>
        <w:pageBreakBefore w:val="0"/>
        <w:widowControl w:val="0"/>
        <w:wordWrap/>
        <w:overflowPunct/>
        <w:topLinePunct w:val="0"/>
        <w:autoSpaceDE/>
        <w:autoSpaceDN/>
        <w:bidi w:val="0"/>
        <w:spacing w:line="360" w:lineRule="auto"/>
        <w:ind w:left="-180" w:leftChars="-75" w:firstLine="744" w:firstLineChars="310"/>
        <w:textAlignment w:val="auto"/>
        <w:rPr>
          <w:rFonts w:hint="eastAsia" w:ascii="宋体" w:hAnsi="宋体" w:eastAsia="宋体" w:cs="宋体"/>
          <w:szCs w:val="24"/>
          <w:highlight w:val="none"/>
        </w:rPr>
      </w:pPr>
      <w:r>
        <w:rPr>
          <w:rFonts w:hint="eastAsia" w:ascii="宋体" w:hAnsi="宋体" w:eastAsia="宋体" w:cs="宋体"/>
          <w:szCs w:val="24"/>
          <w:highlight w:val="none"/>
        </w:rPr>
        <w:t>投标文件中所使用的计量单位，除有特殊要求外，均采用国家法定计量单位。</w:t>
      </w:r>
    </w:p>
    <w:p w14:paraId="382DB935">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3.投标服务的合格性和合法性</w:t>
      </w:r>
    </w:p>
    <w:p w14:paraId="597D9ED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投标服务应满足招标文件的要求并应符合国家法律法规、行业管理部门要求的强制性标准。</w:t>
      </w:r>
    </w:p>
    <w:p w14:paraId="364E5F5B">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4.投标文件内容的真实性</w:t>
      </w:r>
    </w:p>
    <w:p w14:paraId="3C0B51B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应保证其投标文件中所提供的所有投标资料、信息是真实的，并且来源于合法的渠道。因投标文件中所提供的投标资料、信息不真实或者其来源不合法而导致的所有法律责任，由</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自行承担。</w:t>
      </w:r>
    </w:p>
    <w:p w14:paraId="43FB2122">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5.招标过程的监督和管理</w:t>
      </w:r>
    </w:p>
    <w:p w14:paraId="6837BA0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yellow"/>
        </w:rPr>
      </w:pPr>
      <w:r>
        <w:rPr>
          <w:rFonts w:hint="eastAsia" w:ascii="宋体" w:hAnsi="宋体" w:eastAsia="宋体" w:cs="宋体"/>
          <w:sz w:val="24"/>
          <w:szCs w:val="24"/>
          <w:highlight w:val="none"/>
          <w:lang w:val="en-US" w:eastAsia="zh-CN"/>
        </w:rPr>
        <w:t>本项目招标监督单位为：陈仓区财政局。</w:t>
      </w:r>
      <w:r>
        <w:rPr>
          <w:rFonts w:hint="eastAsia" w:ascii="宋体" w:hAnsi="宋体" w:eastAsia="宋体" w:cs="宋体"/>
          <w:szCs w:val="24"/>
          <w:highlight w:val="none"/>
        </w:rPr>
        <w:t xml:space="preserve">  </w:t>
      </w:r>
    </w:p>
    <w:p w14:paraId="0F2B2ED0">
      <w:pPr>
        <w:pStyle w:val="2"/>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szCs w:val="28"/>
          <w:highlight w:val="none"/>
        </w:rPr>
      </w:pPr>
      <w:bookmarkStart w:id="240" w:name="_Toc403077640"/>
      <w:bookmarkStart w:id="241" w:name="_Toc16725"/>
      <w:bookmarkStart w:id="242" w:name="_Toc363474018"/>
      <w:bookmarkStart w:id="243" w:name="_Toc27927"/>
      <w:bookmarkStart w:id="244" w:name="_Toc31071"/>
      <w:bookmarkStart w:id="245" w:name="_Toc13380"/>
      <w:bookmarkStart w:id="246" w:name="_Toc363473973"/>
      <w:bookmarkStart w:id="247" w:name="_Toc16179"/>
      <w:bookmarkStart w:id="248" w:name="_Toc3113"/>
      <w:bookmarkStart w:id="249" w:name="_Toc6698"/>
      <w:bookmarkStart w:id="250" w:name="_Toc18528"/>
      <w:bookmarkStart w:id="251" w:name="_Toc21818"/>
      <w:bookmarkStart w:id="252" w:name="_Toc23078"/>
      <w:bookmarkStart w:id="253" w:name="_Toc32191"/>
      <w:bookmarkStart w:id="254" w:name="_Toc32330"/>
      <w:r>
        <w:rPr>
          <w:rFonts w:hint="eastAsia" w:ascii="宋体" w:hAnsi="宋体" w:eastAsia="宋体" w:cs="宋体"/>
          <w:szCs w:val="28"/>
          <w:highlight w:val="none"/>
        </w:rPr>
        <w:t>二、招标文件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96BF5B5">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6.招标文件的组成　　</w:t>
      </w:r>
    </w:p>
    <w:p w14:paraId="27C25F3B">
      <w:pPr>
        <w:keepNext w:val="0"/>
        <w:keepLines w:val="0"/>
        <w:pageBreakBefore w:val="0"/>
        <w:widowControl w:val="0"/>
        <w:wordWrap/>
        <w:overflowPunct/>
        <w:topLinePunct w:val="0"/>
        <w:autoSpaceDE/>
        <w:autoSpaceDN/>
        <w:bidi w:val="0"/>
        <w:spacing w:line="360" w:lineRule="auto"/>
        <w:ind w:firstLine="600" w:firstLineChars="250"/>
        <w:textAlignment w:val="auto"/>
        <w:rPr>
          <w:rFonts w:hint="eastAsia" w:ascii="宋体" w:hAnsi="宋体" w:eastAsia="宋体" w:cs="宋体"/>
          <w:szCs w:val="24"/>
          <w:highlight w:val="none"/>
        </w:rPr>
      </w:pPr>
      <w:r>
        <w:rPr>
          <w:rFonts w:hint="eastAsia" w:ascii="宋体" w:hAnsi="宋体" w:eastAsia="宋体" w:cs="宋体"/>
          <w:szCs w:val="24"/>
          <w:highlight w:val="none"/>
        </w:rPr>
        <w:t>6.1 招标文件要求提供的</w:t>
      </w:r>
      <w:r>
        <w:rPr>
          <w:rFonts w:hint="eastAsia" w:ascii="宋体" w:hAnsi="宋体" w:eastAsia="宋体" w:cs="宋体"/>
          <w:szCs w:val="24"/>
          <w:highlight w:val="none"/>
          <w:lang w:eastAsia="zh-CN"/>
        </w:rPr>
        <w:t>服务</w:t>
      </w:r>
      <w:r>
        <w:rPr>
          <w:rFonts w:hint="eastAsia" w:ascii="宋体" w:hAnsi="宋体" w:eastAsia="宋体" w:cs="宋体"/>
          <w:szCs w:val="24"/>
          <w:highlight w:val="none"/>
        </w:rPr>
        <w:t>，招标程序和合同条件在招标文件中均有说明。招标文件共</w:t>
      </w:r>
      <w:r>
        <w:rPr>
          <w:rFonts w:hint="eastAsia" w:ascii="宋体" w:hAnsi="宋体" w:eastAsia="宋体" w:cs="宋体"/>
          <w:szCs w:val="24"/>
          <w:highlight w:val="none"/>
          <w:lang w:eastAsia="zh-CN"/>
        </w:rPr>
        <w:t>六</w:t>
      </w:r>
      <w:r>
        <w:rPr>
          <w:rFonts w:hint="eastAsia" w:ascii="宋体" w:hAnsi="宋体" w:eastAsia="宋体" w:cs="宋体"/>
          <w:szCs w:val="24"/>
          <w:highlight w:val="none"/>
        </w:rPr>
        <w:t>章，内容如下：</w:t>
      </w:r>
    </w:p>
    <w:p w14:paraId="36546B5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_Toc9549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eastAsia="zh-CN"/>
        </w:rPr>
        <w:t>第一章</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招标公告</w:t>
      </w:r>
      <w:r>
        <w:rPr>
          <w:rFonts w:hint="eastAsia" w:ascii="宋体" w:hAnsi="宋体" w:eastAsia="宋体" w:cs="宋体"/>
          <w:szCs w:val="24"/>
          <w:highlight w:val="none"/>
          <w:lang w:eastAsia="zh-CN"/>
        </w:rPr>
        <w:fldChar w:fldCharType="end"/>
      </w:r>
    </w:p>
    <w:p w14:paraId="28C7884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_Toc26895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eastAsia="zh-CN"/>
        </w:rPr>
        <w:t>第二章 供应商须知</w:t>
      </w:r>
      <w:r>
        <w:rPr>
          <w:rFonts w:hint="eastAsia" w:ascii="宋体" w:hAnsi="宋体" w:eastAsia="宋体" w:cs="宋体"/>
          <w:szCs w:val="24"/>
          <w:highlight w:val="none"/>
          <w:lang w:eastAsia="zh-CN"/>
        </w:rPr>
        <w:fldChar w:fldCharType="end"/>
      </w:r>
    </w:p>
    <w:p w14:paraId="11A8351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_Toc5141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eastAsia="zh-CN"/>
        </w:rPr>
        <w:t>第三章</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评标办法</w:t>
      </w:r>
      <w:r>
        <w:rPr>
          <w:rFonts w:hint="eastAsia" w:ascii="宋体" w:hAnsi="宋体" w:eastAsia="宋体" w:cs="宋体"/>
          <w:szCs w:val="24"/>
          <w:highlight w:val="none"/>
          <w:lang w:eastAsia="zh-CN"/>
        </w:rPr>
        <w:fldChar w:fldCharType="end"/>
      </w:r>
    </w:p>
    <w:p w14:paraId="6A24C3B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_Toc7369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val="en-US" w:eastAsia="zh-CN"/>
        </w:rPr>
        <w:t>第四章 采购内容及要求</w:t>
      </w:r>
      <w:r>
        <w:rPr>
          <w:rFonts w:hint="eastAsia" w:ascii="宋体" w:hAnsi="宋体" w:eastAsia="宋体" w:cs="宋体"/>
          <w:szCs w:val="24"/>
          <w:highlight w:val="none"/>
          <w:lang w:eastAsia="zh-CN"/>
        </w:rPr>
        <w:fldChar w:fldCharType="end"/>
      </w:r>
    </w:p>
    <w:p w14:paraId="7439334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_Toc7953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eastAsia="zh-CN"/>
        </w:rPr>
        <w:t>第五章</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合同条款及格式</w:t>
      </w:r>
      <w:r>
        <w:rPr>
          <w:rFonts w:hint="eastAsia" w:ascii="宋体" w:hAnsi="宋体" w:eastAsia="宋体" w:cs="宋体"/>
          <w:szCs w:val="24"/>
          <w:highlight w:val="none"/>
          <w:lang w:eastAsia="zh-CN"/>
        </w:rPr>
        <w:fldChar w:fldCharType="end"/>
      </w:r>
    </w:p>
    <w:p w14:paraId="041D41E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fldChar w:fldCharType="begin"/>
      </w:r>
      <w:r>
        <w:rPr>
          <w:rFonts w:hint="eastAsia" w:ascii="宋体" w:hAnsi="宋体" w:eastAsia="宋体" w:cs="宋体"/>
          <w:szCs w:val="24"/>
          <w:highlight w:val="none"/>
          <w:lang w:eastAsia="zh-CN"/>
        </w:rPr>
        <w:instrText xml:space="preserve"> HYPERLINK \l _Toc7532 </w:instrText>
      </w:r>
      <w:r>
        <w:rPr>
          <w:rFonts w:hint="eastAsia" w:ascii="宋体" w:hAnsi="宋体" w:eastAsia="宋体" w:cs="宋体"/>
          <w:szCs w:val="24"/>
          <w:highlight w:val="none"/>
          <w:lang w:eastAsia="zh-CN"/>
        </w:rPr>
        <w:fldChar w:fldCharType="separate"/>
      </w:r>
      <w:r>
        <w:rPr>
          <w:rFonts w:hint="eastAsia" w:ascii="宋体" w:hAnsi="宋体" w:eastAsia="宋体" w:cs="宋体"/>
          <w:szCs w:val="24"/>
          <w:highlight w:val="none"/>
          <w:lang w:eastAsia="zh-CN"/>
        </w:rPr>
        <w:t>第六章</w:t>
      </w:r>
      <w:r>
        <w:rPr>
          <w:rFonts w:hint="eastAsia" w:ascii="宋体" w:hAnsi="宋体" w:eastAsia="宋体" w:cs="宋体"/>
          <w:szCs w:val="24"/>
          <w:highlight w:val="none"/>
          <w:lang w:eastAsia="zh-CN"/>
        </w:rPr>
        <w:fldChar w:fldCharType="end"/>
      </w:r>
      <w:r>
        <w:rPr>
          <w:rFonts w:hint="eastAsia" w:ascii="宋体" w:hAnsi="宋体" w:eastAsia="宋体" w:cs="宋体"/>
          <w:szCs w:val="24"/>
          <w:highlight w:val="none"/>
          <w:lang w:val="en-US" w:eastAsia="zh-CN"/>
        </w:rPr>
        <w:t xml:space="preserve"> 投标文件格式</w:t>
      </w:r>
    </w:p>
    <w:p w14:paraId="664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6.2</w:t>
      </w:r>
      <w:r>
        <w:rPr>
          <w:rFonts w:hint="eastAsia" w:ascii="宋体" w:hAnsi="宋体" w:eastAsia="宋体" w:cs="宋体"/>
          <w:szCs w:val="24"/>
          <w:highlight w:val="none"/>
          <w:lang w:eastAsia="zh-CN"/>
        </w:rPr>
        <w:t>供应商</w:t>
      </w:r>
      <w:r>
        <w:rPr>
          <w:rFonts w:hint="eastAsia" w:ascii="宋体" w:hAnsi="宋体" w:eastAsia="宋体" w:cs="宋体"/>
          <w:sz w:val="24"/>
          <w:szCs w:val="24"/>
          <w:highlight w:val="none"/>
          <w:lang w:val="en-US" w:eastAsia="zh-CN"/>
        </w:rPr>
        <w:t>自行</w:t>
      </w:r>
      <w:r>
        <w:rPr>
          <w:rFonts w:hint="eastAsia" w:ascii="宋体" w:hAnsi="宋体" w:eastAsia="宋体" w:cs="宋体"/>
          <w:sz w:val="24"/>
          <w:highlight w:val="none"/>
          <w:lang w:val="en-US" w:eastAsia="zh-CN"/>
        </w:rPr>
        <w:t>登录【全国公共资源交易平台（陕西省.宝鸡市）宝鸡市公共资源交易中心】〖首页〉电子交易平台〉政府采购交易系统企业端〗后，</w:t>
      </w:r>
      <w:r>
        <w:rPr>
          <w:rFonts w:hint="eastAsia" w:ascii="宋体" w:hAnsi="宋体" w:eastAsia="宋体" w:cs="宋体"/>
          <w:sz w:val="24"/>
          <w:highlight w:val="none"/>
          <w:lang w:val="en-US" w:eastAsia="zh-CN"/>
        </w:rPr>
        <w:fldChar w:fldCharType="begin"/>
      </w:r>
      <w:r>
        <w:rPr>
          <w:rFonts w:hint="eastAsia" w:ascii="宋体" w:hAnsi="宋体" w:eastAsia="宋体" w:cs="宋体"/>
          <w:sz w:val="24"/>
          <w:highlight w:val="none"/>
          <w:lang w:val="en-US" w:eastAsia="zh-CN"/>
        </w:rPr>
        <w:instrText xml:space="preserve"> HYPERLINK "mailto:ZBK_SXMD@foxmail.com邮箱，并及时告知采购代理机构确认，待审核确认无误后代理公司通过邮箱向供应商发送报名登记表及招标文件费用缴纳账户信息，方可报名成功。报名成功后即可从〖我的项目〉项目流程〉交易文件下载〗中下载电子招标文件（*.SXSZF格式）；" </w:instrText>
      </w:r>
      <w:r>
        <w:rPr>
          <w:rFonts w:hint="eastAsia" w:ascii="宋体" w:hAnsi="宋体" w:eastAsia="宋体" w:cs="宋体"/>
          <w:sz w:val="24"/>
          <w:highlight w:val="none"/>
          <w:lang w:val="en-US" w:eastAsia="zh-CN"/>
        </w:rPr>
        <w:fldChar w:fldCharType="separate"/>
      </w:r>
      <w:r>
        <w:rPr>
          <w:rFonts w:hint="eastAsia" w:ascii="宋体" w:hAnsi="宋体" w:eastAsia="宋体" w:cs="宋体"/>
          <w:sz w:val="24"/>
          <w:highlight w:val="none"/>
          <w:lang w:val="en-US" w:eastAsia="zh-CN"/>
        </w:rPr>
        <w:t>从〖我的项目〉项目流程〉交易文件下载〗中下载电子招标文件（*.SXSZF格式）。</w:t>
      </w:r>
      <w:r>
        <w:rPr>
          <w:rFonts w:hint="eastAsia" w:ascii="宋体" w:hAnsi="宋体" w:eastAsia="宋体" w:cs="宋体"/>
          <w:sz w:val="24"/>
          <w:highlight w:val="none"/>
          <w:lang w:val="en-US" w:eastAsia="zh-CN"/>
        </w:rPr>
        <w:fldChar w:fldCharType="end"/>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自行转让或复制招标文件</w:t>
      </w:r>
      <w:r>
        <w:rPr>
          <w:rFonts w:hint="eastAsia" w:ascii="宋体" w:hAnsi="宋体" w:eastAsia="宋体" w:cs="宋体"/>
          <w:szCs w:val="24"/>
          <w:highlight w:val="none"/>
          <w:lang w:eastAsia="zh-CN"/>
        </w:rPr>
        <w:t>的</w:t>
      </w:r>
      <w:r>
        <w:rPr>
          <w:rFonts w:hint="eastAsia" w:ascii="宋体" w:hAnsi="宋体" w:eastAsia="宋体" w:cs="宋体"/>
          <w:szCs w:val="24"/>
          <w:highlight w:val="none"/>
        </w:rPr>
        <w:t>视为无效。招标文件仅作为本次招标使用。</w:t>
      </w:r>
    </w:p>
    <w:p w14:paraId="5A84599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应认真阅读招标文件中的所有事项、格式、条款和规范等要求。如果</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没有按照招标文件要求提交全部资料，或者投标文件没有对招标文件各方面做出实质性响应，由此带来不利于</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的评标结果，其风险由</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自行承担。</w:t>
      </w:r>
    </w:p>
    <w:p w14:paraId="6310FD0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本招标文件的解释权归</w:t>
      </w:r>
      <w:r>
        <w:rPr>
          <w:rFonts w:hint="eastAsia" w:ascii="宋体" w:hAnsi="宋体" w:eastAsia="宋体" w:cs="宋体"/>
          <w:sz w:val="24"/>
          <w:szCs w:val="24"/>
          <w:highlight w:val="none"/>
          <w:lang w:val="en-US" w:eastAsia="zh-CN"/>
        </w:rPr>
        <w:t>陕西中耀昌项目管理有限公司</w:t>
      </w:r>
      <w:r>
        <w:rPr>
          <w:rFonts w:hint="eastAsia" w:ascii="宋体" w:hAnsi="宋体" w:eastAsia="宋体" w:cs="宋体"/>
          <w:szCs w:val="24"/>
          <w:highlight w:val="none"/>
        </w:rPr>
        <w:t>。如发现招标文件内容与现行法律法规不相符的情况，以现行法律法规为准。</w:t>
      </w:r>
    </w:p>
    <w:p w14:paraId="0A40A84C">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7.招标文件的修改</w:t>
      </w:r>
      <w:r>
        <w:rPr>
          <w:rFonts w:hint="eastAsia" w:ascii="宋体" w:hAnsi="宋体" w:eastAsia="宋体" w:cs="宋体"/>
          <w:b/>
          <w:szCs w:val="24"/>
          <w:highlight w:val="none"/>
          <w:lang w:eastAsia="zh-CN"/>
        </w:rPr>
        <w:t>或</w:t>
      </w:r>
      <w:r>
        <w:rPr>
          <w:rFonts w:hint="eastAsia" w:ascii="宋体" w:hAnsi="宋体" w:eastAsia="宋体" w:cs="宋体"/>
          <w:b/>
          <w:szCs w:val="24"/>
          <w:highlight w:val="none"/>
        </w:rPr>
        <w:t>澄清</w:t>
      </w:r>
    </w:p>
    <w:p w14:paraId="1D91605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yellow"/>
        </w:rPr>
      </w:pPr>
      <w:r>
        <w:rPr>
          <w:rFonts w:hint="eastAsia" w:ascii="宋体" w:hAnsi="宋体" w:eastAsia="宋体" w:cs="宋体"/>
          <w:szCs w:val="24"/>
          <w:highlight w:val="none"/>
        </w:rPr>
        <w:t>7.1采购人可</w:t>
      </w:r>
      <w:r>
        <w:rPr>
          <w:rFonts w:hint="eastAsia" w:ascii="宋体" w:hAnsi="宋体" w:eastAsia="宋体" w:cs="宋体"/>
          <w:szCs w:val="24"/>
          <w:highlight w:val="none"/>
          <w:lang w:eastAsia="zh-CN"/>
        </w:rPr>
        <w:t>以</w:t>
      </w:r>
      <w:r>
        <w:rPr>
          <w:rFonts w:hint="eastAsia" w:ascii="宋体" w:hAnsi="宋体" w:eastAsia="宋体" w:cs="宋体"/>
          <w:szCs w:val="24"/>
          <w:highlight w:val="none"/>
        </w:rPr>
        <w:t>对</w:t>
      </w:r>
      <w:r>
        <w:rPr>
          <w:rFonts w:hint="eastAsia" w:ascii="宋体" w:hAnsi="宋体" w:eastAsia="宋体" w:cs="宋体"/>
          <w:szCs w:val="24"/>
          <w:highlight w:val="none"/>
          <w:lang w:eastAsia="zh-CN"/>
        </w:rPr>
        <w:t>已发出的</w:t>
      </w:r>
      <w:r>
        <w:rPr>
          <w:rFonts w:hint="eastAsia" w:ascii="宋体" w:hAnsi="宋体" w:eastAsia="宋体" w:cs="宋体"/>
          <w:szCs w:val="24"/>
          <w:highlight w:val="none"/>
        </w:rPr>
        <w:t>招标文件进行必要的澄清或修改，但不得改变</w:t>
      </w:r>
      <w:r>
        <w:rPr>
          <w:rFonts w:hint="eastAsia" w:ascii="宋体" w:hAnsi="宋体" w:eastAsia="宋体" w:cs="宋体"/>
          <w:szCs w:val="24"/>
          <w:highlight w:val="none"/>
          <w:lang w:eastAsia="zh-CN"/>
        </w:rPr>
        <w:t>采购标的和</w:t>
      </w:r>
      <w:r>
        <w:rPr>
          <w:rFonts w:hint="eastAsia" w:ascii="宋体" w:hAnsi="宋体" w:eastAsia="宋体" w:cs="宋体"/>
          <w:szCs w:val="24"/>
          <w:highlight w:val="none"/>
        </w:rPr>
        <w:t>资格条件，并在原信息发布媒体上发布变更公告。澄清或修改的内容均为招标文件的组成部分，并对采购人及</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起约束作用。澄清或修改的内容将于提交投标文件截止时间15日前通知所有获取招标文件的潜在</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；可能影响投标文件编制</w:t>
      </w:r>
      <w:r>
        <w:rPr>
          <w:rFonts w:hint="eastAsia" w:ascii="宋体" w:hAnsi="宋体" w:eastAsia="宋体" w:cs="宋体"/>
          <w:szCs w:val="24"/>
          <w:highlight w:val="none"/>
          <w:lang w:eastAsia="zh-CN"/>
        </w:rPr>
        <w:t>且</w:t>
      </w:r>
      <w:r>
        <w:rPr>
          <w:rFonts w:hint="eastAsia" w:ascii="宋体" w:hAnsi="宋体" w:eastAsia="宋体" w:cs="宋体"/>
          <w:szCs w:val="24"/>
          <w:highlight w:val="none"/>
        </w:rPr>
        <w:t>不足15日的，采购人应当顺延提交投标文件的截止时间。</w:t>
      </w:r>
    </w:p>
    <w:p w14:paraId="5BDC190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7.2招标文件的澄清或修改内容均以</w:t>
      </w:r>
      <w:r>
        <w:rPr>
          <w:rFonts w:hint="eastAsia" w:ascii="宋体" w:hAnsi="宋体" w:eastAsia="宋体" w:cs="宋体"/>
          <w:szCs w:val="24"/>
          <w:highlight w:val="none"/>
          <w:lang w:eastAsia="zh-CN"/>
        </w:rPr>
        <w:t>“电子交易平台”发出</w:t>
      </w:r>
      <w:r>
        <w:rPr>
          <w:rFonts w:hint="eastAsia" w:ascii="宋体" w:hAnsi="宋体" w:eastAsia="宋体" w:cs="宋体"/>
          <w:szCs w:val="24"/>
          <w:highlight w:val="none"/>
        </w:rPr>
        <w:t>的内容为准。当招标文件的澄清、修改、补充等在同一内容的表述上不一致时，以最后发出的为准。所有补充文件将作为招标文件的组成部分，对所有</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具有约束力。</w:t>
      </w:r>
    </w:p>
    <w:p w14:paraId="71D9DB7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7.3</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若对招标文件有任何疑问，</w:t>
      </w:r>
      <w:r>
        <w:rPr>
          <w:rFonts w:hint="eastAsia" w:ascii="宋体" w:hAnsi="宋体" w:eastAsia="宋体" w:cs="宋体"/>
          <w:szCs w:val="24"/>
          <w:highlight w:val="none"/>
          <w:lang w:eastAsia="zh-CN"/>
        </w:rPr>
        <w:t>应在供应商须知前附表规定的时间前在</w:t>
      </w:r>
      <w:r>
        <w:rPr>
          <w:rFonts w:hint="eastAsia" w:ascii="宋体" w:hAnsi="宋体" w:eastAsia="宋体" w:cs="宋体"/>
          <w:sz w:val="24"/>
          <w:highlight w:val="none"/>
          <w:lang w:val="en-US" w:eastAsia="zh-CN"/>
        </w:rPr>
        <w:t>【全国公共资源交易平台（陕西省.宝鸡市）宝鸡市公共资源交易中心】</w:t>
      </w:r>
      <w:r>
        <w:rPr>
          <w:rFonts w:hint="eastAsia" w:ascii="宋体" w:hAnsi="宋体" w:eastAsia="宋体" w:cs="宋体"/>
          <w:b w:val="0"/>
          <w:bCs w:val="0"/>
          <w:sz w:val="24"/>
          <w:szCs w:val="24"/>
          <w:highlight w:val="none"/>
          <w:lang w:eastAsia="zh-CN"/>
        </w:rPr>
        <w:t>提出</w:t>
      </w:r>
      <w:r>
        <w:rPr>
          <w:rFonts w:hint="eastAsia" w:ascii="宋体" w:hAnsi="宋体" w:eastAsia="宋体" w:cs="宋体"/>
          <w:szCs w:val="24"/>
          <w:highlight w:val="none"/>
          <w:lang w:eastAsia="zh-CN"/>
        </w:rPr>
        <w:t>，要求招标人对招标文件予以澄清。</w:t>
      </w:r>
    </w:p>
    <w:p w14:paraId="581A492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7.4</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认为招标文件使自己的权益受到损害的，在收到招标文件之日起七个工作日内</w:t>
      </w:r>
      <w:r>
        <w:rPr>
          <w:rFonts w:hint="eastAsia" w:ascii="宋体" w:hAnsi="宋体" w:eastAsia="宋体" w:cs="宋体"/>
          <w:b w:val="0"/>
          <w:bCs w:val="0"/>
          <w:sz w:val="24"/>
          <w:szCs w:val="24"/>
          <w:highlight w:val="none"/>
          <w:lang w:eastAsia="zh-CN"/>
        </w:rPr>
        <w:t>，在</w:t>
      </w:r>
      <w:r>
        <w:rPr>
          <w:rFonts w:hint="eastAsia" w:ascii="宋体" w:hAnsi="宋体" w:eastAsia="宋体" w:cs="宋体"/>
          <w:b w:val="0"/>
          <w:bCs w:val="0"/>
          <w:sz w:val="24"/>
          <w:szCs w:val="24"/>
          <w:highlight w:val="none"/>
          <w:lang w:val="zh-CN" w:eastAsia="zh-CN"/>
        </w:rPr>
        <w:t>【全国公共资源交易平台（陕西省·宝鸡市）宝鸡市公共资源交易中心】上</w:t>
      </w:r>
      <w:r>
        <w:rPr>
          <w:rFonts w:hint="eastAsia" w:ascii="宋体" w:hAnsi="宋体" w:eastAsia="宋体" w:cs="宋体"/>
          <w:b w:val="0"/>
          <w:bCs w:val="0"/>
          <w:sz w:val="24"/>
          <w:szCs w:val="24"/>
          <w:highlight w:val="none"/>
          <w:lang w:eastAsia="zh-CN"/>
        </w:rPr>
        <w:t>提出质疑问题，并通知采购代理机构。逾期提出的不予答复，因此带来的一切不利后果由供应商自负。</w:t>
      </w:r>
    </w:p>
    <w:p w14:paraId="13BD46BF">
      <w:pPr>
        <w:keepNext w:val="0"/>
        <w:keepLines w:val="0"/>
        <w:pageBreakBefore w:val="0"/>
        <w:widowControl w:val="0"/>
        <w:kinsoku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7.5在投标截止时间前，根据招标工作进展实际情况，采购人可酌情延长提交投标文件的截止时间，若延长将另行以书面形式通知各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并在原信息发布媒体上发布变更公告。</w:t>
      </w:r>
      <w:bookmarkStart w:id="255" w:name="OLE_LINK7"/>
      <w:r>
        <w:rPr>
          <w:rFonts w:hint="eastAsia" w:ascii="宋体" w:hAnsi="宋体" w:eastAsia="宋体" w:cs="宋体"/>
          <w:szCs w:val="24"/>
          <w:highlight w:val="none"/>
        </w:rPr>
        <w:t>采购代理机构和</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的权利和义务将受到新的截止期的约束。</w:t>
      </w:r>
    </w:p>
    <w:bookmarkEnd w:id="255"/>
    <w:p w14:paraId="3ECAE77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7.6</w:t>
      </w:r>
      <w:r>
        <w:rPr>
          <w:rFonts w:hint="eastAsia" w:ascii="宋体" w:hAnsi="宋体" w:eastAsia="宋体" w:cs="宋体"/>
          <w:szCs w:val="24"/>
          <w:highlight w:val="none"/>
          <w:lang w:val="en-US" w:eastAsia="zh-CN"/>
        </w:rPr>
        <w:t>供应商应注意及时浏览网上发出的澄清/修改通知等，因供应商自身原因未及时获知澄清/修改内容而导致的任何后果将由供应商自行承担。</w:t>
      </w:r>
    </w:p>
    <w:p w14:paraId="3851572A">
      <w:pPr>
        <w:pStyle w:val="2"/>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szCs w:val="28"/>
          <w:highlight w:val="none"/>
        </w:rPr>
      </w:pPr>
      <w:bookmarkStart w:id="256" w:name="_Toc6185"/>
      <w:bookmarkStart w:id="257" w:name="_Toc527"/>
      <w:bookmarkStart w:id="258" w:name="_Toc4466"/>
      <w:bookmarkStart w:id="259" w:name="_Toc21508"/>
      <w:bookmarkStart w:id="260" w:name="_Toc363473974"/>
      <w:bookmarkStart w:id="261" w:name="_Toc4570"/>
      <w:bookmarkStart w:id="262" w:name="_Toc403077641"/>
      <w:bookmarkStart w:id="263" w:name="_Toc2687"/>
      <w:bookmarkStart w:id="264" w:name="_Toc3671"/>
      <w:bookmarkStart w:id="265" w:name="_Toc11629"/>
      <w:bookmarkStart w:id="266" w:name="_Toc18028"/>
      <w:bookmarkStart w:id="267" w:name="_Toc13766"/>
      <w:bookmarkStart w:id="268" w:name="_Toc363474019"/>
      <w:bookmarkStart w:id="269" w:name="_Toc15932"/>
      <w:bookmarkStart w:id="270" w:name="_Toc13682"/>
      <w:r>
        <w:rPr>
          <w:rFonts w:hint="eastAsia" w:ascii="宋体" w:hAnsi="宋体" w:eastAsia="宋体" w:cs="宋体"/>
          <w:szCs w:val="28"/>
          <w:highlight w:val="none"/>
        </w:rPr>
        <w:t>三、投标文件</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E19175B">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8.投标语言和投标货币</w:t>
      </w:r>
    </w:p>
    <w:p w14:paraId="025F1AB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
          <w:szCs w:val="24"/>
          <w:highlight w:val="none"/>
        </w:rPr>
      </w:pPr>
      <w:r>
        <w:rPr>
          <w:rFonts w:hint="eastAsia" w:ascii="宋体" w:hAnsi="宋体" w:eastAsia="宋体" w:cs="宋体"/>
          <w:szCs w:val="24"/>
          <w:highlight w:val="none"/>
        </w:rPr>
        <w:t>8.1</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提交的投标文件以及</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与采购代理机构就有关投标的所有来往函电均应使用中文。</w:t>
      </w:r>
    </w:p>
    <w:p w14:paraId="64C0EDF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8.2投标应以人民币报价。任何包含非人民币报价的投标将按无效</w:t>
      </w:r>
      <w:r>
        <w:rPr>
          <w:rFonts w:hint="eastAsia" w:ascii="宋体" w:hAnsi="宋体" w:eastAsia="宋体" w:cs="宋体"/>
          <w:szCs w:val="24"/>
          <w:highlight w:val="none"/>
          <w:lang w:eastAsia="zh-CN"/>
        </w:rPr>
        <w:t>标</w:t>
      </w:r>
      <w:r>
        <w:rPr>
          <w:rFonts w:hint="eastAsia" w:ascii="宋体" w:hAnsi="宋体" w:eastAsia="宋体" w:cs="宋体"/>
          <w:szCs w:val="24"/>
          <w:highlight w:val="none"/>
        </w:rPr>
        <w:t>处理。</w:t>
      </w:r>
    </w:p>
    <w:p w14:paraId="1023C248">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9.投标文件的组成</w:t>
      </w:r>
    </w:p>
    <w:p w14:paraId="1EC6848F">
      <w:pPr>
        <w:keepNext w:val="0"/>
        <w:keepLines w:val="0"/>
        <w:pageBreakBefore w:val="0"/>
        <w:widowControl w:val="0"/>
        <w:wordWrap/>
        <w:overflowPunct/>
        <w:topLinePunct w:val="0"/>
        <w:autoSpaceDE/>
        <w:autoSpaceDN/>
        <w:bidi w:val="0"/>
        <w:spacing w:line="360" w:lineRule="auto"/>
        <w:ind w:firstLine="590" w:firstLineChars="246"/>
        <w:textAlignment w:val="auto"/>
        <w:rPr>
          <w:rFonts w:hint="eastAsia" w:ascii="宋体" w:hAnsi="宋体" w:eastAsia="宋体" w:cs="宋体"/>
          <w:szCs w:val="24"/>
          <w:highlight w:val="none"/>
        </w:rPr>
      </w:pPr>
      <w:r>
        <w:rPr>
          <w:rFonts w:hint="eastAsia" w:ascii="宋体" w:hAnsi="宋体" w:eastAsia="宋体" w:cs="宋体"/>
          <w:szCs w:val="24"/>
          <w:highlight w:val="none"/>
        </w:rPr>
        <w:t>9.1投标文件应包括下列内容：</w:t>
      </w:r>
    </w:p>
    <w:p w14:paraId="2D551958">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一、投标函</w:t>
      </w:r>
    </w:p>
    <w:p w14:paraId="443492F5">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二、法定代表人资格证明书或法定代表人授权委托书</w:t>
      </w:r>
    </w:p>
    <w:p w14:paraId="190A6147">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三、开标一览表</w:t>
      </w:r>
    </w:p>
    <w:p w14:paraId="78AAD3E6">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四、投标保证金</w:t>
      </w:r>
    </w:p>
    <w:p w14:paraId="652D316E">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五、服务内容响应偏离表</w:t>
      </w:r>
    </w:p>
    <w:p w14:paraId="5BB93F56">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六、资格审查资料</w:t>
      </w:r>
    </w:p>
    <w:p w14:paraId="279DC938">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七、技术方案</w:t>
      </w:r>
    </w:p>
    <w:p w14:paraId="38038179">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八、近3年完成的类似项目业绩情况表</w:t>
      </w:r>
    </w:p>
    <w:p w14:paraId="6E268467">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九、《拒绝政府采购领域商业贿赂承诺书》</w:t>
      </w:r>
    </w:p>
    <w:p w14:paraId="31B5A6A9">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十、宝鸡市政府采购供应商诚信承诺</w:t>
      </w:r>
    </w:p>
    <w:p w14:paraId="12ACA5C1">
      <w:pPr>
        <w:keepNext w:val="0"/>
        <w:keepLines w:val="0"/>
        <w:pageBreakBefore w:val="0"/>
        <w:widowControl w:val="0"/>
        <w:wordWrap/>
        <w:overflowPunct/>
        <w:topLinePunct w:val="0"/>
        <w:autoSpaceDE/>
        <w:autoSpaceDN/>
        <w:bidi w:val="0"/>
        <w:spacing w:line="360" w:lineRule="auto"/>
        <w:ind w:firstLine="470" w:firstLineChars="196"/>
        <w:textAlignment w:val="auto"/>
        <w:rPr>
          <w:rFonts w:hint="eastAsia" w:ascii="宋体" w:hAnsi="宋体" w:eastAsia="宋体" w:cs="宋体"/>
          <w:b w:val="0"/>
          <w:bCs/>
          <w:szCs w:val="24"/>
          <w:highlight w:val="none"/>
          <w:lang w:val="en-US" w:eastAsia="zh-CN"/>
        </w:rPr>
      </w:pPr>
      <w:r>
        <w:rPr>
          <w:rFonts w:hint="eastAsia" w:ascii="宋体" w:hAnsi="宋体" w:eastAsia="宋体" w:cs="宋体"/>
          <w:b w:val="0"/>
          <w:bCs/>
          <w:szCs w:val="24"/>
          <w:highlight w:val="none"/>
          <w:lang w:val="en-US" w:eastAsia="zh-CN"/>
        </w:rPr>
        <w:t>9.2投标报价</w:t>
      </w:r>
    </w:p>
    <w:p w14:paraId="242BDCB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（1）本项目采购最高限价见供应商须知前附表。各供应商的投标报价不得大于或等于采购最高限价，否则按无效投标处理。</w:t>
      </w:r>
    </w:p>
    <w:p w14:paraId="320495F7">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bookmarkStart w:id="271" w:name="OLE_LINK11"/>
      <w:r>
        <w:rPr>
          <w:rFonts w:hint="eastAsia" w:ascii="宋体" w:hAnsi="宋体" w:eastAsia="宋体" w:cs="宋体"/>
          <w:sz w:val="24"/>
          <w:szCs w:val="24"/>
          <w:highlight w:val="none"/>
          <w:lang w:val="en-US" w:eastAsia="zh-CN"/>
        </w:rPr>
        <w:t>供应商应当根据招标文件的服务内容和要求，以人民币报价，以元为单位，保留小数点后两位。</w:t>
      </w:r>
      <w:r>
        <w:rPr>
          <w:rFonts w:hint="eastAsia" w:ascii="宋体" w:hAnsi="宋体" w:eastAsia="宋体" w:cs="宋体"/>
          <w:b/>
          <w:bCs/>
          <w:sz w:val="24"/>
          <w:szCs w:val="24"/>
          <w:highlight w:val="none"/>
          <w:lang w:val="en-US" w:eastAsia="zh-CN"/>
        </w:rPr>
        <w:t>本项目采用固定总价承包方式</w:t>
      </w:r>
      <w:r>
        <w:rPr>
          <w:rFonts w:hint="eastAsia" w:ascii="宋体" w:hAnsi="宋体" w:eastAsia="宋体" w:cs="宋体"/>
          <w:sz w:val="24"/>
          <w:szCs w:val="24"/>
          <w:highlight w:val="none"/>
          <w:lang w:val="en-US" w:eastAsia="zh-CN"/>
        </w:rPr>
        <w:t>，供应商自行考虑并承担风险。即供应商的投标总报价是供应商响应本项目要求的全部工作内容的价格体现，包括供应商完成本项目所需的人工费、材料费、设备购置费、机械费、管理费、保险费、利润、税金和风险费等全部费用。在提供服务过程中的任何遗漏，均由成交供应商免费提供，采购人将不再支付任何费用。中标后不允许擅自改变服务内容、质量标准、期限和追加项目预算。</w:t>
      </w:r>
      <w:r>
        <w:rPr>
          <w:rFonts w:hint="eastAsia" w:ascii="宋体" w:hAnsi="宋体" w:cs="宋体"/>
          <w:b w:val="0"/>
          <w:bCs/>
          <w:sz w:val="24"/>
          <w:szCs w:val="24"/>
          <w:highlight w:val="none"/>
          <w:lang w:val="en-US" w:eastAsia="zh-CN" w:bidi="ar"/>
        </w:rPr>
        <w:t>。</w:t>
      </w:r>
    </w:p>
    <w:bookmarkEnd w:id="271"/>
    <w:p w14:paraId="2F2DA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（3）投标总价中不得包含招标文件要求以外的内容，否则，在评审时不予核减。如只有总价而无费用组成明细表，或只有费用组成明细表而无总价，将视为无效响应文件。</w:t>
      </w:r>
    </w:p>
    <w:p w14:paraId="4163C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（4）投标人须按费用组成明细表中的内容填写服务名称、服务内容、数量、单价、合价等。费用组成明细表应按下列要求分项填写：</w:t>
      </w:r>
    </w:p>
    <w:p w14:paraId="27DA61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①所投服务的价格</w:t>
      </w:r>
    </w:p>
    <w:p w14:paraId="3573A0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②招标文件要求的所有伴随服务的费用</w:t>
      </w:r>
      <w:r>
        <w:rPr>
          <w:rFonts w:hint="eastAsia" w:ascii="宋体" w:hAnsi="宋体" w:eastAsia="宋体" w:cs="宋体"/>
          <w:sz w:val="24"/>
          <w:szCs w:val="24"/>
          <w:highlight w:val="none"/>
          <w:lang w:val="en-US" w:eastAsia="zh-CN"/>
        </w:rPr>
        <w:tab/>
      </w:r>
    </w:p>
    <w:p w14:paraId="115A8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③所有根据合同或其它原因应由投标人支付的税款和其它应交纳的费用都要包括在投标人提交的投标价格中。</w:t>
      </w:r>
    </w:p>
    <w:p w14:paraId="6992D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（5）供应商所报的投标价在合同执行过程中是固定不变的，不得以任何理由予以变更。任何包含价格调整要求的投标，将被认为是非响应性投标而予以拒绝。</w:t>
      </w:r>
    </w:p>
    <w:p w14:paraId="02E44306">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（6）投标报价表中标明的单价及投标总价均应精确到小数点后二位，第三位四舍五入。</w:t>
      </w:r>
    </w:p>
    <w:p w14:paraId="37157A1B">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rPr>
      </w:pPr>
      <w:r>
        <w:rPr>
          <w:rFonts w:hint="eastAsia" w:ascii="宋体" w:hAnsi="宋体" w:eastAsia="宋体" w:cs="宋体"/>
          <w:sz w:val="24"/>
          <w:szCs w:val="24"/>
          <w:highlight w:val="none"/>
          <w:lang w:val="en-US" w:eastAsia="zh-CN"/>
        </w:rPr>
        <w:t>（7）评标委员会认为投标人的报价明显低于其他通过符合性审查的投标人报价，有可能影响产品质量或者不能诚信履约的，</w:t>
      </w:r>
      <w:r>
        <w:rPr>
          <w:rFonts w:hint="eastAsia" w:ascii="宋体" w:hAnsi="宋体" w:eastAsia="宋体" w:cs="宋体"/>
          <w:sz w:val="24"/>
          <w:szCs w:val="24"/>
          <w:highlight w:val="none"/>
        </w:rPr>
        <w:t>可要求该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在规定期限内，</w:t>
      </w:r>
      <w:r>
        <w:rPr>
          <w:rFonts w:hint="eastAsia" w:ascii="宋体" w:hAnsi="宋体" w:eastAsia="宋体" w:cs="宋体"/>
          <w:sz w:val="24"/>
          <w:szCs w:val="24"/>
          <w:highlight w:val="none"/>
          <w:lang w:eastAsia="zh-CN"/>
        </w:rPr>
        <w:t>线上提出澄清</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必要时提交相关证明材料；投标人不能证明其报价合理性的，评标委员会</w:t>
      </w:r>
      <w:r>
        <w:rPr>
          <w:rFonts w:hint="eastAsia" w:ascii="宋体" w:hAnsi="宋体" w:eastAsia="宋体" w:cs="宋体"/>
          <w:sz w:val="24"/>
          <w:szCs w:val="24"/>
          <w:highlight w:val="none"/>
        </w:rPr>
        <w:t>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以低于成本价竞价，其</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文件作无效</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处理。</w:t>
      </w:r>
    </w:p>
    <w:p w14:paraId="11FAB650">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9.3技术文件</w:t>
      </w:r>
    </w:p>
    <w:p w14:paraId="6301D812">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供应商按照招标文件要求，针对本项目的服务内容和要求作出实质性响应。包含（但不限于）以下内容：</w:t>
      </w:r>
    </w:p>
    <w:p w14:paraId="65BBAC07">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（1）绿化管护、卫生保洁及设施维护的技术服务方案；</w:t>
      </w:r>
    </w:p>
    <w:p w14:paraId="7C36E419">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（2）质量、安全保证措施；</w:t>
      </w:r>
    </w:p>
    <w:p w14:paraId="6864E918">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（3）拟投入的人员及设备配置；</w:t>
      </w:r>
    </w:p>
    <w:p w14:paraId="141BC7EB">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（4）针对特殊时段、特殊天气、紧急特殊事件的预案及措施；</w:t>
      </w:r>
    </w:p>
    <w:p w14:paraId="6F81FB5D">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（5）服务承诺；</w:t>
      </w:r>
    </w:p>
    <w:p w14:paraId="3E8E38F9">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（6）投标人按照招标文件要求提供本项目所需要的其他方案。</w:t>
      </w:r>
    </w:p>
    <w:p w14:paraId="0FA43459">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9.4资格证明文件</w:t>
      </w:r>
    </w:p>
    <w:p w14:paraId="7E8B9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应按照招标文件</w:t>
      </w:r>
      <w:r>
        <w:rPr>
          <w:rFonts w:hint="eastAsia" w:ascii="宋体" w:hAnsi="宋体" w:eastAsia="宋体" w:cs="宋体"/>
          <w:szCs w:val="24"/>
          <w:highlight w:val="none"/>
          <w:lang w:eastAsia="zh-CN"/>
        </w:rPr>
        <w:t>第二章</w:t>
      </w:r>
      <w:r>
        <w:rPr>
          <w:rFonts w:hint="eastAsia" w:ascii="宋体" w:hAnsi="宋体" w:eastAsia="宋体" w:cs="宋体"/>
          <w:szCs w:val="24"/>
          <w:highlight w:val="none"/>
        </w:rPr>
        <w:t>“</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w:t>
      </w:r>
      <w:r>
        <w:rPr>
          <w:rFonts w:hint="eastAsia" w:ascii="宋体" w:hAnsi="宋体" w:eastAsia="宋体" w:cs="宋体"/>
          <w:szCs w:val="24"/>
          <w:highlight w:val="none"/>
          <w:lang w:eastAsia="zh-CN"/>
        </w:rPr>
        <w:t>中规定的供应商资格</w:t>
      </w:r>
      <w:r>
        <w:rPr>
          <w:rFonts w:hint="eastAsia" w:ascii="宋体" w:hAnsi="宋体" w:eastAsia="宋体" w:cs="宋体"/>
          <w:szCs w:val="24"/>
          <w:highlight w:val="none"/>
        </w:rPr>
        <w:t>要求，在投标文件中提交合格的资格证明文件。如果资格证明文件不全或不合格的，其投标将按无效投标处理。</w:t>
      </w:r>
    </w:p>
    <w:p w14:paraId="4C899D9A">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0</w:t>
      </w:r>
      <w:r>
        <w:rPr>
          <w:rFonts w:hint="eastAsia" w:ascii="宋体" w:hAnsi="宋体" w:eastAsia="宋体" w:cs="宋体"/>
          <w:b/>
          <w:szCs w:val="24"/>
          <w:highlight w:val="none"/>
        </w:rPr>
        <w:t>.投标有效期</w:t>
      </w:r>
    </w:p>
    <w:p w14:paraId="4670B9B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10</w:t>
      </w:r>
      <w:r>
        <w:rPr>
          <w:rFonts w:hint="eastAsia" w:ascii="宋体" w:hAnsi="宋体" w:eastAsia="宋体" w:cs="宋体"/>
          <w:szCs w:val="24"/>
          <w:highlight w:val="none"/>
        </w:rPr>
        <w:t>.1投标有效期（含授权有效期）自提交投标文件截止之日起90天。</w:t>
      </w:r>
      <w:r>
        <w:rPr>
          <w:rFonts w:hint="eastAsia" w:ascii="宋体" w:hAnsi="宋体" w:eastAsia="宋体" w:cs="宋体"/>
          <w:spacing w:val="-4"/>
          <w:szCs w:val="24"/>
          <w:highlight w:val="none"/>
          <w:lang w:eastAsia="zh-CN"/>
        </w:rPr>
        <w:t>供应商</w:t>
      </w:r>
      <w:r>
        <w:rPr>
          <w:rFonts w:hint="eastAsia" w:ascii="宋体" w:hAnsi="宋体" w:eastAsia="宋体" w:cs="宋体"/>
          <w:szCs w:val="24"/>
          <w:highlight w:val="none"/>
        </w:rPr>
        <w:t>投标有效期短于</w:t>
      </w:r>
      <w:r>
        <w:rPr>
          <w:rFonts w:hint="eastAsia" w:ascii="宋体" w:hAnsi="宋体" w:eastAsia="宋体" w:cs="宋体"/>
          <w:spacing w:val="-4"/>
          <w:szCs w:val="24"/>
          <w:highlight w:val="none"/>
        </w:rPr>
        <w:t>招标文件规定</w:t>
      </w:r>
      <w:r>
        <w:rPr>
          <w:rFonts w:hint="eastAsia" w:ascii="宋体" w:hAnsi="宋体" w:eastAsia="宋体" w:cs="宋体"/>
          <w:szCs w:val="24"/>
          <w:highlight w:val="none"/>
        </w:rPr>
        <w:t>的投标有效期，按无效投标处理。</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单位的投标有效期</w:t>
      </w:r>
      <w:r>
        <w:rPr>
          <w:rFonts w:hint="eastAsia" w:ascii="宋体" w:hAnsi="宋体" w:eastAsia="宋体" w:cs="宋体"/>
          <w:szCs w:val="24"/>
          <w:highlight w:val="none"/>
          <w:lang w:eastAsia="zh-CN"/>
        </w:rPr>
        <w:t>自动</w:t>
      </w:r>
      <w:r>
        <w:rPr>
          <w:rFonts w:hint="eastAsia" w:ascii="宋体" w:hAnsi="宋体" w:eastAsia="宋体" w:cs="宋体"/>
          <w:szCs w:val="24"/>
          <w:highlight w:val="none"/>
        </w:rPr>
        <w:t>延长至合同执行完毕。</w:t>
      </w:r>
    </w:p>
    <w:p w14:paraId="341545D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Cs w:val="24"/>
          <w:highlight w:val="none"/>
          <w:lang w:val="en-US" w:eastAsia="zh-CN"/>
        </w:rPr>
        <w:t>10.2</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w:t>
      </w:r>
      <w:r>
        <w:rPr>
          <w:rFonts w:hint="eastAsia" w:ascii="宋体" w:hAnsi="宋体" w:eastAsia="宋体" w:cs="宋体"/>
          <w:szCs w:val="24"/>
          <w:highlight w:val="none"/>
        </w:rPr>
        <w:t>附表</w:t>
      </w:r>
      <w:r>
        <w:rPr>
          <w:rFonts w:hint="eastAsia" w:ascii="宋体" w:hAnsi="宋体" w:eastAsia="宋体" w:cs="宋体"/>
          <w:sz w:val="24"/>
          <w:szCs w:val="24"/>
          <w:highlight w:val="none"/>
        </w:rPr>
        <w:t>规定的投标有效期内，</w:t>
      </w:r>
      <w:r>
        <w:rPr>
          <w:rFonts w:hint="eastAsia" w:ascii="宋体" w:hAnsi="宋体" w:eastAsia="宋体" w:cs="宋体"/>
          <w:sz w:val="24"/>
          <w:szCs w:val="24"/>
          <w:highlight w:val="none"/>
          <w:lang w:eastAsia="zh-CN"/>
        </w:rPr>
        <w:t>供应商不得要求撤销或修改其投标文件。</w:t>
      </w:r>
    </w:p>
    <w:p w14:paraId="4EA5F4F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10</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特殊情况下，在原投标有效期期满之前，采购</w:t>
      </w:r>
      <w:r>
        <w:rPr>
          <w:rFonts w:hint="eastAsia" w:ascii="宋体" w:hAnsi="宋体" w:eastAsia="宋体" w:cs="宋体"/>
          <w:szCs w:val="24"/>
          <w:highlight w:val="none"/>
          <w:lang w:eastAsia="zh-CN"/>
        </w:rPr>
        <w:t>人</w:t>
      </w:r>
      <w:r>
        <w:rPr>
          <w:rFonts w:hint="eastAsia" w:ascii="宋体" w:hAnsi="宋体" w:eastAsia="宋体" w:cs="宋体"/>
          <w:szCs w:val="24"/>
          <w:highlight w:val="none"/>
        </w:rPr>
        <w:t>可要求</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延长投标有效期。</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拒绝延长的，其投标失效，但</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有权收回其投标保证金。</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同意延长的，应相应延长其投标保证金的有效期，但不得修改投标文件的实质性内容。</w:t>
      </w:r>
    </w:p>
    <w:p w14:paraId="537AC549">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11.</w:t>
      </w:r>
      <w:r>
        <w:rPr>
          <w:rFonts w:hint="eastAsia" w:ascii="宋体" w:hAnsi="宋体" w:eastAsia="宋体" w:cs="宋体"/>
          <w:b/>
          <w:szCs w:val="24"/>
          <w:highlight w:val="none"/>
        </w:rPr>
        <w:t>投标保证金</w:t>
      </w:r>
    </w:p>
    <w:p w14:paraId="732E315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11</w:t>
      </w:r>
      <w:r>
        <w:rPr>
          <w:rFonts w:hint="eastAsia" w:ascii="宋体" w:hAnsi="宋体" w:eastAsia="宋体" w:cs="宋体"/>
          <w:szCs w:val="24"/>
          <w:highlight w:val="none"/>
        </w:rPr>
        <w:t>.1</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在递交投标文件的同时，应按</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须知前附表规定的金额、</w:t>
      </w:r>
      <w:r>
        <w:rPr>
          <w:rFonts w:hint="eastAsia" w:ascii="宋体" w:hAnsi="宋体" w:eastAsia="宋体" w:cs="宋体"/>
          <w:szCs w:val="24"/>
          <w:highlight w:val="none"/>
          <w:lang w:eastAsia="zh-CN"/>
        </w:rPr>
        <w:t>形式</w:t>
      </w:r>
      <w:r>
        <w:rPr>
          <w:rFonts w:hint="eastAsia" w:ascii="宋体" w:hAnsi="宋体" w:eastAsia="宋体" w:cs="宋体"/>
          <w:szCs w:val="24"/>
          <w:highlight w:val="none"/>
        </w:rPr>
        <w:t>、截止时间和</w:t>
      </w:r>
      <w:r>
        <w:rPr>
          <w:rFonts w:hint="eastAsia" w:ascii="宋体" w:hAnsi="宋体" w:eastAsia="宋体" w:cs="宋体"/>
          <w:szCs w:val="24"/>
          <w:highlight w:val="none"/>
          <w:lang w:eastAsia="zh-CN"/>
        </w:rPr>
        <w:t>第六章“投标文件格式”</w:t>
      </w:r>
      <w:r>
        <w:rPr>
          <w:rFonts w:hint="eastAsia" w:ascii="宋体" w:hAnsi="宋体" w:eastAsia="宋体" w:cs="宋体"/>
          <w:szCs w:val="24"/>
          <w:highlight w:val="none"/>
        </w:rPr>
        <w:t>规定的投标保证金递交方式递交投标保证金，并作为其投标文件的组成部分。</w:t>
      </w:r>
    </w:p>
    <w:p w14:paraId="04AD394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.2投标保证金是为了保护采购人和采购代理机构免遭因</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的行为而蒙受损失。采购单位在因</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的行为受到损害时可根据本须知</w:t>
      </w:r>
      <w:r>
        <w:rPr>
          <w:rFonts w:hint="eastAsia" w:ascii="宋体" w:hAnsi="宋体" w:eastAsia="宋体" w:cs="宋体"/>
          <w:szCs w:val="24"/>
          <w:highlight w:val="none"/>
          <w:lang w:eastAsia="zh-CN"/>
        </w:rPr>
        <w:t>第</w:t>
      </w:r>
      <w:r>
        <w:rPr>
          <w:rFonts w:hint="eastAsia" w:ascii="宋体" w:hAnsi="宋体" w:eastAsia="宋体" w:cs="宋体"/>
          <w:szCs w:val="24"/>
          <w:highlight w:val="none"/>
          <w:lang w:val="en-US" w:eastAsia="zh-CN"/>
        </w:rPr>
        <w:t>11.6条</w:t>
      </w:r>
      <w:r>
        <w:rPr>
          <w:rFonts w:hint="eastAsia" w:ascii="宋体" w:hAnsi="宋体" w:eastAsia="宋体" w:cs="宋体"/>
          <w:szCs w:val="24"/>
          <w:highlight w:val="none"/>
        </w:rPr>
        <w:t>的规定没收</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的投标保证金。</w:t>
      </w:r>
    </w:p>
    <w:p w14:paraId="75C2EEC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.3投标保证金可采取“</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须知前附表”规定的任何一种形式</w:t>
      </w:r>
      <w:r>
        <w:rPr>
          <w:rFonts w:hint="eastAsia" w:ascii="宋体" w:hAnsi="宋体" w:eastAsia="宋体" w:cs="宋体"/>
          <w:szCs w:val="24"/>
          <w:highlight w:val="none"/>
          <w:lang w:eastAsia="zh-CN"/>
        </w:rPr>
        <w:t>。</w:t>
      </w:r>
    </w:p>
    <w:p w14:paraId="0114CD9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.4开标后经审查，未提交投标保证金、未按时提交投标保证金、投标保证金金额不足或投标保证金</w:t>
      </w:r>
      <w:r>
        <w:rPr>
          <w:rFonts w:hint="eastAsia" w:ascii="宋体" w:hAnsi="宋体" w:eastAsia="宋体" w:cs="宋体"/>
          <w:szCs w:val="24"/>
          <w:highlight w:val="none"/>
          <w:lang w:eastAsia="zh-CN"/>
        </w:rPr>
        <w:t>缴纳凭证</w:t>
      </w:r>
      <w:r>
        <w:rPr>
          <w:rFonts w:hint="eastAsia" w:ascii="宋体" w:hAnsi="宋体" w:eastAsia="宋体" w:cs="宋体"/>
          <w:szCs w:val="24"/>
          <w:highlight w:val="none"/>
        </w:rPr>
        <w:t>复印件或担保机构出具的保函复印件未附在投标文件内的投标将按无效投标处理。</w:t>
      </w:r>
    </w:p>
    <w:p w14:paraId="45F0A28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.5未</w:t>
      </w:r>
      <w:r>
        <w:rPr>
          <w:rFonts w:hint="eastAsia" w:ascii="宋体" w:hAnsi="宋体" w:eastAsia="宋体" w:cs="宋体"/>
          <w:szCs w:val="24"/>
          <w:highlight w:val="none"/>
          <w:lang w:eastAsia="zh-CN"/>
        </w:rPr>
        <w:t>成交单位</w:t>
      </w:r>
      <w:r>
        <w:rPr>
          <w:rFonts w:hint="eastAsia" w:ascii="宋体" w:hAnsi="宋体" w:eastAsia="宋体" w:cs="宋体"/>
          <w:szCs w:val="24"/>
          <w:highlight w:val="none"/>
        </w:rPr>
        <w:t>的投标保证金，将在</w:t>
      </w:r>
      <w:r>
        <w:rPr>
          <w:rFonts w:hint="eastAsia" w:ascii="宋体" w:hAnsi="宋体" w:eastAsia="宋体" w:cs="宋体"/>
          <w:szCs w:val="24"/>
          <w:highlight w:val="none"/>
          <w:lang w:eastAsia="zh-CN"/>
        </w:rPr>
        <w:t>成交通知书</w:t>
      </w:r>
      <w:r>
        <w:rPr>
          <w:rFonts w:hint="eastAsia" w:ascii="宋体" w:hAnsi="宋体" w:eastAsia="宋体" w:cs="宋体"/>
          <w:color w:val="000000"/>
          <w:sz w:val="24"/>
          <w:szCs w:val="24"/>
          <w:highlight w:val="none"/>
        </w:rPr>
        <w:t>发出之日起</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个工作日内</w:t>
      </w:r>
      <w:r>
        <w:rPr>
          <w:rFonts w:hint="eastAsia" w:ascii="宋体" w:hAnsi="宋体" w:eastAsia="宋体" w:cs="宋体"/>
          <w:color w:val="000000"/>
          <w:sz w:val="24"/>
          <w:szCs w:val="24"/>
          <w:highlight w:val="none"/>
        </w:rPr>
        <w:t>全额</w:t>
      </w:r>
      <w:r>
        <w:rPr>
          <w:rFonts w:hint="eastAsia" w:ascii="宋体" w:hAnsi="宋体" w:eastAsia="宋体" w:cs="宋体"/>
          <w:szCs w:val="24"/>
          <w:highlight w:val="none"/>
        </w:rPr>
        <w:t>退还；</w:t>
      </w:r>
      <w:r>
        <w:rPr>
          <w:rFonts w:hint="eastAsia" w:ascii="宋体" w:hAnsi="宋体" w:eastAsia="宋体" w:cs="宋体"/>
          <w:szCs w:val="24"/>
          <w:highlight w:val="none"/>
          <w:lang w:eastAsia="zh-CN"/>
        </w:rPr>
        <w:t>成交单位</w:t>
      </w:r>
      <w:r>
        <w:rPr>
          <w:rFonts w:hint="eastAsia" w:ascii="宋体" w:hAnsi="宋体" w:eastAsia="宋体" w:cs="宋体"/>
          <w:szCs w:val="24"/>
          <w:highlight w:val="none"/>
        </w:rPr>
        <w:t>的投标保证金，</w:t>
      </w:r>
      <w:r>
        <w:rPr>
          <w:rFonts w:hint="eastAsia" w:ascii="宋体" w:hAnsi="宋体" w:eastAsia="宋体" w:cs="宋体"/>
          <w:color w:val="000000"/>
          <w:sz w:val="24"/>
          <w:szCs w:val="24"/>
          <w:highlight w:val="none"/>
        </w:rPr>
        <w:t>将在</w:t>
      </w:r>
      <w:r>
        <w:rPr>
          <w:rFonts w:hint="eastAsia" w:ascii="宋体" w:hAnsi="宋体" w:eastAsia="宋体" w:cs="宋体"/>
          <w:color w:val="000000"/>
          <w:sz w:val="24"/>
          <w:szCs w:val="24"/>
          <w:highlight w:val="none"/>
          <w:lang w:eastAsia="zh-CN"/>
        </w:rPr>
        <w:t>合同</w:t>
      </w:r>
      <w:r>
        <w:rPr>
          <w:rFonts w:hint="eastAsia" w:ascii="宋体" w:hAnsi="宋体" w:eastAsia="宋体" w:cs="宋体"/>
          <w:color w:val="000000"/>
          <w:sz w:val="24"/>
          <w:szCs w:val="24"/>
          <w:highlight w:val="none"/>
        </w:rPr>
        <w:t>签订生效并按规定</w:t>
      </w:r>
      <w:r>
        <w:rPr>
          <w:rFonts w:hint="eastAsia" w:ascii="宋体" w:hAnsi="宋体" w:eastAsia="宋体" w:cs="宋体"/>
          <w:color w:val="000000"/>
          <w:sz w:val="24"/>
          <w:szCs w:val="24"/>
          <w:highlight w:val="none"/>
          <w:lang w:eastAsia="zh-CN"/>
        </w:rPr>
        <w:t>缴纳</w:t>
      </w:r>
      <w:r>
        <w:rPr>
          <w:rFonts w:hint="eastAsia" w:ascii="宋体" w:hAnsi="宋体" w:eastAsia="宋体" w:cs="宋体"/>
          <w:color w:val="000000"/>
          <w:sz w:val="24"/>
          <w:szCs w:val="24"/>
          <w:highlight w:val="none"/>
        </w:rPr>
        <w:t>招标代理服务费后5个工作日内全额退还。</w:t>
      </w:r>
      <w:r>
        <w:rPr>
          <w:rFonts w:hint="eastAsia" w:ascii="宋体" w:hAnsi="宋体" w:eastAsia="宋体" w:cs="宋体"/>
          <w:szCs w:val="24"/>
          <w:highlight w:val="none"/>
        </w:rPr>
        <w:t>在投标截止时间前撤回已提交投标文件的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投标保证金，将在采购代理机构收到</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书面撤回通知之日起5个工作日内退还。但因</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自身原因导致无法及时退还的除外</w:t>
      </w:r>
      <w:r>
        <w:rPr>
          <w:rFonts w:hint="eastAsia" w:ascii="宋体" w:hAnsi="宋体" w:eastAsia="宋体" w:cs="宋体"/>
          <w:szCs w:val="24"/>
          <w:highlight w:val="none"/>
          <w:lang w:val="en-US" w:eastAsia="zh-CN"/>
        </w:rPr>
        <w:t>。</w:t>
      </w:r>
    </w:p>
    <w:p w14:paraId="393D7B7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t>发生下列情况之一时，投标保证金将不予退还：</w:t>
      </w:r>
    </w:p>
    <w:p w14:paraId="39537163">
      <w:pPr>
        <w:keepNext w:val="0"/>
        <w:keepLines w:val="0"/>
        <w:pageBreakBefore w:val="0"/>
        <w:widowControl w:val="0"/>
        <w:wordWrap/>
        <w:overflowPunct/>
        <w:topLinePunct w:val="0"/>
        <w:autoSpaceDE/>
        <w:autoSpaceDN/>
        <w:bidi w:val="0"/>
        <w:spacing w:line="360" w:lineRule="auto"/>
        <w:ind w:left="480" w:leftChars="200" w:firstLine="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（1）有围标、串标现象，经查证属实的；</w:t>
      </w:r>
      <w:r>
        <w:rPr>
          <w:rFonts w:hint="eastAsia" w:ascii="宋体" w:hAnsi="宋体" w:eastAsia="宋体" w:cs="宋体"/>
          <w:szCs w:val="24"/>
          <w:highlight w:val="none"/>
        </w:rPr>
        <w:br w:type="textWrapping"/>
      </w:r>
      <w:r>
        <w:rPr>
          <w:rFonts w:hint="eastAsia" w:ascii="宋体" w:hAnsi="宋体" w:eastAsia="宋体" w:cs="宋体"/>
          <w:szCs w:val="24"/>
          <w:highlight w:val="none"/>
        </w:rPr>
        <w:t>（2）</w:t>
      </w:r>
      <w:r>
        <w:rPr>
          <w:rFonts w:hint="eastAsia" w:ascii="宋体" w:hAnsi="宋体" w:eastAsia="宋体" w:cs="宋体"/>
          <w:sz w:val="24"/>
          <w:szCs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投标截止时间后撤销其投标文件</w:t>
      </w:r>
      <w:r>
        <w:rPr>
          <w:rFonts w:hint="eastAsia" w:ascii="宋体" w:hAnsi="宋体" w:eastAsia="宋体" w:cs="宋体"/>
          <w:szCs w:val="24"/>
          <w:highlight w:val="none"/>
        </w:rPr>
        <w:t>；</w:t>
      </w:r>
    </w:p>
    <w:p w14:paraId="1D06FC4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w:t>
      </w:r>
      <w:r>
        <w:rPr>
          <w:rFonts w:hint="eastAsia" w:ascii="宋体" w:hAnsi="宋体" w:eastAsia="宋体" w:cs="宋体"/>
          <w:szCs w:val="24"/>
          <w:highlight w:val="none"/>
          <w:lang w:eastAsia="zh-CN"/>
        </w:rPr>
        <w:t>成交单位</w:t>
      </w:r>
      <w:r>
        <w:rPr>
          <w:rFonts w:hint="eastAsia" w:ascii="宋体" w:hAnsi="宋体" w:eastAsia="宋体" w:cs="宋体"/>
          <w:szCs w:val="24"/>
          <w:highlight w:val="none"/>
        </w:rPr>
        <w:t>自行放弃</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资格的；</w:t>
      </w:r>
    </w:p>
    <w:p w14:paraId="30C9176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w:t>
      </w:r>
      <w:r>
        <w:rPr>
          <w:rFonts w:hint="eastAsia" w:ascii="宋体" w:hAnsi="宋体" w:eastAsia="宋体" w:cs="宋体"/>
          <w:szCs w:val="24"/>
          <w:highlight w:val="none"/>
          <w:lang w:eastAsia="zh-CN"/>
        </w:rPr>
        <w:t>成交单位</w:t>
      </w:r>
      <w:r>
        <w:rPr>
          <w:rFonts w:hint="eastAsia" w:ascii="宋体" w:hAnsi="宋体" w:eastAsia="宋体" w:cs="宋体"/>
          <w:szCs w:val="24"/>
          <w:highlight w:val="none"/>
        </w:rPr>
        <w:t>不按规定支付招标服务费的；</w:t>
      </w:r>
    </w:p>
    <w:p w14:paraId="6231781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yellow"/>
          <w:lang w:eastAsia="zh-CN"/>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w:t>
      </w:r>
      <w:r>
        <w:rPr>
          <w:rFonts w:hint="eastAsia" w:ascii="宋体" w:hAnsi="宋体" w:eastAsia="宋体" w:cs="宋体"/>
          <w:szCs w:val="24"/>
          <w:highlight w:val="none"/>
          <w:lang w:eastAsia="zh-CN"/>
        </w:rPr>
        <w:t>成交单位</w:t>
      </w:r>
      <w:r>
        <w:rPr>
          <w:rFonts w:hint="eastAsia" w:ascii="宋体" w:hAnsi="宋体" w:eastAsia="宋体" w:cs="宋体"/>
          <w:szCs w:val="24"/>
          <w:highlight w:val="none"/>
        </w:rPr>
        <w:t>在收到</w:t>
      </w:r>
      <w:r>
        <w:rPr>
          <w:rFonts w:hint="eastAsia" w:ascii="宋体" w:hAnsi="宋体" w:eastAsia="宋体" w:cs="宋体"/>
          <w:szCs w:val="24"/>
          <w:highlight w:val="none"/>
          <w:lang w:eastAsia="zh-CN"/>
        </w:rPr>
        <w:t>成交通知书</w:t>
      </w:r>
      <w:r>
        <w:rPr>
          <w:rFonts w:hint="eastAsia" w:ascii="宋体" w:hAnsi="宋体" w:eastAsia="宋体" w:cs="宋体"/>
          <w:szCs w:val="24"/>
          <w:highlight w:val="none"/>
        </w:rPr>
        <w:t>后，</w:t>
      </w:r>
      <w:r>
        <w:rPr>
          <w:rFonts w:hint="eastAsia" w:ascii="宋体" w:hAnsi="宋体" w:eastAsia="宋体" w:cs="宋体"/>
          <w:szCs w:val="24"/>
          <w:highlight w:val="none"/>
          <w:lang w:val="en-US" w:eastAsia="zh-CN"/>
        </w:rPr>
        <w:t>除因不可抗力或采购招标文件认可的情形以外，成交</w:t>
      </w:r>
      <w:r>
        <w:rPr>
          <w:rFonts w:hint="eastAsia" w:ascii="宋体" w:hAnsi="宋体" w:eastAsia="宋体" w:cs="宋体"/>
          <w:szCs w:val="24"/>
          <w:highlight w:val="none"/>
          <w:lang w:eastAsia="zh-CN"/>
        </w:rPr>
        <w:t>单位</w:t>
      </w:r>
      <w:r>
        <w:rPr>
          <w:rFonts w:hint="eastAsia" w:ascii="宋体" w:hAnsi="宋体" w:eastAsia="宋体" w:cs="宋体"/>
          <w:szCs w:val="24"/>
          <w:highlight w:val="none"/>
          <w:lang w:val="en-US" w:eastAsia="zh-CN"/>
        </w:rPr>
        <w:t>不与采购人签订合同</w:t>
      </w:r>
      <w:r>
        <w:rPr>
          <w:rFonts w:hint="eastAsia" w:ascii="宋体" w:hAnsi="宋体" w:eastAsia="宋体" w:cs="宋体"/>
          <w:szCs w:val="24"/>
          <w:highlight w:val="none"/>
          <w:lang w:eastAsia="zh-CN"/>
        </w:rPr>
        <w:t>；</w:t>
      </w:r>
    </w:p>
    <w:p w14:paraId="7A1F2C1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提供虚假资质谋取</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的；</w:t>
      </w:r>
    </w:p>
    <w:p w14:paraId="3C8440B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（7）成交</w:t>
      </w:r>
      <w:r>
        <w:rPr>
          <w:rFonts w:hint="eastAsia" w:ascii="宋体" w:hAnsi="宋体" w:eastAsia="宋体" w:cs="宋体"/>
          <w:szCs w:val="24"/>
          <w:highlight w:val="none"/>
          <w:lang w:eastAsia="zh-CN"/>
        </w:rPr>
        <w:t>单位</w:t>
      </w:r>
      <w:r>
        <w:rPr>
          <w:rFonts w:hint="eastAsia" w:ascii="宋体" w:hAnsi="宋体" w:eastAsia="宋体" w:cs="宋体"/>
          <w:szCs w:val="24"/>
          <w:highlight w:val="none"/>
          <w:lang w:val="en-US" w:eastAsia="zh-CN"/>
        </w:rPr>
        <w:t>将成交项目转让给他人，或者在投标文件中未说明，且未经采购人同意，将成交项目分包给他人的。</w:t>
      </w:r>
    </w:p>
    <w:p w14:paraId="791E994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rPr>
        <w:t>投标保证金的有效期与投标有效期一致。</w:t>
      </w:r>
    </w:p>
    <w:p w14:paraId="1FE39A49">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szCs w:val="24"/>
          <w:highlight w:val="none"/>
          <w:lang w:eastAsia="zh-CN"/>
        </w:rPr>
      </w:pPr>
      <w:r>
        <w:rPr>
          <w:rFonts w:hint="eastAsia" w:ascii="宋体" w:hAnsi="宋体" w:eastAsia="宋体" w:cs="宋体"/>
          <w:b/>
          <w:bCs/>
          <w:sz w:val="24"/>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2020</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46号)、《陕西省中小企业政府采购信用融资办法》(陕财办采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2018</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23号)、《陕西省财政厅关于加快推进我省中小企业政府采购信用融资工作的通知》(陕财办采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2020</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15 号)等有关规定，为参与陕西省政府采购项目的供应商提供政府采购信用担保，并按照程序确定了合作的担保机构。按照市场主导、财政引导、银企自愿、风险自担的原则，</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在缴纳</w:t>
      </w:r>
      <w:r>
        <w:rPr>
          <w:rFonts w:hint="eastAsia" w:ascii="宋体" w:hAnsi="宋体" w:eastAsia="宋体" w:cs="宋体"/>
          <w:b/>
          <w:bCs/>
          <w:sz w:val="24"/>
          <w:szCs w:val="24"/>
          <w:highlight w:val="none"/>
          <w:lang w:eastAsia="zh-CN"/>
        </w:rPr>
        <w:t>投标</w:t>
      </w:r>
      <w:r>
        <w:rPr>
          <w:rFonts w:hint="eastAsia" w:ascii="宋体" w:hAnsi="宋体" w:eastAsia="宋体" w:cs="宋体"/>
          <w:b/>
          <w:bCs/>
          <w:sz w:val="24"/>
          <w:szCs w:val="24"/>
          <w:highlight w:val="none"/>
        </w:rPr>
        <w:t>保证金时可自愿选择通过担保机构保函的形式缴纳；中标(成交)供应商根据自身</w:t>
      </w:r>
      <w:r>
        <w:rPr>
          <w:rFonts w:hint="eastAsia" w:ascii="宋体" w:hAnsi="宋体" w:eastAsia="宋体" w:cs="宋体"/>
          <w:b/>
          <w:bCs/>
          <w:sz w:val="24"/>
          <w:szCs w:val="24"/>
          <w:highlight w:val="none"/>
          <w:lang w:eastAsia="zh-CN"/>
        </w:rPr>
        <w:t>情况</w:t>
      </w:r>
      <w:r>
        <w:rPr>
          <w:rFonts w:hint="eastAsia" w:ascii="宋体" w:hAnsi="宋体" w:eastAsia="宋体" w:cs="宋体"/>
          <w:b/>
          <w:bCs/>
          <w:sz w:val="24"/>
          <w:szCs w:val="24"/>
          <w:highlight w:val="none"/>
        </w:rPr>
        <w:t>，可凭</w:t>
      </w:r>
      <w:r>
        <w:rPr>
          <w:rFonts w:hint="eastAsia" w:ascii="宋体" w:hAnsi="宋体" w:eastAsia="宋体" w:cs="宋体"/>
          <w:b/>
          <w:bCs/>
          <w:sz w:val="24"/>
          <w:szCs w:val="24"/>
          <w:highlight w:val="none"/>
          <w:lang w:eastAsia="zh-CN"/>
        </w:rPr>
        <w:t>中标（</w:t>
      </w:r>
      <w:r>
        <w:rPr>
          <w:rFonts w:hint="eastAsia" w:ascii="宋体" w:hAnsi="宋体" w:eastAsia="宋体" w:cs="宋体"/>
          <w:b/>
          <w:bCs/>
          <w:sz w:val="24"/>
          <w:szCs w:val="24"/>
          <w:highlight w:val="none"/>
        </w:rPr>
        <w:t>成交</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通知书、政府采购合同等相关资料，按照《陕西省财政厅关于印发&lt;陕西省中小企业政府采购信用融资办法&gt;的通知》（陕财办采〔2018〕23号）相关政策、业务流程、办理平台（http://www.ccgp-shaanxi.gov.cn/zcdservice/zcd/shanxi/）的程序</w:t>
      </w:r>
      <w:r>
        <w:rPr>
          <w:rFonts w:hint="eastAsia" w:ascii="宋体" w:hAnsi="宋体" w:eastAsia="宋体" w:cs="宋体"/>
          <w:b/>
          <w:bCs/>
          <w:sz w:val="24"/>
          <w:szCs w:val="24"/>
          <w:highlight w:val="none"/>
          <w:lang w:eastAsia="zh-CN"/>
        </w:rPr>
        <w:t>申请</w:t>
      </w:r>
      <w:r>
        <w:rPr>
          <w:rFonts w:hint="eastAsia" w:ascii="宋体" w:hAnsi="宋体" w:eastAsia="宋体" w:cs="宋体"/>
          <w:b/>
          <w:bCs/>
          <w:sz w:val="24"/>
          <w:szCs w:val="24"/>
          <w:highlight w:val="none"/>
        </w:rPr>
        <w:t>办理。合作银行</w:t>
      </w:r>
      <w:r>
        <w:rPr>
          <w:rFonts w:hint="eastAsia" w:ascii="宋体" w:hAnsi="宋体" w:eastAsia="宋体" w:cs="宋体"/>
          <w:b/>
          <w:bCs/>
          <w:sz w:val="24"/>
          <w:szCs w:val="24"/>
          <w:highlight w:val="none"/>
          <w:lang w:eastAsia="zh-CN"/>
        </w:rPr>
        <w:t>详见陕西省政府采购金融服务平台。</w:t>
      </w:r>
    </w:p>
    <w:p w14:paraId="4372ED24">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lang w:eastAsia="zh-CN"/>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2</w:t>
      </w:r>
      <w:r>
        <w:rPr>
          <w:rFonts w:hint="eastAsia" w:ascii="宋体" w:hAnsi="宋体" w:eastAsia="宋体" w:cs="宋体"/>
          <w:b/>
          <w:szCs w:val="24"/>
          <w:highlight w:val="none"/>
        </w:rPr>
        <w:t>.备选投标方案</w:t>
      </w:r>
      <w:r>
        <w:rPr>
          <w:rFonts w:hint="eastAsia" w:ascii="宋体" w:hAnsi="宋体" w:eastAsia="宋体" w:cs="宋体"/>
          <w:b/>
          <w:szCs w:val="24"/>
          <w:highlight w:val="none"/>
          <w:lang w:eastAsia="zh-CN"/>
        </w:rPr>
        <w:t>和报价</w:t>
      </w:r>
    </w:p>
    <w:p w14:paraId="0697AAA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如果在招标文件中没有允许提</w:t>
      </w:r>
      <w:r>
        <w:rPr>
          <w:rFonts w:hint="eastAsia" w:ascii="宋体" w:hAnsi="宋体" w:eastAsia="宋体" w:cs="宋体"/>
          <w:szCs w:val="24"/>
          <w:highlight w:val="none"/>
          <w:lang w:eastAsia="zh-CN"/>
        </w:rPr>
        <w:t>交</w:t>
      </w:r>
      <w:r>
        <w:rPr>
          <w:rFonts w:hint="eastAsia" w:ascii="宋体" w:hAnsi="宋体" w:eastAsia="宋体" w:cs="宋体"/>
          <w:szCs w:val="24"/>
          <w:highlight w:val="none"/>
        </w:rPr>
        <w:t>备选方案</w:t>
      </w:r>
      <w:r>
        <w:rPr>
          <w:rFonts w:hint="eastAsia" w:ascii="宋体" w:hAnsi="宋体" w:eastAsia="宋体" w:cs="宋体"/>
          <w:szCs w:val="24"/>
          <w:highlight w:val="none"/>
          <w:lang w:eastAsia="zh-CN"/>
        </w:rPr>
        <w:t>或多个报价</w:t>
      </w:r>
      <w:r>
        <w:rPr>
          <w:rFonts w:hint="eastAsia" w:ascii="宋体" w:hAnsi="宋体" w:eastAsia="宋体" w:cs="宋体"/>
          <w:szCs w:val="24"/>
          <w:highlight w:val="none"/>
        </w:rPr>
        <w:t>，则每个</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只允许提交一个投标方案</w:t>
      </w:r>
      <w:r>
        <w:rPr>
          <w:rFonts w:hint="eastAsia" w:ascii="宋体" w:hAnsi="宋体" w:eastAsia="宋体" w:cs="宋体"/>
          <w:szCs w:val="24"/>
          <w:highlight w:val="none"/>
          <w:lang w:eastAsia="zh-CN"/>
        </w:rPr>
        <w:t>和报价</w:t>
      </w:r>
      <w:r>
        <w:rPr>
          <w:rFonts w:hint="eastAsia" w:ascii="宋体" w:hAnsi="宋体" w:eastAsia="宋体" w:cs="宋体"/>
          <w:szCs w:val="24"/>
          <w:highlight w:val="none"/>
        </w:rPr>
        <w:t>，否则，其投标将按照无效投标处理。</w:t>
      </w:r>
    </w:p>
    <w:p w14:paraId="32DAE4FF">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13.</w:t>
      </w:r>
      <w:r>
        <w:rPr>
          <w:rFonts w:hint="eastAsia" w:ascii="宋体" w:hAnsi="宋体" w:eastAsia="宋体" w:cs="宋体"/>
          <w:b/>
          <w:szCs w:val="24"/>
          <w:highlight w:val="none"/>
        </w:rPr>
        <w:t>投标文件的编制</w:t>
      </w:r>
    </w:p>
    <w:p w14:paraId="059517D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.1投标文件应按</w:t>
      </w:r>
      <w:r>
        <w:rPr>
          <w:rFonts w:hint="eastAsia" w:ascii="宋体" w:hAnsi="宋体" w:eastAsia="宋体" w:cs="宋体"/>
          <w:szCs w:val="24"/>
          <w:highlight w:val="none"/>
          <w:lang w:eastAsia="zh-CN"/>
        </w:rPr>
        <w:t>照</w:t>
      </w:r>
      <w:r>
        <w:rPr>
          <w:rFonts w:hint="eastAsia" w:ascii="宋体" w:hAnsi="宋体" w:eastAsia="宋体" w:cs="宋体"/>
          <w:szCs w:val="24"/>
          <w:highlight w:val="none"/>
        </w:rPr>
        <w:t>招标文件</w:t>
      </w:r>
      <w:r>
        <w:rPr>
          <w:rFonts w:hint="eastAsia" w:ascii="宋体" w:hAnsi="宋体" w:eastAsia="宋体" w:cs="宋体"/>
          <w:szCs w:val="24"/>
          <w:highlight w:val="none"/>
          <w:lang w:eastAsia="zh-CN"/>
        </w:rPr>
        <w:t>第六章“投标文件格式”</w:t>
      </w:r>
      <w:r>
        <w:rPr>
          <w:rFonts w:hint="eastAsia" w:ascii="宋体" w:hAnsi="宋体" w:eastAsia="宋体" w:cs="宋体"/>
          <w:szCs w:val="24"/>
          <w:highlight w:val="none"/>
        </w:rPr>
        <w:t>进行编写，</w:t>
      </w:r>
      <w:r>
        <w:rPr>
          <w:rFonts w:hint="eastAsia" w:ascii="宋体" w:hAnsi="宋体" w:eastAsia="宋体" w:cs="宋体"/>
          <w:sz w:val="24"/>
          <w:szCs w:val="24"/>
          <w:highlight w:val="none"/>
        </w:rPr>
        <w:t>如有必要，可以增加附页，作为投标文件的组成部分。</w:t>
      </w:r>
      <w:r>
        <w:rPr>
          <w:rFonts w:hint="eastAsia" w:ascii="宋体" w:hAnsi="宋体" w:eastAsia="宋体" w:cs="宋体"/>
          <w:szCs w:val="24"/>
          <w:highlight w:val="none"/>
        </w:rPr>
        <w:t>除明确允许</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可以自行编写的外，</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不得以“投标文件格式”规定之外的方式填写相关内容。</w:t>
      </w:r>
    </w:p>
    <w:p w14:paraId="38E2B26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.2</w:t>
      </w:r>
      <w:r>
        <w:rPr>
          <w:rFonts w:hint="eastAsia" w:ascii="宋体" w:hAnsi="宋体"/>
          <w:szCs w:val="24"/>
          <w:highlight w:val="none"/>
        </w:rPr>
        <w:t>投标文件应当对招标文件有关</w:t>
      </w:r>
      <w:r>
        <w:rPr>
          <w:rFonts w:hint="eastAsia" w:ascii="宋体" w:hAnsi="宋体"/>
          <w:szCs w:val="24"/>
          <w:highlight w:val="none"/>
          <w:lang w:eastAsia="zh-CN"/>
        </w:rPr>
        <w:t>服务</w:t>
      </w:r>
      <w:r>
        <w:rPr>
          <w:rFonts w:hint="eastAsia" w:ascii="宋体" w:hAnsi="宋体"/>
          <w:szCs w:val="24"/>
          <w:highlight w:val="none"/>
        </w:rPr>
        <w:t>期</w:t>
      </w:r>
      <w:r>
        <w:rPr>
          <w:rFonts w:hint="eastAsia" w:ascii="宋体" w:hAnsi="宋体"/>
          <w:szCs w:val="24"/>
          <w:highlight w:val="none"/>
          <w:lang w:eastAsia="zh-CN"/>
        </w:rPr>
        <w:t>限</w:t>
      </w:r>
      <w:r>
        <w:rPr>
          <w:rFonts w:hint="eastAsia" w:ascii="宋体" w:hAnsi="宋体"/>
          <w:szCs w:val="24"/>
          <w:highlight w:val="none"/>
        </w:rPr>
        <w:t>、投标有效期、质量要求、技术规格和要求、商务要求等实质性内容作出响应。</w:t>
      </w:r>
    </w:p>
    <w:p w14:paraId="20E56620">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rPr>
        <w:t>1</w:t>
      </w:r>
      <w:r>
        <w:rPr>
          <w:rFonts w:hint="eastAsia" w:ascii="宋体" w:hAnsi="宋体" w:eastAsia="宋体" w:cs="宋体"/>
          <w:b/>
          <w:bCs/>
          <w:szCs w:val="24"/>
          <w:highlight w:val="none"/>
          <w:lang w:val="en-US" w:eastAsia="zh-CN"/>
        </w:rPr>
        <w:t>3</w:t>
      </w:r>
      <w:r>
        <w:rPr>
          <w:rFonts w:hint="eastAsia" w:ascii="宋体" w:hAnsi="宋体" w:eastAsia="宋体" w:cs="宋体"/>
          <w:b/>
          <w:bCs/>
          <w:szCs w:val="24"/>
          <w:highlight w:val="none"/>
        </w:rPr>
        <w:t>.3</w:t>
      </w:r>
      <w:r>
        <w:rPr>
          <w:rFonts w:hint="eastAsia" w:ascii="宋体" w:hAnsi="宋体" w:eastAsia="宋体" w:cs="宋体"/>
          <w:b/>
          <w:bCs/>
          <w:szCs w:val="24"/>
          <w:highlight w:val="none"/>
          <w:lang w:val="en-US" w:eastAsia="zh-CN"/>
        </w:rPr>
        <w:t xml:space="preserve">投标文件的制作应满足以下规定： </w:t>
      </w:r>
    </w:p>
    <w:p w14:paraId="7308EB43">
      <w:pPr>
        <w:keepNext w:val="0"/>
        <w:keepLines w:val="0"/>
        <w:pageBreakBefore w:val="0"/>
        <w:widowControl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（1）供应商登录【</w:t>
      </w:r>
      <w:r>
        <w:rPr>
          <w:rFonts w:hint="eastAsia" w:ascii="宋体" w:hAnsi="宋体" w:eastAsia="宋体" w:cs="宋体"/>
          <w:b/>
          <w:bCs/>
          <w:sz w:val="24"/>
          <w:highlight w:val="none"/>
          <w:lang w:val="en-US" w:eastAsia="zh-CN"/>
        </w:rPr>
        <w:t>全国公共资源交易平台（陕西省.宝鸡市）宝鸡市公共资源交易中心</w:t>
      </w:r>
      <w:r>
        <w:rPr>
          <w:rFonts w:hint="eastAsia" w:ascii="宋体" w:hAnsi="宋体" w:eastAsia="宋体" w:cs="宋体"/>
          <w:b/>
          <w:bCs/>
          <w:szCs w:val="24"/>
          <w:highlight w:val="none"/>
          <w:lang w:val="en-US" w:eastAsia="zh-CN"/>
        </w:rPr>
        <w:t>】下载《政府采购电子标书制作工具》,按照流程制作生成电子标书。</w:t>
      </w:r>
    </w:p>
    <w:p w14:paraId="7F0B8CD1">
      <w:pPr>
        <w:keepNext w:val="0"/>
        <w:keepLines w:val="0"/>
        <w:pageBreakBefore w:val="0"/>
        <w:widowControl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 xml:space="preserve">（2）供应商在编制投标文件时应建立分级目录，并按照标签提示导入相关内容。 </w:t>
      </w:r>
    </w:p>
    <w:p w14:paraId="07EEA173">
      <w:pPr>
        <w:keepNext w:val="0"/>
        <w:keepLines w:val="0"/>
        <w:pageBreakBefore w:val="0"/>
        <w:widowControl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（3）编制电子投标文件时，应使用最新发布的电子招标文件及专用制作工具进行编制。并使用数字认证证书（CA）对电子响应文件进行签署、加密、上传及开标时解密等相关操作。第六章“投标文件格式”中</w:t>
      </w:r>
      <w:r>
        <w:rPr>
          <w:rFonts w:hint="eastAsia" w:ascii="宋体" w:hAnsi="宋体" w:eastAsia="宋体" w:cs="宋体"/>
          <w:b/>
          <w:bCs/>
          <w:sz w:val="24"/>
          <w:szCs w:val="24"/>
          <w:highlight w:val="none"/>
          <w:lang w:val="en-US" w:eastAsia="zh-CN"/>
        </w:rPr>
        <w:t>需要法定代表人或</w:t>
      </w:r>
      <w:r>
        <w:rPr>
          <w:rFonts w:hint="eastAsia" w:ascii="宋体" w:hAnsi="宋体" w:eastAsia="宋体" w:cs="宋体"/>
          <w:b/>
          <w:bCs/>
          <w:sz w:val="24"/>
          <w:szCs w:val="24"/>
          <w:highlight w:val="none"/>
          <w:u w:val="none"/>
          <w:lang w:val="en-US" w:eastAsia="zh-CN"/>
        </w:rPr>
        <w:t>授权</w:t>
      </w:r>
      <w:r>
        <w:rPr>
          <w:rFonts w:hint="eastAsia" w:ascii="宋体" w:hAnsi="宋体" w:eastAsia="宋体" w:cs="宋体"/>
          <w:b/>
          <w:bCs/>
          <w:sz w:val="24"/>
          <w:szCs w:val="24"/>
          <w:highlight w:val="none"/>
          <w:lang w:val="en-US" w:eastAsia="zh-CN"/>
        </w:rPr>
        <w:t>代表签字或盖章的地方，请使用“法人 CA”进行签章或按要求手写签名，不得使用机打签名，否则不予认可。需要加盖供应商公章的地方，请使用“企业 CA”进行盖章。</w:t>
      </w:r>
    </w:p>
    <w:p w14:paraId="3116275C">
      <w:pPr>
        <w:keepNext w:val="0"/>
        <w:keepLines w:val="0"/>
        <w:pageBreakBefore w:val="0"/>
        <w:widowControl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（4）投标文件制作完成后，供应商应使用 CA 数字证书对投标文件进行文件加密，形成加密的投标文件。加密和解密应当使用同一CA，否则将会导致解密失败，在编制过程中，如有技术性问题，请先翻阅操作手册或致电软件开发商，技术支持热线：4009280095、4009980000。</w:t>
      </w:r>
    </w:p>
    <w:p w14:paraId="52E9037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13.4（1）成交单位在领取成交通知书时须向采购代理机构提交投标文件正本一份，副本二份，电子文件（U盘）一份。提交的纸质投标文件须与网上上传的电子投标文件内容一致，若不一致导致的一切后果由供应商自负。（2）正本和副本的封面上应清楚地标记“正本”或“副本”的字样。投标文件的正本与副本均应采用A4纸印刷，分别各自胶装成册，并编制目录和页码，不得采用活页装订。</w:t>
      </w:r>
    </w:p>
    <w:p w14:paraId="230B698B">
      <w:pPr>
        <w:pStyle w:val="2"/>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szCs w:val="28"/>
          <w:highlight w:val="none"/>
        </w:rPr>
      </w:pPr>
      <w:bookmarkStart w:id="272" w:name="_Toc17119"/>
      <w:bookmarkStart w:id="273" w:name="_Toc26563"/>
      <w:bookmarkStart w:id="274" w:name="_Toc13619"/>
      <w:bookmarkStart w:id="275" w:name="_Toc8986"/>
      <w:bookmarkStart w:id="276" w:name="_Toc26074"/>
      <w:bookmarkStart w:id="277" w:name="_Toc13754"/>
      <w:bookmarkStart w:id="278" w:name="_Toc18210"/>
      <w:bookmarkStart w:id="279" w:name="_Toc21704"/>
      <w:bookmarkStart w:id="280" w:name="_Toc25758"/>
      <w:bookmarkStart w:id="281" w:name="_Toc4048"/>
      <w:bookmarkStart w:id="282" w:name="_Toc18208"/>
      <w:bookmarkStart w:id="283" w:name="_Toc19935"/>
      <w:r>
        <w:rPr>
          <w:rFonts w:hint="eastAsia" w:ascii="宋体" w:hAnsi="宋体" w:eastAsia="宋体" w:cs="宋体"/>
          <w:szCs w:val="28"/>
          <w:highlight w:val="none"/>
        </w:rPr>
        <w:t>四、投标</w:t>
      </w:r>
      <w:bookmarkEnd w:id="272"/>
      <w:bookmarkEnd w:id="273"/>
      <w:bookmarkEnd w:id="274"/>
      <w:bookmarkEnd w:id="275"/>
      <w:bookmarkEnd w:id="276"/>
      <w:bookmarkEnd w:id="277"/>
      <w:bookmarkEnd w:id="278"/>
      <w:bookmarkEnd w:id="279"/>
      <w:bookmarkEnd w:id="280"/>
      <w:bookmarkEnd w:id="281"/>
      <w:bookmarkEnd w:id="282"/>
      <w:bookmarkEnd w:id="283"/>
    </w:p>
    <w:p w14:paraId="5E8E6C0B">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4.</w:t>
      </w:r>
      <w:r>
        <w:rPr>
          <w:rFonts w:hint="eastAsia" w:ascii="宋体" w:hAnsi="宋体" w:eastAsia="宋体" w:cs="宋体"/>
          <w:b/>
          <w:szCs w:val="24"/>
          <w:highlight w:val="none"/>
        </w:rPr>
        <w:t>投标文件的递交</w:t>
      </w:r>
    </w:p>
    <w:p w14:paraId="0C387A2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14.1供应商应在供应商须知前附表规定的投标截止时间前，通过互联网使用</w:t>
      </w:r>
      <w:r>
        <w:rPr>
          <w:rFonts w:hint="eastAsia" w:ascii="宋体" w:hAnsi="宋体" w:eastAsia="宋体" w:cs="宋体"/>
          <w:sz w:val="24"/>
          <w:highlight w:val="none"/>
          <w:lang w:val="en-US" w:eastAsia="zh-CN"/>
        </w:rPr>
        <w:t>陕西CA</w:t>
      </w:r>
      <w:r>
        <w:rPr>
          <w:rFonts w:hint="eastAsia" w:ascii="宋体" w:hAnsi="宋体" w:eastAsia="宋体" w:cs="宋体"/>
          <w:szCs w:val="24"/>
          <w:highlight w:val="none"/>
          <w:lang w:val="en-US" w:eastAsia="zh-CN"/>
        </w:rPr>
        <w:t xml:space="preserve"> 数字证书登录【全国公共资源交易平台（陕西省.宝鸡市）宝鸡市公共资源交易中心】“电子交易平台”，将加密的投标文件上传，并保存上传成功后系统自动生成的电子签收凭证，递交时间即为电子签收凭证时间。供应商应充分考虑上传文件时的不可预见因素，未在投标截止时间前完成上传的，视为逾期送达，招标人（“电子交易平台”）将拒绝接收。 </w:t>
      </w:r>
    </w:p>
    <w:p w14:paraId="622D9CF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Cs w:val="24"/>
          <w:highlight w:val="none"/>
          <w:lang w:val="en-US" w:eastAsia="zh-CN"/>
        </w:rPr>
        <w:t xml:space="preserve">14.2根据本章第14.1款的规定，供应商递交的投标文件，只要出现应当拒收的情形，其投标文件予以拒收。 </w:t>
      </w:r>
    </w:p>
    <w:p w14:paraId="20565E9B">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5.</w:t>
      </w:r>
      <w:r>
        <w:rPr>
          <w:rFonts w:hint="eastAsia" w:ascii="宋体" w:hAnsi="宋体" w:eastAsia="宋体" w:cs="宋体"/>
          <w:b/>
          <w:szCs w:val="24"/>
          <w:highlight w:val="none"/>
        </w:rPr>
        <w:t>迟交的投标文件</w:t>
      </w:r>
    </w:p>
    <w:p w14:paraId="5F7AFBB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rPr>
        <w:t>按照招标文件的规定，在提交</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文件的截止时间之后</w:t>
      </w:r>
      <w:r>
        <w:rPr>
          <w:rFonts w:hint="eastAsia" w:ascii="宋体" w:hAnsi="宋体" w:eastAsia="宋体" w:cs="宋体"/>
          <w:szCs w:val="24"/>
          <w:highlight w:val="none"/>
          <w:lang w:eastAsia="zh-CN"/>
        </w:rPr>
        <w:t>上传</w:t>
      </w:r>
      <w:r>
        <w:rPr>
          <w:rFonts w:hint="eastAsia" w:ascii="宋体" w:hAnsi="宋体" w:eastAsia="宋体" w:cs="宋体"/>
          <w:szCs w:val="24"/>
          <w:highlight w:val="none"/>
        </w:rPr>
        <w:t>的投标文件为无效投标文件，</w:t>
      </w:r>
      <w:r>
        <w:rPr>
          <w:rFonts w:hint="eastAsia" w:ascii="宋体" w:hAnsi="宋体" w:eastAsia="宋体" w:cs="宋体"/>
          <w:szCs w:val="24"/>
          <w:highlight w:val="none"/>
          <w:lang w:val="en-US" w:eastAsia="zh-CN"/>
        </w:rPr>
        <w:t xml:space="preserve">采购人（“电子交易平台”）将拒绝接收。 </w:t>
      </w:r>
    </w:p>
    <w:p w14:paraId="7EDE5AFE">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16.</w:t>
      </w:r>
      <w:r>
        <w:rPr>
          <w:rFonts w:hint="eastAsia" w:ascii="宋体" w:hAnsi="宋体" w:eastAsia="宋体" w:cs="宋体"/>
          <w:b/>
          <w:szCs w:val="24"/>
          <w:highlight w:val="none"/>
        </w:rPr>
        <w:t>投标文件的修改与撤回</w:t>
      </w:r>
    </w:p>
    <w:p w14:paraId="530DE39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16</w:t>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在供应商须知前附表规定的投标截止时间前</w:t>
      </w:r>
      <w:r>
        <w:rPr>
          <w:rFonts w:hint="eastAsia" w:ascii="宋体" w:hAnsi="宋体" w:eastAsia="宋体" w:cs="宋体"/>
          <w:szCs w:val="24"/>
          <w:highlight w:val="none"/>
        </w:rPr>
        <w:t>,</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可以修改或撤回已提交的投标文</w:t>
      </w:r>
      <w:r>
        <w:rPr>
          <w:rFonts w:hint="eastAsia" w:ascii="宋体" w:hAnsi="宋体" w:eastAsia="宋体" w:cs="宋体"/>
          <w:szCs w:val="24"/>
          <w:highlight w:val="none"/>
          <w:lang w:val="en-US" w:eastAsia="zh-CN"/>
        </w:rPr>
        <w:t>件，供应商对加密的投标文件进行撤回的，应在“电子交易平台”直接进行撤回操作；供应商对加密的投标文件进行修改的，应在投标截止时间前重新完成上传。</w:t>
      </w:r>
    </w:p>
    <w:p w14:paraId="60265EE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16.2供应商修改投标文件的，应使用“电子标书制作工具”制作成完整的投标文件，并按照本章第13条、第14条规定进行编制、加密和提交。对采用网上提交加密的投标文件，以投标截止时间前最后完成上传的文件为准。</w:t>
      </w:r>
    </w:p>
    <w:p w14:paraId="0D2FE27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16</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在投标截止时间</w:t>
      </w:r>
      <w:r>
        <w:rPr>
          <w:rFonts w:hint="eastAsia" w:ascii="宋体" w:hAnsi="宋体" w:eastAsia="宋体" w:cs="宋体"/>
          <w:szCs w:val="24"/>
          <w:highlight w:val="none"/>
          <w:lang w:eastAsia="zh-CN"/>
        </w:rPr>
        <w:t>后</w:t>
      </w:r>
      <w:r>
        <w:rPr>
          <w:rFonts w:hint="eastAsia" w:ascii="宋体" w:hAnsi="宋体" w:eastAsia="宋体" w:cs="宋体"/>
          <w:szCs w:val="24"/>
          <w:highlight w:val="none"/>
        </w:rPr>
        <w:t>至投标有效期满之前，</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不得撤回其投标文件，否则其投标保证金将不予退还。</w:t>
      </w:r>
    </w:p>
    <w:p w14:paraId="76D2C43B">
      <w:pPr>
        <w:pStyle w:val="2"/>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szCs w:val="28"/>
          <w:highlight w:val="none"/>
        </w:rPr>
      </w:pPr>
      <w:bookmarkStart w:id="284" w:name="_Toc21762"/>
      <w:bookmarkStart w:id="285" w:name="_Toc17445"/>
      <w:bookmarkStart w:id="286" w:name="_Toc10865"/>
      <w:bookmarkStart w:id="287" w:name="_Toc15907"/>
      <w:bookmarkStart w:id="288" w:name="_Toc5309"/>
      <w:bookmarkStart w:id="289" w:name="_Toc16238"/>
      <w:bookmarkStart w:id="290" w:name="_Toc3306"/>
      <w:bookmarkStart w:id="291" w:name="_Toc21175"/>
      <w:bookmarkStart w:id="292" w:name="_Toc363473976"/>
      <w:bookmarkStart w:id="293" w:name="_Toc403077643"/>
      <w:bookmarkStart w:id="294" w:name="_Toc32647"/>
      <w:bookmarkStart w:id="295" w:name="_Toc363474021"/>
      <w:bookmarkStart w:id="296" w:name="_Toc985"/>
      <w:bookmarkStart w:id="297" w:name="_Toc956"/>
      <w:bookmarkStart w:id="298" w:name="_Toc25822"/>
      <w:r>
        <w:rPr>
          <w:rFonts w:hint="eastAsia" w:ascii="宋体" w:hAnsi="宋体" w:eastAsia="宋体" w:cs="宋体"/>
          <w:szCs w:val="28"/>
          <w:highlight w:val="none"/>
        </w:rPr>
        <w:t>五、开标</w:t>
      </w:r>
      <w:r>
        <w:rPr>
          <w:rFonts w:hint="eastAsia" w:ascii="宋体" w:hAnsi="宋体" w:eastAsia="宋体" w:cs="宋体"/>
          <w:szCs w:val="28"/>
          <w:highlight w:val="none"/>
          <w:lang w:eastAsia="zh-CN"/>
        </w:rPr>
        <w:t>、</w:t>
      </w:r>
      <w:r>
        <w:rPr>
          <w:rFonts w:hint="eastAsia" w:ascii="宋体" w:hAnsi="宋体" w:eastAsia="宋体" w:cs="宋体"/>
          <w:szCs w:val="28"/>
          <w:highlight w:val="none"/>
        </w:rPr>
        <w:t>评标</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E81CB1B">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17</w:t>
      </w:r>
      <w:r>
        <w:rPr>
          <w:rFonts w:hint="eastAsia" w:ascii="宋体" w:hAnsi="宋体" w:eastAsia="宋体" w:cs="宋体"/>
          <w:b/>
          <w:szCs w:val="24"/>
          <w:highlight w:val="none"/>
        </w:rPr>
        <w:t>.开标</w:t>
      </w:r>
    </w:p>
    <w:p w14:paraId="1E4413A8">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.1开标时间和地点</w:t>
      </w:r>
    </w:p>
    <w:p w14:paraId="38F85AA5">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本项目“不见面开标”，</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代理机构按招标文件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规定的时间和地点组织开标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供应商无需抵达开标现场，即可在线实现开标、解密、澄清等操作。“不见面开标”系统操作说明详见</w:t>
      </w:r>
      <w:r>
        <w:rPr>
          <w:rFonts w:hint="eastAsia" w:ascii="宋体" w:hAnsi="宋体" w:eastAsia="宋体" w:cs="宋体"/>
          <w:i w:val="0"/>
          <w:iCs w:val="0"/>
          <w:caps w:val="0"/>
          <w:color w:val="auto"/>
          <w:spacing w:val="0"/>
          <w:sz w:val="24"/>
          <w:szCs w:val="24"/>
          <w:highlight w:val="none"/>
          <w:shd w:val="clear" w:color="auto" w:fill="FFFFFF"/>
        </w:rPr>
        <w:t>【全国公共资源交易平台（陕西省·宝鸡市）宝鸡市公共资源交易中心】</w:t>
      </w:r>
      <w:r>
        <w:rPr>
          <w:rFonts w:hint="eastAsia" w:ascii="宋体" w:hAnsi="宋体" w:eastAsia="宋体" w:cs="宋体"/>
          <w:sz w:val="24"/>
          <w:szCs w:val="24"/>
          <w:highlight w:val="none"/>
          <w:lang w:val="en-US" w:eastAsia="zh-CN"/>
        </w:rPr>
        <w:t>〖首页·〉服务指南·〉下载专区〗中的</w:t>
      </w:r>
      <w:r>
        <w:rPr>
          <w:rFonts w:hint="eastAsia" w:ascii="宋体" w:hAnsi="宋体" w:eastAsia="宋体" w:cs="宋体"/>
          <w:i w:val="0"/>
          <w:iCs w:val="0"/>
          <w:caps w:val="0"/>
          <w:color w:val="auto"/>
          <w:spacing w:val="0"/>
          <w:sz w:val="24"/>
          <w:szCs w:val="24"/>
          <w:highlight w:val="none"/>
          <w:shd w:val="clear" w:color="auto" w:fill="FFFFFF"/>
        </w:rPr>
        <w:t>《宝鸡市不见面大厅供应商操作手册》</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524AE4BC">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.2开标程序</w:t>
      </w:r>
    </w:p>
    <w:p w14:paraId="4D268B2F">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开标前，请各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至少提前</w:t>
      </w:r>
      <w:r>
        <w:rPr>
          <w:rFonts w:hint="eastAsia" w:ascii="宋体" w:hAnsi="宋体" w:eastAsia="宋体" w:cs="宋体"/>
          <w:i w:val="0"/>
          <w:iCs w:val="0"/>
          <w:caps w:val="0"/>
          <w:color w:val="auto"/>
          <w:spacing w:val="0"/>
          <w:sz w:val="24"/>
          <w:szCs w:val="24"/>
          <w:highlight w:val="none"/>
          <w:shd w:val="clear" w:color="auto" w:fill="FFFFFF"/>
        </w:rPr>
        <w:t>一小时</w:t>
      </w:r>
      <w:r>
        <w:rPr>
          <w:rFonts w:hint="eastAsia" w:ascii="宋体" w:hAnsi="宋体" w:eastAsia="宋体" w:cs="宋体"/>
          <w:color w:val="auto"/>
          <w:sz w:val="24"/>
          <w:szCs w:val="24"/>
          <w:highlight w:val="none"/>
        </w:rPr>
        <w:t>登录</w:t>
      </w:r>
      <w:r>
        <w:rPr>
          <w:rFonts w:hint="eastAsia" w:ascii="宋体" w:hAnsi="宋体" w:eastAsia="宋体" w:cs="宋体"/>
          <w:i w:val="0"/>
          <w:iCs w:val="0"/>
          <w:caps w:val="0"/>
          <w:color w:val="auto"/>
          <w:spacing w:val="0"/>
          <w:sz w:val="24"/>
          <w:szCs w:val="24"/>
          <w:highlight w:val="none"/>
          <w:shd w:val="clear" w:color="auto" w:fill="FFFFFF"/>
        </w:rPr>
        <w:t>【全国公共资源交易平台（陕西省·宝鸡市）宝鸡市公共资源交易中心】</w:t>
      </w:r>
      <w:r>
        <w:rPr>
          <w:rFonts w:hint="eastAsia" w:ascii="宋体" w:hAnsi="宋体" w:eastAsia="宋体" w:cs="宋体"/>
          <w:color w:val="auto"/>
          <w:sz w:val="24"/>
          <w:szCs w:val="24"/>
          <w:highlight w:val="none"/>
        </w:rPr>
        <w:t>〖首页·〉不见面开标〗系统</w:t>
      </w:r>
      <w:r>
        <w:rPr>
          <w:rFonts w:hint="eastAsia" w:ascii="宋体" w:hAnsi="宋体" w:eastAsia="宋体" w:cs="宋体"/>
          <w:i w:val="0"/>
          <w:iCs w:val="0"/>
          <w:caps w:val="0"/>
          <w:color w:val="auto"/>
          <w:spacing w:val="0"/>
          <w:sz w:val="24"/>
          <w:szCs w:val="24"/>
          <w:highlight w:val="none"/>
          <w:shd w:val="clear" w:color="auto" w:fill="FFFFFF"/>
        </w:rPr>
        <w:t>进行线上签到</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7C6B6C9F">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）公布在投标截止时间前</w:t>
      </w:r>
      <w:r>
        <w:rPr>
          <w:rFonts w:hint="eastAsia" w:ascii="宋体" w:hAnsi="宋体" w:eastAsia="宋体" w:cs="宋体"/>
          <w:sz w:val="24"/>
          <w:szCs w:val="24"/>
          <w:highlight w:val="none"/>
          <w:lang w:eastAsia="zh-CN"/>
        </w:rPr>
        <w:t>按时提</w:t>
      </w:r>
      <w:r>
        <w:rPr>
          <w:rFonts w:hint="eastAsia" w:ascii="宋体" w:hAnsi="宋体" w:eastAsia="宋体" w:cs="宋体"/>
          <w:sz w:val="24"/>
          <w:szCs w:val="24"/>
          <w:highlight w:val="none"/>
        </w:rPr>
        <w:t>交</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投标文件的</w:t>
      </w:r>
      <w:r>
        <w:rPr>
          <w:rFonts w:hint="eastAsia" w:ascii="宋体" w:hAnsi="宋体" w:eastAsia="宋体" w:cs="宋体"/>
          <w:sz w:val="24"/>
          <w:szCs w:val="24"/>
          <w:highlight w:val="none"/>
          <w:lang w:eastAsia="zh-CN"/>
        </w:rPr>
        <w:t>供应商名单</w:t>
      </w:r>
      <w:r>
        <w:rPr>
          <w:rFonts w:hint="eastAsia" w:ascii="宋体" w:hAnsi="宋体" w:eastAsia="宋体" w:cs="宋体"/>
          <w:sz w:val="24"/>
          <w:szCs w:val="24"/>
          <w:highlight w:val="none"/>
        </w:rPr>
        <w:t>；</w:t>
      </w:r>
    </w:p>
    <w:p w14:paraId="3C1211C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解密投标文件：供应商在收到主持人“开始解密”指令后，应使用“加密该投标文件的CA锁（必须是同一把锁）”在规定时间内线上完成投标文件解密</w:t>
      </w:r>
      <w:r>
        <w:rPr>
          <w:rFonts w:hint="eastAsia" w:ascii="宋体" w:hAnsi="宋体" w:eastAsia="宋体" w:cs="宋体"/>
          <w:sz w:val="24"/>
          <w:szCs w:val="24"/>
          <w:highlight w:val="none"/>
          <w:lang w:eastAsia="zh-CN"/>
        </w:rPr>
        <w:t>；</w:t>
      </w:r>
    </w:p>
    <w:p w14:paraId="37725406">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（4）唱标：对于公开招标项目，“不见面开标”系统将自动展示供应商名单及其投标报价。</w:t>
      </w:r>
    </w:p>
    <w:p w14:paraId="55E0C684">
      <w:pPr>
        <w:keepNext w:val="0"/>
        <w:keepLines w:val="0"/>
        <w:pageBreakBefore w:val="0"/>
        <w:widowControl w:val="0"/>
        <w:wordWrap/>
        <w:overflowPunct/>
        <w:topLinePunct w:val="0"/>
        <w:autoSpaceDE/>
        <w:autoSpaceDN/>
        <w:bidi w:val="0"/>
        <w:spacing w:line="360"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导入并读取所有解密成功的投标文件</w:t>
      </w:r>
      <w:r>
        <w:rPr>
          <w:rFonts w:hint="eastAsia" w:ascii="宋体" w:hAnsi="宋体" w:eastAsia="宋体" w:cs="宋体"/>
          <w:sz w:val="24"/>
          <w:szCs w:val="24"/>
          <w:highlight w:val="none"/>
        </w:rPr>
        <w:t>；</w:t>
      </w:r>
    </w:p>
    <w:p w14:paraId="6177510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（6）开标结束：进入评审环节。供应商请保持在线，评审期间评标委员会可能会要求供应商做相应的澄清。因供应商擅自离席造成的不利后果，由供应商自行承担。</w:t>
      </w:r>
    </w:p>
    <w:p w14:paraId="1884C7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zh-TW"/>
        </w:rPr>
      </w:pPr>
      <w:r>
        <w:rPr>
          <w:rFonts w:hint="eastAsia" w:ascii="宋体" w:hAnsi="宋体" w:eastAsia="宋体" w:cs="宋体"/>
          <w:kern w:val="0"/>
          <w:sz w:val="24"/>
          <w:highlight w:val="none"/>
          <w:lang w:val="en-US" w:eastAsia="zh-CN"/>
        </w:rPr>
        <w:t>17.3因“电子交易平台”系统故障导致供应商无法正常上传加密的投标文件，供应商应打印并递交电子交易平台自动生成的上传失败的异常记录单。</w:t>
      </w:r>
    </w:p>
    <w:p w14:paraId="26C94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17.4当出现以下情况时，应对未开标的中止电子开标，并在恢复正常后及时安排时间开标： </w:t>
      </w:r>
    </w:p>
    <w:p w14:paraId="44F8021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（1）系统服务器发生故障，无法访问或无法使用系统； </w:t>
      </w:r>
    </w:p>
    <w:p w14:paraId="7E9B430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（2）系统的软件或数据库出现错误，不能进行正常操作； </w:t>
      </w:r>
    </w:p>
    <w:p w14:paraId="4FB43F4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（3）系统发现有安全漏洞，有潜在的泄密危险； </w:t>
      </w:r>
    </w:p>
    <w:p w14:paraId="2064B08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（4）出现断电事故且短时间内无法恢复供电； </w:t>
      </w:r>
    </w:p>
    <w:p w14:paraId="3831EA2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（5）其他无法保证招投标过程正常进行的情形。</w:t>
      </w:r>
    </w:p>
    <w:p w14:paraId="494AE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17.5终止电子开标时，必须对原有资料及信息作出妥善保密处理。</w:t>
      </w:r>
    </w:p>
    <w:p w14:paraId="02801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18.</w:t>
      </w:r>
      <w:r>
        <w:rPr>
          <w:rFonts w:hint="eastAsia" w:ascii="宋体" w:hAnsi="宋体" w:eastAsia="宋体" w:cs="宋体"/>
          <w:b/>
          <w:szCs w:val="24"/>
          <w:highlight w:val="none"/>
        </w:rPr>
        <w:t>评标</w:t>
      </w:r>
    </w:p>
    <w:p w14:paraId="38B8968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18</w:t>
      </w:r>
      <w:r>
        <w:rPr>
          <w:rFonts w:hint="eastAsia" w:ascii="宋体" w:hAnsi="宋体" w:eastAsia="宋体" w:cs="宋体"/>
          <w:szCs w:val="24"/>
          <w:highlight w:val="none"/>
        </w:rPr>
        <w:t>.1评标委员会</w:t>
      </w:r>
      <w:r>
        <w:rPr>
          <w:rFonts w:hint="eastAsia" w:ascii="宋体" w:hAnsi="宋体" w:eastAsia="宋体" w:cs="宋体"/>
          <w:szCs w:val="24"/>
          <w:highlight w:val="none"/>
          <w:lang w:eastAsia="zh-CN"/>
        </w:rPr>
        <w:t>的</w:t>
      </w:r>
      <w:r>
        <w:rPr>
          <w:rFonts w:hint="eastAsia" w:ascii="宋体" w:hAnsi="宋体" w:eastAsia="宋体" w:cs="宋体"/>
          <w:szCs w:val="24"/>
          <w:highlight w:val="none"/>
        </w:rPr>
        <w:t>组成</w:t>
      </w:r>
    </w:p>
    <w:p w14:paraId="60A0D7E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lang w:val="zh-TW"/>
        </w:rPr>
      </w:pPr>
      <w:r>
        <w:rPr>
          <w:rFonts w:hint="eastAsia" w:ascii="宋体" w:hAnsi="宋体" w:eastAsia="宋体" w:cs="宋体"/>
          <w:kern w:val="0"/>
          <w:sz w:val="24"/>
          <w:highlight w:val="none"/>
          <w:lang w:val="zh-TW"/>
        </w:rPr>
        <w:t>（1）采购代理机构根据《中华人民共和国政府采购法》</w:t>
      </w:r>
      <w:r>
        <w:rPr>
          <w:rFonts w:hint="eastAsia" w:ascii="宋体" w:hAnsi="宋体" w:eastAsia="宋体" w:cs="宋体"/>
          <w:kern w:val="0"/>
          <w:sz w:val="24"/>
          <w:highlight w:val="none"/>
          <w:lang w:val="zh-TW" w:eastAsia="zh-CN"/>
        </w:rPr>
        <w:t>、</w:t>
      </w:r>
      <w:r>
        <w:rPr>
          <w:rFonts w:hint="eastAsia" w:ascii="宋体" w:hAnsi="宋体" w:eastAsia="宋体" w:cs="宋体"/>
          <w:kern w:val="0"/>
          <w:sz w:val="24"/>
          <w:highlight w:val="none"/>
          <w:lang w:eastAsia="zh-CN"/>
        </w:rPr>
        <w:t>《中华人民共和国政府采购法实施条例》</w:t>
      </w:r>
      <w:r>
        <w:rPr>
          <w:rFonts w:hint="eastAsia" w:ascii="宋体" w:hAnsi="宋体" w:eastAsia="宋体" w:cs="宋体"/>
          <w:sz w:val="24"/>
          <w:szCs w:val="24"/>
          <w:highlight w:val="none"/>
          <w:lang w:eastAsia="zh-CN"/>
        </w:rPr>
        <w:t>、</w:t>
      </w:r>
      <w:r>
        <w:rPr>
          <w:rFonts w:hint="eastAsia" w:ascii="宋体" w:hAnsi="宋体" w:eastAsia="宋体" w:cs="宋体"/>
          <w:kern w:val="0"/>
          <w:sz w:val="24"/>
          <w:highlight w:val="none"/>
          <w:lang w:eastAsia="zh-CN"/>
        </w:rPr>
        <w:t>《政府采购货物和服务招标投标管理办法》、</w:t>
      </w:r>
      <w:r>
        <w:rPr>
          <w:rFonts w:hint="eastAsia" w:ascii="宋体" w:hAnsi="宋体" w:eastAsia="宋体" w:cs="宋体"/>
          <w:sz w:val="24"/>
          <w:szCs w:val="24"/>
          <w:highlight w:val="none"/>
        </w:rPr>
        <w:t>《中华人民共和国</w:t>
      </w:r>
      <w:r>
        <w:rPr>
          <w:rFonts w:hint="eastAsia" w:ascii="宋体" w:hAnsi="宋体" w:eastAsia="宋体" w:cs="宋体"/>
          <w:sz w:val="24"/>
          <w:szCs w:val="24"/>
          <w:highlight w:val="none"/>
          <w:lang w:eastAsia="zh-CN"/>
        </w:rPr>
        <w:t>招投标法</w:t>
      </w:r>
      <w:r>
        <w:rPr>
          <w:rFonts w:hint="eastAsia" w:ascii="宋体" w:hAnsi="宋体" w:eastAsia="宋体" w:cs="宋体"/>
          <w:sz w:val="24"/>
          <w:szCs w:val="24"/>
          <w:highlight w:val="none"/>
        </w:rPr>
        <w:t>》</w:t>
      </w:r>
      <w:r>
        <w:rPr>
          <w:rFonts w:hint="eastAsia" w:ascii="宋体" w:hAnsi="宋体" w:eastAsia="宋体" w:cs="宋体"/>
          <w:kern w:val="0"/>
          <w:sz w:val="24"/>
          <w:highlight w:val="none"/>
          <w:lang w:val="zh-TW"/>
        </w:rPr>
        <w:t>等</w:t>
      </w:r>
      <w:r>
        <w:rPr>
          <w:rFonts w:hint="eastAsia" w:ascii="宋体" w:hAnsi="宋体" w:eastAsia="宋体" w:cs="宋体"/>
          <w:kern w:val="0"/>
          <w:sz w:val="24"/>
          <w:highlight w:val="none"/>
          <w:lang w:val="zh-TW" w:eastAsia="zh-CN"/>
        </w:rPr>
        <w:t>相关</w:t>
      </w:r>
      <w:r>
        <w:rPr>
          <w:rFonts w:hint="eastAsia" w:ascii="宋体" w:hAnsi="宋体" w:eastAsia="宋体" w:cs="宋体"/>
          <w:kern w:val="0"/>
          <w:sz w:val="24"/>
          <w:highlight w:val="none"/>
          <w:lang w:val="zh-TW"/>
        </w:rPr>
        <w:t>规定，依法组建评标委员会。评标委员会由</w:t>
      </w:r>
      <w:r>
        <w:rPr>
          <w:rFonts w:hint="eastAsia" w:ascii="宋体" w:hAnsi="宋体" w:eastAsia="宋体" w:cs="宋体"/>
          <w:kern w:val="0"/>
          <w:sz w:val="24"/>
          <w:highlight w:val="none"/>
          <w:lang w:val="zh-TW" w:eastAsia="zh-CN"/>
        </w:rPr>
        <w:t>采购</w:t>
      </w:r>
      <w:r>
        <w:rPr>
          <w:rFonts w:hint="eastAsia" w:ascii="宋体" w:hAnsi="宋体" w:eastAsia="宋体" w:cs="宋体"/>
          <w:kern w:val="0"/>
          <w:sz w:val="24"/>
          <w:highlight w:val="none"/>
          <w:lang w:val="zh-TW"/>
        </w:rPr>
        <w:t>人以及有关技术、经济等方面的专家组成。评标委员会成员人数以及技术、经济等方面专家的确定方式见</w:t>
      </w:r>
      <w:r>
        <w:rPr>
          <w:rFonts w:hint="eastAsia" w:ascii="宋体" w:hAnsi="宋体" w:eastAsia="宋体" w:cs="宋体"/>
          <w:kern w:val="0"/>
          <w:sz w:val="24"/>
          <w:highlight w:val="none"/>
          <w:lang w:val="zh-TW" w:eastAsia="zh-CN"/>
        </w:rPr>
        <w:t>供应商</w:t>
      </w:r>
      <w:r>
        <w:rPr>
          <w:rFonts w:hint="eastAsia" w:ascii="宋体" w:hAnsi="宋体" w:eastAsia="宋体" w:cs="宋体"/>
          <w:kern w:val="0"/>
          <w:sz w:val="24"/>
          <w:highlight w:val="none"/>
          <w:lang w:val="zh-TW"/>
        </w:rPr>
        <w:t>须知前附表。</w:t>
      </w:r>
    </w:p>
    <w:p w14:paraId="75354B5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（2）采购人派代表进入评标委员会时，</w:t>
      </w:r>
      <w:r>
        <w:rPr>
          <w:rFonts w:hint="eastAsia" w:ascii="宋体" w:hAnsi="宋体" w:eastAsia="宋体" w:cs="宋体"/>
          <w:szCs w:val="24"/>
          <w:highlight w:val="none"/>
          <w:lang w:val="en-US" w:eastAsia="zh-CN"/>
        </w:rPr>
        <w:t>应出具书面授权函</w:t>
      </w:r>
      <w:r>
        <w:rPr>
          <w:rFonts w:hint="eastAsia" w:ascii="宋体" w:hAnsi="宋体" w:eastAsia="宋体" w:cs="宋体"/>
          <w:szCs w:val="24"/>
          <w:highlight w:val="none"/>
        </w:rPr>
        <w:t>。</w:t>
      </w:r>
    </w:p>
    <w:p w14:paraId="112DEEF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（3）评标委员会应推荐一名评审专家担任评审组长，并由评审组长牵头组织该项目评审工作，采购人代表不得担任评审组长。</w:t>
      </w:r>
    </w:p>
    <w:p w14:paraId="5A4A1B3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（4）评标委员会成员不得参加开标活动。</w:t>
      </w:r>
    </w:p>
    <w:p w14:paraId="1F2CB97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（5）评标委员会成员应当遵守并履行下列职责义务：</w:t>
      </w:r>
    </w:p>
    <w:p w14:paraId="7122B00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a、遵纪守法，客观、公正、认真负责地履行职责，根据招标文件规定的评标程序、评标方法和评标标准审查投标文件；</w:t>
      </w:r>
    </w:p>
    <w:p w14:paraId="1B5090A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b、</w:t>
      </w:r>
      <w:r>
        <w:rPr>
          <w:rFonts w:hint="eastAsia" w:ascii="宋体" w:hAnsi="宋体" w:eastAsia="宋体" w:cs="宋体"/>
          <w:szCs w:val="24"/>
          <w:highlight w:val="none"/>
          <w:lang w:eastAsia="zh-CN"/>
        </w:rPr>
        <w:t>审查、</w:t>
      </w:r>
      <w:r>
        <w:rPr>
          <w:rFonts w:hint="eastAsia" w:ascii="宋体" w:hAnsi="宋体" w:cs="Times New Roman"/>
          <w:szCs w:val="24"/>
        </w:rPr>
        <w:t>评审</w:t>
      </w:r>
      <w:r>
        <w:rPr>
          <w:rFonts w:hint="eastAsia" w:ascii="宋体" w:hAnsi="宋体" w:eastAsia="宋体" w:cs="宋体"/>
          <w:szCs w:val="24"/>
          <w:highlight w:val="none"/>
        </w:rPr>
        <w:t>投标文件是否符合招标文件的商务、技术等实质性要求；</w:t>
      </w:r>
    </w:p>
    <w:p w14:paraId="24E3BEE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c、要求</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对投标文件有关事项作出澄清或者说明；</w:t>
      </w:r>
    </w:p>
    <w:p w14:paraId="0915EA5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d、对投标文件进行比较和评价；</w:t>
      </w:r>
    </w:p>
    <w:p w14:paraId="5971CEF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e、确定</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候选人名单；</w:t>
      </w:r>
    </w:p>
    <w:p w14:paraId="23C3608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f、向采购人、采购代理机构或者有关部门报告评标中发现的违法行为； </w:t>
      </w:r>
    </w:p>
    <w:p w14:paraId="324FD78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g、对评标过程及各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的商业机密予以保密；</w:t>
      </w:r>
    </w:p>
    <w:p w14:paraId="469472C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h、配合采购人、采购代理机构答复各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提出的质疑；</w:t>
      </w:r>
    </w:p>
    <w:p w14:paraId="066CFA9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i、配合各部门的投诉处理和监督检查工作。</w:t>
      </w:r>
    </w:p>
    <w:p w14:paraId="1C94754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18</w:t>
      </w:r>
      <w:r>
        <w:rPr>
          <w:rFonts w:hint="eastAsia" w:ascii="宋体" w:hAnsi="宋体" w:eastAsia="宋体" w:cs="宋体"/>
          <w:szCs w:val="24"/>
          <w:highlight w:val="none"/>
        </w:rPr>
        <w:t>.2在政府采购活动中，采购人员及相关人员（包括评标委员会）与</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有下列利害关系之一的，应当回避：</w:t>
      </w:r>
      <w:r>
        <w:rPr>
          <w:rFonts w:hint="eastAsia" w:ascii="宋体" w:hAnsi="宋体" w:eastAsia="宋体" w:cs="宋体"/>
          <w:szCs w:val="24"/>
          <w:highlight w:val="none"/>
        </w:rPr>
        <w:br w:type="textWrapping"/>
      </w:r>
      <w:r>
        <w:rPr>
          <w:rFonts w:hint="eastAsia" w:ascii="宋体" w:hAnsi="宋体" w:eastAsia="宋体" w:cs="宋体"/>
          <w:szCs w:val="24"/>
          <w:highlight w:val="none"/>
        </w:rPr>
        <w:t>　　（1）参加采购活动前3年内与</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存在劳动关系；</w:t>
      </w:r>
      <w:r>
        <w:rPr>
          <w:rFonts w:hint="eastAsia" w:ascii="宋体" w:hAnsi="宋体" w:eastAsia="宋体" w:cs="宋体"/>
          <w:szCs w:val="24"/>
          <w:highlight w:val="none"/>
        </w:rPr>
        <w:br w:type="textWrapping"/>
      </w:r>
      <w:r>
        <w:rPr>
          <w:rFonts w:hint="eastAsia" w:ascii="宋体" w:hAnsi="宋体" w:eastAsia="宋体" w:cs="宋体"/>
          <w:szCs w:val="24"/>
          <w:highlight w:val="none"/>
        </w:rPr>
        <w:t>　　（2）参加采购活动前3年内担任</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的董事、监事；</w:t>
      </w:r>
      <w:r>
        <w:rPr>
          <w:rFonts w:hint="eastAsia" w:ascii="宋体" w:hAnsi="宋体" w:eastAsia="宋体" w:cs="宋体"/>
          <w:szCs w:val="24"/>
          <w:highlight w:val="none"/>
        </w:rPr>
        <w:br w:type="textWrapping"/>
      </w:r>
      <w:r>
        <w:rPr>
          <w:rFonts w:hint="eastAsia" w:ascii="宋体" w:hAnsi="宋体" w:eastAsia="宋体" w:cs="宋体"/>
          <w:szCs w:val="24"/>
          <w:highlight w:val="none"/>
        </w:rPr>
        <w:t>　　（3）参加采购活动前3年内是</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的控股股东或者实际控制人；</w:t>
      </w:r>
      <w:r>
        <w:rPr>
          <w:rFonts w:hint="eastAsia" w:ascii="宋体" w:hAnsi="宋体" w:eastAsia="宋体" w:cs="宋体"/>
          <w:szCs w:val="24"/>
          <w:highlight w:val="none"/>
        </w:rPr>
        <w:br w:type="textWrapping"/>
      </w:r>
      <w:r>
        <w:rPr>
          <w:rFonts w:hint="eastAsia" w:ascii="宋体" w:hAnsi="宋体" w:eastAsia="宋体" w:cs="宋体"/>
          <w:szCs w:val="24"/>
          <w:highlight w:val="none"/>
        </w:rPr>
        <w:t>　　（4）与</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的法定代表人或者负责人有夫妻、直系血亲、三代以内旁系血亲或者近姻亲关系；</w:t>
      </w:r>
      <w:r>
        <w:rPr>
          <w:rFonts w:hint="eastAsia" w:ascii="宋体" w:hAnsi="宋体" w:eastAsia="宋体" w:cs="宋体"/>
          <w:szCs w:val="24"/>
          <w:highlight w:val="none"/>
        </w:rPr>
        <w:br w:type="textWrapping"/>
      </w:r>
      <w:r>
        <w:rPr>
          <w:rFonts w:hint="eastAsia" w:ascii="宋体" w:hAnsi="宋体" w:eastAsia="宋体" w:cs="宋体"/>
          <w:szCs w:val="24"/>
          <w:highlight w:val="none"/>
        </w:rPr>
        <w:t>　　（5）与</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有其他可能影响政府采购活动公平、公正的关系。</w:t>
      </w:r>
    </w:p>
    <w:p w14:paraId="3962ED7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认为采购人员及相关人员与其他</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有利害关系的，可以向采购人或者采购代理机构书面提出回避申请，并说明理由。采购人或者采购代理机构应当及时询问被申请回避人员，有利害关系的被申请回避人员应当回避。</w:t>
      </w:r>
    </w:p>
    <w:p w14:paraId="1ACB5C8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18</w:t>
      </w:r>
      <w:r>
        <w:rPr>
          <w:rFonts w:hint="eastAsia" w:ascii="宋体" w:hAnsi="宋体" w:eastAsia="宋体" w:cs="宋体"/>
          <w:szCs w:val="24"/>
          <w:highlight w:val="none"/>
        </w:rPr>
        <w:t>.3评标原则</w:t>
      </w:r>
    </w:p>
    <w:p w14:paraId="554EEF9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kern w:val="0"/>
          <w:sz w:val="24"/>
          <w:highlight w:val="none"/>
        </w:rPr>
        <w:t>评标活动</w:t>
      </w:r>
      <w:r>
        <w:rPr>
          <w:rFonts w:hint="eastAsia" w:ascii="宋体" w:hAnsi="宋体" w:eastAsia="宋体" w:cs="宋体"/>
          <w:kern w:val="0"/>
          <w:sz w:val="24"/>
          <w:highlight w:val="none"/>
          <w:lang w:eastAsia="zh-CN"/>
        </w:rPr>
        <w:t>须</w:t>
      </w:r>
      <w:r>
        <w:rPr>
          <w:rFonts w:hint="eastAsia" w:ascii="宋体" w:hAnsi="宋体" w:eastAsia="宋体" w:cs="宋体"/>
          <w:szCs w:val="24"/>
          <w:highlight w:val="none"/>
        </w:rPr>
        <w:t>坚持公平、公正、科学、择优原则，禁止不正当竞争。</w:t>
      </w:r>
    </w:p>
    <w:p w14:paraId="35613CB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18</w:t>
      </w:r>
      <w:r>
        <w:rPr>
          <w:rFonts w:hint="eastAsia" w:ascii="宋体" w:hAnsi="宋体" w:eastAsia="宋体" w:cs="宋体"/>
          <w:szCs w:val="24"/>
          <w:highlight w:val="none"/>
        </w:rPr>
        <w:t>.4评标办法</w:t>
      </w:r>
    </w:p>
    <w:p w14:paraId="45117070">
      <w:pPr>
        <w:keepNext w:val="0"/>
        <w:keepLines w:val="0"/>
        <w:pageBreakBefore w:val="0"/>
        <w:widowControl w:val="0"/>
        <w:wordWrap/>
        <w:overflowPunct/>
        <w:topLinePunct w:val="0"/>
        <w:autoSpaceDE/>
        <w:autoSpaceDN/>
        <w:bidi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kern w:val="0"/>
          <w:sz w:val="24"/>
          <w:highlight w:val="none"/>
        </w:rPr>
        <w:t>综合评估法。详见招标文件第三章“评标办法”。</w:t>
      </w:r>
    </w:p>
    <w:p w14:paraId="24FB8AD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18.4.1</w:t>
      </w:r>
      <w:r>
        <w:rPr>
          <w:rFonts w:hint="eastAsia" w:ascii="宋体" w:hAnsi="宋体" w:eastAsia="宋体" w:cs="宋体"/>
          <w:szCs w:val="24"/>
          <w:highlight w:val="none"/>
        </w:rPr>
        <w:t>评标委员会按照第</w:t>
      </w:r>
      <w:r>
        <w:rPr>
          <w:rFonts w:hint="eastAsia" w:ascii="宋体" w:hAnsi="宋体" w:eastAsia="宋体" w:cs="宋体"/>
          <w:szCs w:val="24"/>
          <w:highlight w:val="none"/>
          <w:lang w:eastAsia="zh-CN"/>
        </w:rPr>
        <w:t>三</w:t>
      </w:r>
      <w:r>
        <w:rPr>
          <w:rFonts w:hint="eastAsia" w:ascii="宋体" w:hAnsi="宋体" w:eastAsia="宋体" w:cs="宋体"/>
          <w:szCs w:val="24"/>
          <w:highlight w:val="none"/>
        </w:rPr>
        <w:t>章“评标办法”规定的方法、评审因素、标准和程序对投标文件进行评审。第</w:t>
      </w:r>
      <w:r>
        <w:rPr>
          <w:rFonts w:hint="eastAsia" w:ascii="宋体" w:hAnsi="宋体" w:eastAsia="宋体" w:cs="宋体"/>
          <w:szCs w:val="24"/>
          <w:highlight w:val="none"/>
          <w:lang w:eastAsia="zh-CN"/>
        </w:rPr>
        <w:t>三</w:t>
      </w:r>
      <w:r>
        <w:rPr>
          <w:rFonts w:hint="eastAsia" w:ascii="宋体" w:hAnsi="宋体" w:eastAsia="宋体" w:cs="宋体"/>
          <w:szCs w:val="24"/>
          <w:highlight w:val="none"/>
        </w:rPr>
        <w:t>章“评标办法”没有规定的方法、评审因素和标准不得作为评标依据。</w:t>
      </w:r>
    </w:p>
    <w:p w14:paraId="11D338D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 xml:space="preserve">18.4.2评标委员会按照本章第18.4.1项的规定在电子评标系统上开展评审工作。如果评标过程中出现异常情况，导致无法继续评审的，可暂停评标，对原有资料及信息做出妥善保密处理，待电子评标系统恢复正常之后，应重新组织评审。 </w:t>
      </w:r>
    </w:p>
    <w:p w14:paraId="5548BB78">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19.</w:t>
      </w:r>
      <w:r>
        <w:rPr>
          <w:rFonts w:hint="eastAsia" w:ascii="宋体" w:hAnsi="宋体" w:eastAsia="宋体" w:cs="宋体"/>
          <w:b/>
          <w:szCs w:val="24"/>
          <w:highlight w:val="none"/>
        </w:rPr>
        <w:t>评标过程的保密</w:t>
      </w:r>
    </w:p>
    <w:p w14:paraId="4A7A50D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.1评标委员会成员和与评标活动有关的工作人员不得泄露有关投标文件的评审和比较、</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候选人的推荐以及与评标有关的其他情况。</w:t>
      </w:r>
    </w:p>
    <w:p w14:paraId="78AA01B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.2在评标过程中，如果</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试图在投标文件的评审和比较、</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候选人的推荐以及与评标有关的其他方面，向评标人、采购人和采购代理机构施加任何影响，应予废标。</w:t>
      </w:r>
    </w:p>
    <w:p w14:paraId="455B5051">
      <w:pPr>
        <w:pStyle w:val="2"/>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szCs w:val="28"/>
          <w:highlight w:val="none"/>
        </w:rPr>
      </w:pPr>
      <w:bookmarkStart w:id="299" w:name="_Toc9579"/>
      <w:bookmarkStart w:id="300" w:name="_Toc31217"/>
      <w:bookmarkStart w:id="301" w:name="_Toc13152"/>
      <w:bookmarkStart w:id="302" w:name="_Toc19524"/>
      <w:bookmarkStart w:id="303" w:name="_Toc16005"/>
      <w:bookmarkStart w:id="304" w:name="_Toc10445"/>
      <w:bookmarkStart w:id="305" w:name="_Toc32169"/>
      <w:bookmarkStart w:id="306" w:name="_Toc451"/>
      <w:bookmarkStart w:id="307" w:name="_Toc363474022"/>
      <w:bookmarkStart w:id="308" w:name="_Toc363473977"/>
      <w:bookmarkStart w:id="309" w:name="_Toc403077644"/>
      <w:bookmarkStart w:id="310" w:name="_Toc8402"/>
      <w:bookmarkStart w:id="311" w:name="_Toc12580"/>
      <w:bookmarkStart w:id="312" w:name="_Toc21121"/>
      <w:bookmarkStart w:id="313" w:name="_Toc15601"/>
      <w:r>
        <w:rPr>
          <w:rFonts w:hint="eastAsia" w:ascii="宋体" w:hAnsi="宋体" w:eastAsia="宋体" w:cs="宋体"/>
          <w:szCs w:val="28"/>
          <w:highlight w:val="none"/>
        </w:rPr>
        <w:t>六、定标、</w:t>
      </w:r>
      <w:r>
        <w:rPr>
          <w:rFonts w:hint="eastAsia" w:ascii="宋体" w:hAnsi="宋体" w:eastAsia="宋体" w:cs="宋体"/>
          <w:szCs w:val="28"/>
          <w:highlight w:val="none"/>
          <w:lang w:eastAsia="zh-CN"/>
        </w:rPr>
        <w:t>成交</w:t>
      </w:r>
      <w:r>
        <w:rPr>
          <w:rFonts w:hint="eastAsia" w:ascii="宋体" w:hAnsi="宋体" w:eastAsia="宋体" w:cs="宋体"/>
          <w:szCs w:val="28"/>
          <w:highlight w:val="none"/>
        </w:rPr>
        <w:t>通知与签约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80B7525">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20.</w:t>
      </w:r>
      <w:r>
        <w:rPr>
          <w:rFonts w:hint="eastAsia" w:ascii="宋体" w:hAnsi="宋体" w:eastAsia="宋体" w:cs="宋体"/>
          <w:b/>
          <w:szCs w:val="24"/>
          <w:highlight w:val="none"/>
        </w:rPr>
        <w:t>定标程序</w:t>
      </w:r>
    </w:p>
    <w:p w14:paraId="4ED7184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20</w:t>
      </w:r>
      <w:r>
        <w:rPr>
          <w:rFonts w:hint="eastAsia" w:ascii="宋体" w:hAnsi="宋体" w:eastAsia="宋体" w:cs="宋体"/>
          <w:szCs w:val="24"/>
          <w:highlight w:val="none"/>
        </w:rPr>
        <w:t>.1评标委员会依据评标办法，经过初步审查、澄清、比较与评价等程序后，在最大限度满足招标文件实质性要求前提下进行综合评审，以最终总得分由高到低的顺序推荐3名以上</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候选人，并编写</w:t>
      </w:r>
      <w:bookmarkStart w:id="314" w:name="OLE_LINK4"/>
      <w:r>
        <w:rPr>
          <w:rFonts w:hint="eastAsia" w:ascii="宋体" w:hAnsi="宋体" w:eastAsia="宋体" w:cs="宋体"/>
          <w:szCs w:val="24"/>
          <w:highlight w:val="none"/>
        </w:rPr>
        <w:t>评标</w:t>
      </w:r>
      <w:bookmarkEnd w:id="314"/>
      <w:r>
        <w:rPr>
          <w:rFonts w:hint="eastAsia" w:ascii="宋体" w:hAnsi="宋体" w:eastAsia="宋体" w:cs="宋体"/>
          <w:szCs w:val="24"/>
          <w:highlight w:val="none"/>
        </w:rPr>
        <w:t>报告。招标人依据评标委员会推荐的</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候选人确定</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人。　</w:t>
      </w:r>
    </w:p>
    <w:p w14:paraId="2E928B7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bookmarkStart w:id="315" w:name="OLE_LINK18"/>
      <w:r>
        <w:rPr>
          <w:rFonts w:hint="eastAsia" w:ascii="宋体" w:hAnsi="宋体" w:eastAsia="宋体" w:cs="宋体"/>
          <w:szCs w:val="24"/>
          <w:highlight w:val="none"/>
          <w:lang w:val="en-US" w:eastAsia="zh-CN"/>
        </w:rPr>
        <w:t>20</w:t>
      </w:r>
      <w:r>
        <w:rPr>
          <w:rFonts w:hint="eastAsia" w:ascii="宋体" w:hAnsi="宋体" w:eastAsia="宋体" w:cs="宋体"/>
          <w:szCs w:val="24"/>
          <w:highlight w:val="none"/>
        </w:rPr>
        <w:t>.2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315"/>
    <w:p w14:paraId="5FBC9CD8">
      <w:pPr>
        <w:keepNext w:val="0"/>
        <w:keepLines w:val="0"/>
        <w:pageBreakBefore w:val="0"/>
        <w:widowControl w:val="0"/>
        <w:wordWrap/>
        <w:overflowPunct/>
        <w:topLinePunct w:val="0"/>
        <w:autoSpaceDE/>
        <w:autoSpaceDN/>
        <w:bidi w:val="0"/>
        <w:adjustRightInd w:val="0"/>
        <w:snapToGrid w:val="0"/>
        <w:spacing w:line="360" w:lineRule="auto"/>
        <w:ind w:left="48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20</w:t>
      </w:r>
      <w:r>
        <w:rPr>
          <w:rFonts w:hint="eastAsia" w:ascii="宋体" w:hAnsi="宋体" w:eastAsia="宋体" w:cs="宋体"/>
          <w:szCs w:val="24"/>
          <w:highlight w:val="none"/>
        </w:rPr>
        <w:t>.3采购代理机构应当</w:t>
      </w:r>
      <w:r>
        <w:rPr>
          <w:rFonts w:hint="eastAsia" w:ascii="宋体" w:hAnsi="宋体" w:eastAsia="宋体" w:cs="宋体"/>
          <w:szCs w:val="24"/>
          <w:highlight w:val="none"/>
          <w:lang w:eastAsia="zh-CN"/>
        </w:rPr>
        <w:t>在</w:t>
      </w:r>
      <w:r>
        <w:rPr>
          <w:rFonts w:hint="eastAsia" w:ascii="宋体" w:hAnsi="宋体" w:eastAsia="宋体" w:cs="宋体"/>
          <w:szCs w:val="24"/>
          <w:highlight w:val="none"/>
        </w:rPr>
        <w:t>评审结束之日起2个工作日内将评标报告送交采购人。采</w:t>
      </w:r>
    </w:p>
    <w:p w14:paraId="187FD0AE">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购人在收到评审报告</w:t>
      </w:r>
      <w:r>
        <w:rPr>
          <w:rFonts w:hint="eastAsia" w:ascii="宋体" w:hAnsi="宋体" w:eastAsia="宋体" w:cs="宋体"/>
          <w:szCs w:val="24"/>
          <w:highlight w:val="none"/>
          <w:lang w:eastAsia="zh-CN"/>
        </w:rPr>
        <w:t>之日起</w:t>
      </w:r>
      <w:r>
        <w:rPr>
          <w:rFonts w:hint="eastAsia" w:ascii="宋体" w:hAnsi="宋体" w:eastAsia="宋体" w:cs="宋体"/>
          <w:szCs w:val="24"/>
          <w:highlight w:val="none"/>
        </w:rPr>
        <w:t>5个工作日内，从评审报告推荐的</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候选人中按顺序确定</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候选人并列的，投标报价得分高者成为</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，若投标报价得分相同，技术得分高者成为</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。确定结果后，采购人向采购代理机构出具《</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复函》。采购人逾期未按评标报告推荐的</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候选人顺序确定</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，又不能说明合法理由的，视同按评标报告推荐的顺序确定排名第一的</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候选人为</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w:t>
      </w:r>
    </w:p>
    <w:p w14:paraId="1CE7A6E0">
      <w:pPr>
        <w:keepNext w:val="0"/>
        <w:keepLines w:val="0"/>
        <w:pageBreakBefore w:val="0"/>
        <w:widowControl w:val="0"/>
        <w:wordWrap/>
        <w:overflowPunct/>
        <w:topLinePunct w:val="0"/>
        <w:autoSpaceDE/>
        <w:autoSpaceDN/>
        <w:bidi w:val="0"/>
        <w:adjustRightInd w:val="0"/>
        <w:snapToGrid w:val="0"/>
        <w:spacing w:line="360" w:lineRule="auto"/>
        <w:ind w:left="48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20</w:t>
      </w:r>
      <w:r>
        <w:rPr>
          <w:rFonts w:hint="eastAsia" w:ascii="宋体" w:hAnsi="宋体" w:eastAsia="宋体" w:cs="宋体"/>
          <w:szCs w:val="24"/>
          <w:highlight w:val="none"/>
        </w:rPr>
        <w:t>.4采购代理机构接到采购人的《</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复函》后，在2个工作日内，将</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结果在</w:t>
      </w:r>
    </w:p>
    <w:p w14:paraId="508886A2">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陕西省政府采购网上</w:t>
      </w:r>
      <w:r>
        <w:rPr>
          <w:rFonts w:hint="eastAsia" w:ascii="宋体" w:hAnsi="宋体" w:eastAsia="宋体" w:cs="宋体"/>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【全国公共资源交易平台（陕西省·宝鸡市）宝鸡市公共资源交易中心】</w:t>
      </w:r>
      <w:r>
        <w:rPr>
          <w:rFonts w:hint="eastAsia" w:ascii="宋体" w:hAnsi="宋体" w:eastAsia="宋体" w:cs="宋体"/>
          <w:szCs w:val="24"/>
          <w:highlight w:val="none"/>
        </w:rPr>
        <w:t>进行公</w:t>
      </w:r>
      <w:r>
        <w:rPr>
          <w:rFonts w:hint="eastAsia" w:ascii="宋体" w:hAnsi="宋体" w:eastAsia="宋体" w:cs="宋体"/>
          <w:szCs w:val="24"/>
          <w:highlight w:val="none"/>
          <w:lang w:eastAsia="zh-CN"/>
        </w:rPr>
        <w:t>示</w:t>
      </w:r>
      <w:r>
        <w:rPr>
          <w:rFonts w:hint="eastAsia" w:ascii="宋体" w:hAnsi="宋体" w:eastAsia="宋体" w:cs="宋体"/>
          <w:szCs w:val="24"/>
          <w:highlight w:val="none"/>
        </w:rPr>
        <w:t>。公告发布1个工作日，其他</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若有异议，按相关规定提出质疑。</w:t>
      </w:r>
    </w:p>
    <w:p w14:paraId="02FACDEA">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lang w:eastAsia="zh-CN"/>
        </w:rPr>
      </w:pPr>
      <w:r>
        <w:rPr>
          <w:rFonts w:hint="eastAsia" w:ascii="宋体" w:hAnsi="宋体" w:eastAsia="宋体" w:cs="宋体"/>
          <w:b/>
          <w:szCs w:val="24"/>
          <w:highlight w:val="none"/>
          <w:lang w:val="en-US" w:eastAsia="zh-CN"/>
        </w:rPr>
        <w:t>21.</w:t>
      </w:r>
      <w:r>
        <w:rPr>
          <w:rFonts w:hint="eastAsia" w:ascii="宋体" w:hAnsi="宋体" w:eastAsia="宋体" w:cs="宋体"/>
          <w:b/>
          <w:szCs w:val="24"/>
          <w:highlight w:val="none"/>
          <w:lang w:eastAsia="zh-CN"/>
        </w:rPr>
        <w:t>成交通知书</w:t>
      </w:r>
    </w:p>
    <w:p w14:paraId="45C4A04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21</w:t>
      </w:r>
      <w:r>
        <w:rPr>
          <w:rFonts w:hint="eastAsia" w:ascii="宋体" w:hAnsi="宋体" w:eastAsia="宋体" w:cs="宋体"/>
          <w:szCs w:val="24"/>
          <w:highlight w:val="none"/>
        </w:rPr>
        <w:t>.1</w:t>
      </w:r>
      <w:r>
        <w:rPr>
          <w:rFonts w:hint="eastAsia" w:ascii="宋体" w:hAnsi="宋体" w:eastAsia="宋体" w:cs="宋体"/>
          <w:szCs w:val="24"/>
          <w:highlight w:val="none"/>
          <w:lang w:eastAsia="zh-CN"/>
        </w:rPr>
        <w:t>成交通知书</w:t>
      </w:r>
      <w:r>
        <w:rPr>
          <w:rFonts w:hint="eastAsia" w:ascii="宋体" w:hAnsi="宋体" w:eastAsia="宋体" w:cs="宋体"/>
          <w:szCs w:val="24"/>
          <w:highlight w:val="none"/>
        </w:rPr>
        <w:t>将在</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公告发布的同时由采购代理机构发出。</w:t>
      </w:r>
    </w:p>
    <w:p w14:paraId="0EC2BC8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Cs w:val="24"/>
          <w:highlight w:val="none"/>
          <w:lang w:val="en-US" w:eastAsia="zh-CN"/>
        </w:rPr>
        <w:t>21</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成交通知书</w:t>
      </w:r>
      <w:r>
        <w:rPr>
          <w:rFonts w:hint="eastAsia" w:ascii="宋体" w:hAnsi="宋体" w:eastAsia="宋体" w:cs="宋体"/>
          <w:szCs w:val="24"/>
          <w:highlight w:val="none"/>
        </w:rPr>
        <w:t>对采购人和</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人具有同等法律效力。</w:t>
      </w:r>
      <w:r>
        <w:rPr>
          <w:rFonts w:hint="eastAsia" w:ascii="宋体" w:hAnsi="宋体" w:eastAsia="宋体" w:cs="宋体"/>
          <w:szCs w:val="24"/>
          <w:highlight w:val="none"/>
          <w:lang w:eastAsia="zh-CN"/>
        </w:rPr>
        <w:t>成交通知书</w:t>
      </w:r>
      <w:r>
        <w:rPr>
          <w:rFonts w:hint="eastAsia" w:ascii="宋体" w:hAnsi="宋体" w:eastAsia="宋体" w:cs="宋体"/>
          <w:szCs w:val="24"/>
          <w:highlight w:val="none"/>
        </w:rPr>
        <w:t>发出之后，采购人改变</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结果，或者</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人放弃</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，应当承担相应的法律责任。</w:t>
      </w:r>
    </w:p>
    <w:p w14:paraId="3FFFA097">
      <w:pPr>
        <w:keepNext w:val="0"/>
        <w:keepLines w:val="0"/>
        <w:pageBreakBefore w:val="0"/>
        <w:widowControl w:val="0"/>
        <w:numPr>
          <w:ilvl w:val="0"/>
          <w:numId w:val="0"/>
        </w:numPr>
        <w:wordWrap/>
        <w:overflowPunct/>
        <w:topLinePunct w:val="0"/>
        <w:autoSpaceDE/>
        <w:autoSpaceDN/>
        <w:bidi w:val="0"/>
        <w:spacing w:line="360" w:lineRule="auto"/>
        <w:textAlignment w:val="auto"/>
        <w:rPr>
          <w:rFonts w:hint="eastAsia" w:ascii="宋体" w:hAnsi="宋体" w:eastAsia="宋体" w:cs="宋体"/>
          <w:b/>
          <w:szCs w:val="24"/>
          <w:highlight w:val="none"/>
          <w:lang w:eastAsia="zh-CN"/>
        </w:rPr>
      </w:pPr>
      <w:r>
        <w:rPr>
          <w:rFonts w:hint="eastAsia" w:ascii="宋体" w:hAnsi="宋体" w:eastAsia="宋体" w:cs="宋体"/>
          <w:b/>
          <w:szCs w:val="24"/>
          <w:highlight w:val="none"/>
          <w:lang w:val="en-US" w:eastAsia="zh-CN"/>
        </w:rPr>
        <w:t>22.</w:t>
      </w:r>
      <w:r>
        <w:rPr>
          <w:rFonts w:hint="eastAsia" w:ascii="宋体" w:hAnsi="宋体" w:eastAsia="宋体" w:cs="宋体"/>
          <w:b/>
          <w:szCs w:val="24"/>
          <w:highlight w:val="none"/>
          <w:lang w:eastAsia="zh-CN"/>
        </w:rPr>
        <w:t>签订合同</w:t>
      </w:r>
    </w:p>
    <w:p w14:paraId="76099A1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szCs w:val="24"/>
          <w:highlight w:val="none"/>
          <w:lang w:val="en-US" w:eastAsia="zh-CN"/>
        </w:rPr>
        <w:t>22</w:t>
      </w:r>
      <w:r>
        <w:rPr>
          <w:rFonts w:hint="eastAsia" w:ascii="宋体" w:hAnsi="宋体" w:eastAsia="宋体" w:cs="宋体"/>
          <w:szCs w:val="24"/>
          <w:highlight w:val="none"/>
        </w:rPr>
        <w:t>.1采购人应当自</w:t>
      </w:r>
      <w:r>
        <w:rPr>
          <w:rFonts w:hint="eastAsia" w:ascii="宋体" w:hAnsi="宋体" w:eastAsia="宋体" w:cs="宋体"/>
          <w:szCs w:val="24"/>
          <w:highlight w:val="none"/>
          <w:lang w:eastAsia="zh-CN"/>
        </w:rPr>
        <w:t>成交通知书</w:t>
      </w:r>
      <w:r>
        <w:rPr>
          <w:rFonts w:hint="eastAsia" w:ascii="宋体" w:hAnsi="宋体" w:eastAsia="宋体" w:cs="宋体"/>
          <w:szCs w:val="24"/>
          <w:highlight w:val="none"/>
        </w:rPr>
        <w:t>发出之日起</w:t>
      </w:r>
      <w:r>
        <w:rPr>
          <w:rFonts w:hint="eastAsia" w:ascii="宋体" w:hAnsi="宋体" w:eastAsia="宋体" w:cs="宋体"/>
          <w:szCs w:val="24"/>
          <w:highlight w:val="none"/>
          <w:lang w:val="en-US" w:eastAsia="zh-CN"/>
        </w:rPr>
        <w:t>25日</w:t>
      </w:r>
      <w:r>
        <w:rPr>
          <w:rFonts w:hint="eastAsia" w:ascii="宋体" w:hAnsi="宋体" w:eastAsia="宋体" w:cs="宋体"/>
          <w:szCs w:val="24"/>
          <w:highlight w:val="none"/>
        </w:rPr>
        <w:t>内，按照招标文件和</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投标文件（包括评标中形成的澄清文件）的约定，与</w:t>
      </w:r>
      <w:r>
        <w:rPr>
          <w:rFonts w:hint="eastAsia" w:ascii="宋体" w:hAnsi="宋体" w:eastAsia="宋体" w:cs="宋体"/>
          <w:szCs w:val="24"/>
          <w:highlight w:val="none"/>
          <w:lang w:eastAsia="zh-CN"/>
        </w:rPr>
        <w:t>成交人</w:t>
      </w:r>
      <w:r>
        <w:rPr>
          <w:rFonts w:hint="eastAsia" w:ascii="宋体" w:hAnsi="宋体" w:eastAsia="宋体" w:cs="宋体"/>
          <w:szCs w:val="24"/>
          <w:highlight w:val="none"/>
        </w:rPr>
        <w:t>签订书面合同。所签订的合同不得对招标文件和</w:t>
      </w:r>
      <w:r>
        <w:rPr>
          <w:rFonts w:hint="eastAsia" w:ascii="宋体" w:hAnsi="宋体" w:eastAsia="宋体" w:cs="宋体"/>
          <w:szCs w:val="24"/>
          <w:highlight w:val="none"/>
          <w:lang w:eastAsia="zh-CN"/>
        </w:rPr>
        <w:t>成交</w:t>
      </w:r>
      <w:r>
        <w:rPr>
          <w:rFonts w:hint="eastAsia" w:ascii="宋体" w:hAnsi="宋体" w:eastAsia="宋体" w:cs="宋体"/>
          <w:szCs w:val="24"/>
          <w:highlight w:val="none"/>
        </w:rPr>
        <w:t>人的投标文件（包括评标中形成的澄清文件）作实质性修改。</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人无正当理由拒签合同的，招标人取消其</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资格，其投标保证金不予退还；给招标人造成的损失超过投标保证金数额的，</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人还应当对超过部分予以赔偿。</w:t>
      </w:r>
    </w:p>
    <w:p w14:paraId="2B957DA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.2发出</w:t>
      </w:r>
      <w:r>
        <w:rPr>
          <w:rFonts w:hint="eastAsia" w:ascii="宋体" w:hAnsi="宋体" w:eastAsia="宋体" w:cs="宋体"/>
          <w:kern w:val="0"/>
          <w:sz w:val="24"/>
          <w:highlight w:val="none"/>
          <w:lang w:eastAsia="zh-CN"/>
        </w:rPr>
        <w:t>成交通知书</w:t>
      </w:r>
      <w:r>
        <w:rPr>
          <w:rFonts w:hint="eastAsia" w:ascii="宋体" w:hAnsi="宋体" w:eastAsia="宋体" w:cs="宋体"/>
          <w:kern w:val="0"/>
          <w:sz w:val="24"/>
          <w:highlight w:val="none"/>
        </w:rPr>
        <w:t>后，</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人无正当理由拒签合同的，</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人向</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人退还投标保证金。</w:t>
      </w:r>
    </w:p>
    <w:p w14:paraId="569FEAF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Cs w:val="24"/>
          <w:highlight w:val="none"/>
          <w:lang w:val="en-US" w:eastAsia="zh-CN"/>
        </w:rPr>
        <w:t>22</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采购人</w:t>
      </w:r>
      <w:r>
        <w:rPr>
          <w:rFonts w:hint="eastAsia" w:ascii="宋体" w:hAnsi="宋体" w:eastAsia="宋体" w:cs="宋体"/>
          <w:szCs w:val="24"/>
          <w:highlight w:val="none"/>
          <w:lang w:eastAsia="zh-CN"/>
        </w:rPr>
        <w:t>应当</w:t>
      </w:r>
      <w:r>
        <w:rPr>
          <w:rFonts w:hint="eastAsia" w:ascii="宋体" w:hAnsi="宋体" w:eastAsia="宋体" w:cs="宋体"/>
          <w:szCs w:val="24"/>
          <w:highlight w:val="none"/>
        </w:rPr>
        <w:t>自合同签订之日起</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个工作日内，将</w:t>
      </w:r>
      <w:r>
        <w:rPr>
          <w:rFonts w:hint="eastAsia" w:ascii="宋体" w:hAnsi="宋体" w:eastAsia="宋体" w:cs="宋体"/>
          <w:szCs w:val="24"/>
          <w:highlight w:val="none"/>
          <w:lang w:eastAsia="zh-CN"/>
        </w:rPr>
        <w:t>采购</w:t>
      </w:r>
      <w:r>
        <w:rPr>
          <w:rFonts w:hint="eastAsia" w:ascii="宋体" w:hAnsi="宋体" w:eastAsia="宋体" w:cs="宋体"/>
          <w:szCs w:val="24"/>
          <w:highlight w:val="none"/>
        </w:rPr>
        <w:t>合同</w:t>
      </w:r>
      <w:r>
        <w:rPr>
          <w:rFonts w:hint="eastAsia" w:ascii="宋体" w:hAnsi="宋体" w:eastAsia="宋体" w:cs="宋体"/>
          <w:szCs w:val="24"/>
          <w:highlight w:val="none"/>
          <w:lang w:val="en-US" w:eastAsia="zh-CN"/>
        </w:rPr>
        <w:t>在陕西省政府采购网上公告</w:t>
      </w:r>
      <w:r>
        <w:rPr>
          <w:rFonts w:hint="eastAsia" w:ascii="宋体" w:hAnsi="宋体" w:eastAsia="宋体" w:cs="宋体"/>
          <w:szCs w:val="24"/>
          <w:highlight w:val="none"/>
        </w:rPr>
        <w:t>。</w:t>
      </w:r>
    </w:p>
    <w:p w14:paraId="35F5BE41">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23.</w:t>
      </w:r>
      <w:r>
        <w:rPr>
          <w:rFonts w:hint="eastAsia" w:ascii="宋体" w:hAnsi="宋体" w:eastAsia="宋体" w:cs="宋体"/>
          <w:b/>
          <w:szCs w:val="24"/>
          <w:highlight w:val="none"/>
        </w:rPr>
        <w:t>重新组织采购活动</w:t>
      </w:r>
    </w:p>
    <w:p w14:paraId="0B4B574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42F7FE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（二）根据《政府采购法》第三十六条规定，在招标采购中，出现下列情形之一的，本项目按废标处理：</w:t>
      </w:r>
    </w:p>
    <w:p w14:paraId="0E46F96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1、符合专业条件的供应商或者对招标文件做实质响应的供应商不足三家的；</w:t>
      </w:r>
    </w:p>
    <w:p w14:paraId="2ADCA15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2、出现影响采购公正的违法、违规行为的；</w:t>
      </w:r>
    </w:p>
    <w:p w14:paraId="276205B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3、所有参与投标的供应商报价超过了采购最高限价，采购人不能支付的；</w:t>
      </w:r>
    </w:p>
    <w:p w14:paraId="3E0ABFD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4、因重大变故，采购任务取消的。</w:t>
      </w:r>
    </w:p>
    <w:p w14:paraId="61767AD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废标后，除采购任务取消外，本项目将重新组织招标。</w:t>
      </w:r>
    </w:p>
    <w:p w14:paraId="541A54D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（三）当出现有效供应商不足3家时，本项目将依据宝鸡市财政局关于印发《宝鸡市政府采购方式变更管理办法的通知》（宝市财办采〔2013〕5号）的有关规定，按政府采购监管部门事前批准的采购方式继续进行。</w:t>
      </w:r>
    </w:p>
    <w:p w14:paraId="2C7AC4C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（四）招标文件未明确的其他事项，按《政府采购法》及相关法律法规执行。</w:t>
      </w:r>
    </w:p>
    <w:p w14:paraId="2892FFBE">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24.</w:t>
      </w:r>
      <w:r>
        <w:rPr>
          <w:rFonts w:hint="eastAsia" w:ascii="宋体" w:hAnsi="宋体" w:eastAsia="宋体" w:cs="宋体"/>
          <w:b/>
          <w:szCs w:val="24"/>
          <w:highlight w:val="none"/>
        </w:rPr>
        <w:t>招标代理服务费</w:t>
      </w:r>
    </w:p>
    <w:p w14:paraId="644B83B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lang w:val="en-US" w:eastAsia="zh-CN"/>
        </w:rPr>
        <w:t>24</w:t>
      </w:r>
      <w:r>
        <w:rPr>
          <w:rFonts w:hint="eastAsia" w:ascii="宋体" w:hAnsi="宋体" w:eastAsia="宋体" w:cs="宋体"/>
          <w:snapToGrid w:val="0"/>
          <w:kern w:val="0"/>
          <w:sz w:val="24"/>
          <w:szCs w:val="24"/>
          <w:highlight w:val="none"/>
          <w:lang w:eastAsia="zh-CN"/>
        </w:rPr>
        <w:t>.1</w:t>
      </w:r>
      <w:r>
        <w:rPr>
          <w:rFonts w:hint="eastAsia" w:ascii="宋体" w:hAnsi="宋体" w:eastAsia="宋体" w:cs="宋体"/>
          <w:szCs w:val="24"/>
          <w:highlight w:val="none"/>
          <w:lang w:val="en-US" w:eastAsia="zh-CN"/>
        </w:rPr>
        <w:t>成交人</w:t>
      </w:r>
      <w:r>
        <w:rPr>
          <w:rFonts w:hint="eastAsia" w:ascii="宋体" w:hAnsi="宋体" w:eastAsia="宋体" w:cs="宋体"/>
          <w:snapToGrid w:val="0"/>
          <w:kern w:val="0"/>
          <w:sz w:val="24"/>
          <w:szCs w:val="24"/>
          <w:highlight w:val="none"/>
          <w:lang w:eastAsia="zh-CN"/>
        </w:rPr>
        <w:t>在领取《</w:t>
      </w:r>
      <w:r>
        <w:rPr>
          <w:rFonts w:hint="eastAsia" w:ascii="宋体" w:hAnsi="宋体" w:eastAsia="宋体" w:cs="宋体"/>
          <w:szCs w:val="24"/>
          <w:highlight w:val="none"/>
          <w:lang w:val="en-US" w:eastAsia="zh-CN"/>
        </w:rPr>
        <w:t>成交通知书</w:t>
      </w:r>
      <w:r>
        <w:rPr>
          <w:rFonts w:hint="eastAsia" w:ascii="宋体" w:hAnsi="宋体" w:eastAsia="宋体" w:cs="宋体"/>
          <w:snapToGrid w:val="0"/>
          <w:kern w:val="0"/>
          <w:sz w:val="24"/>
          <w:szCs w:val="24"/>
          <w:highlight w:val="none"/>
          <w:lang w:eastAsia="zh-CN"/>
        </w:rPr>
        <w:t>》之前，应向采购代理机构</w:t>
      </w:r>
      <w:r>
        <w:rPr>
          <w:rFonts w:hint="eastAsia" w:ascii="宋体" w:hAnsi="宋体" w:eastAsia="宋体" w:cs="宋体"/>
          <w:szCs w:val="24"/>
          <w:highlight w:val="none"/>
          <w:lang w:val="en-US" w:eastAsia="zh-CN"/>
        </w:rPr>
        <w:t>一次性付清</w:t>
      </w:r>
      <w:r>
        <w:rPr>
          <w:rFonts w:hint="eastAsia" w:ascii="宋体" w:hAnsi="宋体" w:eastAsia="宋体" w:cs="宋体"/>
          <w:snapToGrid w:val="0"/>
          <w:kern w:val="0"/>
          <w:sz w:val="24"/>
          <w:szCs w:val="24"/>
          <w:highlight w:val="none"/>
          <w:lang w:eastAsia="zh-CN"/>
        </w:rPr>
        <w:t>采购代理服务费。</w:t>
      </w:r>
    </w:p>
    <w:p w14:paraId="41266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lang w:val="en-US" w:eastAsia="zh-CN"/>
        </w:rPr>
        <w:t>24</w:t>
      </w:r>
      <w:r>
        <w:rPr>
          <w:rFonts w:hint="eastAsia" w:ascii="宋体" w:hAnsi="宋体" w:eastAsia="宋体" w:cs="宋体"/>
          <w:snapToGrid w:val="0"/>
          <w:kern w:val="0"/>
          <w:sz w:val="24"/>
          <w:szCs w:val="24"/>
          <w:highlight w:val="none"/>
          <w:lang w:eastAsia="zh-CN"/>
        </w:rPr>
        <w:t>.2采购代理服务费，可以采取现金、支票、银行汇票、电汇、网银等方式缴纳。不得用投标保证金冲抵。</w:t>
      </w:r>
    </w:p>
    <w:p w14:paraId="483753DD">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25.</w:t>
      </w:r>
      <w:r>
        <w:rPr>
          <w:rFonts w:hint="eastAsia" w:ascii="宋体" w:hAnsi="宋体" w:eastAsia="宋体" w:cs="宋体"/>
          <w:b/>
          <w:szCs w:val="24"/>
          <w:highlight w:val="none"/>
        </w:rPr>
        <w:t>询问、质疑与投诉</w:t>
      </w:r>
    </w:p>
    <w:p w14:paraId="50F8F89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提出质疑应符合中华人民共和国财政部令第94号《政府采购质疑和投诉办法》的规定：</w:t>
      </w:r>
    </w:p>
    <w:p w14:paraId="21433F2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1、提出质疑的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应当是参与所质疑项目采购活动的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w:t>
      </w:r>
    </w:p>
    <w:p w14:paraId="472F572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认为采购文件、采购过程、</w:t>
      </w:r>
      <w:r>
        <w:rPr>
          <w:rFonts w:hint="eastAsia" w:ascii="宋体" w:hAnsi="宋体" w:cs="宋体"/>
          <w:sz w:val="24"/>
          <w:szCs w:val="24"/>
          <w:highlight w:val="none"/>
          <w:lang w:val="en-US" w:eastAsia="zh-CN"/>
        </w:rPr>
        <w:t>中标</w:t>
      </w:r>
      <w:r>
        <w:rPr>
          <w:rFonts w:hint="eastAsia" w:ascii="宋体" w:hAnsi="宋体" w:eastAsia="宋体" w:cs="宋体"/>
          <w:szCs w:val="24"/>
          <w:highlight w:val="none"/>
        </w:rPr>
        <w:t>或者成交结果使自己的权益受到损害的，可以在知道或者应知其权益受到损害之日起7个工作日内，以书面形式向采购人、采购代理机构提出质疑，</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应在法定质疑期内一次性提出针对同一采购程序环节的质疑。</w:t>
      </w:r>
    </w:p>
    <w:p w14:paraId="6F861F2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应知其权益受到损害之日，是指：</w:t>
      </w:r>
    </w:p>
    <w:p w14:paraId="2D5A7D3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（1）对可以质疑的采购文件提出质疑的，为收到采购文件之日或者采购文件公告期限届满之日；</w:t>
      </w:r>
    </w:p>
    <w:p w14:paraId="33363F12">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（2）对采购过程提出质疑的，为各采购程序环节结束之日；</w:t>
      </w:r>
    </w:p>
    <w:p w14:paraId="5DAC12A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（3）对</w:t>
      </w:r>
      <w:r>
        <w:rPr>
          <w:rFonts w:hint="eastAsia" w:ascii="宋体" w:hAnsi="宋体" w:cs="宋体"/>
          <w:sz w:val="24"/>
          <w:szCs w:val="24"/>
          <w:highlight w:val="none"/>
          <w:lang w:val="en-US" w:eastAsia="zh-CN"/>
        </w:rPr>
        <w:t>中标</w:t>
      </w:r>
      <w:r>
        <w:rPr>
          <w:rFonts w:hint="eastAsia" w:ascii="宋体" w:hAnsi="宋体" w:eastAsia="宋体" w:cs="宋体"/>
          <w:szCs w:val="24"/>
          <w:highlight w:val="none"/>
        </w:rPr>
        <w:t>或者成交结果提出质疑的，为</w:t>
      </w:r>
      <w:r>
        <w:rPr>
          <w:rFonts w:hint="eastAsia" w:ascii="宋体" w:hAnsi="宋体" w:cs="宋体"/>
          <w:sz w:val="24"/>
          <w:szCs w:val="24"/>
          <w:highlight w:val="none"/>
          <w:lang w:val="en-US" w:eastAsia="zh-CN"/>
        </w:rPr>
        <w:t>中标</w:t>
      </w:r>
      <w:r>
        <w:rPr>
          <w:rFonts w:hint="eastAsia" w:ascii="宋体" w:hAnsi="宋体" w:eastAsia="宋体" w:cs="宋体"/>
          <w:szCs w:val="24"/>
          <w:highlight w:val="none"/>
        </w:rPr>
        <w:t>或者成交结果公告期限届满之日。</w:t>
      </w:r>
    </w:p>
    <w:p w14:paraId="2A024DC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提出质疑应当提交质疑函和必要的证明材料。质疑函应采用财政部颁布的《政府采购供应商质疑函范本》质疑函应当包括：</w:t>
      </w:r>
    </w:p>
    <w:p w14:paraId="38CCDB3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的姓名或者名称、地址、邮编、联系人及联系电话；</w:t>
      </w:r>
    </w:p>
    <w:p w14:paraId="58FD722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3.2质疑项目的名称、编号；</w:t>
      </w:r>
    </w:p>
    <w:p w14:paraId="76ED969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3.3具体、明确的质疑事项和与质疑事项相关的请求；</w:t>
      </w:r>
    </w:p>
    <w:p w14:paraId="1A19DC3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3.4事实依据；</w:t>
      </w:r>
    </w:p>
    <w:p w14:paraId="3FDA87C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3.5必要的法律依据；</w:t>
      </w:r>
    </w:p>
    <w:p w14:paraId="477827A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3.6提出质疑的日期。</w:t>
      </w:r>
    </w:p>
    <w:p w14:paraId="1FF3DDD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4、</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可以委托代理人进行质疑</w:t>
      </w:r>
      <w:r>
        <w:rPr>
          <w:rFonts w:hint="eastAsia" w:ascii="宋体" w:hAnsi="宋体" w:eastAsia="宋体" w:cs="宋体"/>
          <w:szCs w:val="24"/>
          <w:highlight w:val="none"/>
          <w:lang w:eastAsia="zh-CN"/>
        </w:rPr>
        <w:t>和投诉</w:t>
      </w:r>
      <w:r>
        <w:rPr>
          <w:rFonts w:hint="eastAsia" w:ascii="宋体" w:hAnsi="宋体" w:eastAsia="宋体" w:cs="宋体"/>
          <w:szCs w:val="24"/>
          <w:highlight w:val="none"/>
        </w:rPr>
        <w:t>。其授权委托书应当载明代理人的姓名或者名称、代理事项、具体权限、期限和相关事项。</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为自然人的，应当由本人签字；</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为法人或者其他组织的，应当由法定代表人、主要负责人签字或者盖章，并加盖公章。</w:t>
      </w:r>
    </w:p>
    <w:p w14:paraId="02E7799A">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5、有下列情形之一的，属于无效质疑，采购代理机构和采购人不予受理：</w:t>
      </w:r>
    </w:p>
    <w:p w14:paraId="539B8F5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5.1</w:t>
      </w:r>
      <w:r>
        <w:rPr>
          <w:rFonts w:hint="eastAsia" w:ascii="宋体" w:hAnsi="宋体" w:eastAsia="宋体" w:cs="宋体"/>
          <w:szCs w:val="24"/>
          <w:highlight w:val="none"/>
        </w:rPr>
        <w:t>质疑人不是参与本次政府采购项目的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w:t>
      </w:r>
    </w:p>
    <w:p w14:paraId="36E4584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5.2</w:t>
      </w:r>
      <w:r>
        <w:rPr>
          <w:rFonts w:hint="eastAsia" w:ascii="宋体" w:hAnsi="宋体" w:eastAsia="宋体" w:cs="宋体"/>
          <w:szCs w:val="24"/>
          <w:highlight w:val="none"/>
        </w:rPr>
        <w:t>质疑人与质疑事项不存在利害关系的；</w:t>
      </w:r>
    </w:p>
    <w:p w14:paraId="36D5342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5.3</w:t>
      </w:r>
      <w:r>
        <w:rPr>
          <w:rFonts w:hint="eastAsia" w:ascii="宋体" w:hAnsi="宋体" w:eastAsia="宋体" w:cs="宋体"/>
          <w:szCs w:val="24"/>
          <w:highlight w:val="none"/>
        </w:rPr>
        <w:t>未在法定期限内提出质疑的；</w:t>
      </w:r>
    </w:p>
    <w:p w14:paraId="31CA28B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5.4</w:t>
      </w:r>
      <w:r>
        <w:rPr>
          <w:rFonts w:hint="eastAsia" w:ascii="宋体" w:hAnsi="宋体" w:eastAsia="宋体" w:cs="宋体"/>
          <w:szCs w:val="24"/>
          <w:highlight w:val="none"/>
        </w:rPr>
        <w:t>质疑未以书面形式提出，以传真、电子邮件、移动通信等形式即时收悉提交的质疑材料；</w:t>
      </w:r>
    </w:p>
    <w:p w14:paraId="16EE393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5.5</w:t>
      </w:r>
      <w:r>
        <w:rPr>
          <w:rFonts w:hint="eastAsia" w:ascii="宋体" w:hAnsi="宋体" w:eastAsia="宋体" w:cs="宋体"/>
          <w:szCs w:val="24"/>
          <w:highlight w:val="none"/>
        </w:rPr>
        <w:t>质疑未按质疑函范本格式提出的；</w:t>
      </w:r>
    </w:p>
    <w:p w14:paraId="1E5C2D1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5.6</w:t>
      </w:r>
      <w:r>
        <w:rPr>
          <w:rFonts w:hint="eastAsia" w:ascii="宋体" w:hAnsi="宋体" w:eastAsia="宋体" w:cs="宋体"/>
          <w:szCs w:val="24"/>
          <w:highlight w:val="none"/>
        </w:rPr>
        <w:t>质疑书主要内容构成不完整的；</w:t>
      </w:r>
    </w:p>
    <w:p w14:paraId="69C58694">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5.7</w:t>
      </w:r>
      <w:r>
        <w:rPr>
          <w:rFonts w:hint="eastAsia" w:ascii="宋体" w:hAnsi="宋体" w:eastAsia="宋体" w:cs="宋体"/>
          <w:szCs w:val="24"/>
          <w:highlight w:val="none"/>
        </w:rPr>
        <w:t>质疑书没有合法有效</w:t>
      </w:r>
      <w:r>
        <w:rPr>
          <w:rFonts w:hint="eastAsia" w:ascii="宋体" w:hAnsi="宋体" w:eastAsia="宋体" w:cs="宋体"/>
          <w:szCs w:val="24"/>
          <w:highlight w:val="none"/>
          <w:lang w:eastAsia="zh-CN"/>
        </w:rPr>
        <w:t>地</w:t>
      </w:r>
      <w:r>
        <w:rPr>
          <w:rFonts w:hint="eastAsia" w:ascii="宋体" w:hAnsi="宋体" w:eastAsia="宋体" w:cs="宋体"/>
          <w:szCs w:val="24"/>
          <w:highlight w:val="none"/>
        </w:rPr>
        <w:t>签字、盖章或授权的；</w:t>
      </w:r>
    </w:p>
    <w:p w14:paraId="14B81EC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5.8</w:t>
      </w:r>
      <w:r>
        <w:rPr>
          <w:rFonts w:hint="eastAsia" w:ascii="宋体" w:hAnsi="宋体" w:eastAsia="宋体" w:cs="宋体"/>
          <w:szCs w:val="24"/>
          <w:highlight w:val="none"/>
        </w:rPr>
        <w:t>以非法手段取得证据、材料的；</w:t>
      </w:r>
    </w:p>
    <w:p w14:paraId="3A9E63EB">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5.9</w:t>
      </w:r>
      <w:r>
        <w:rPr>
          <w:rFonts w:hint="eastAsia" w:ascii="宋体" w:hAnsi="宋体" w:eastAsia="宋体" w:cs="宋体"/>
          <w:szCs w:val="24"/>
          <w:highlight w:val="none"/>
        </w:rPr>
        <w:t>质疑答复后，同一质疑人就同一事项再次提出质疑的；</w:t>
      </w:r>
    </w:p>
    <w:p w14:paraId="3647632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5.10</w:t>
      </w:r>
      <w:r>
        <w:rPr>
          <w:rFonts w:hint="eastAsia" w:ascii="宋体" w:hAnsi="宋体" w:eastAsia="宋体" w:cs="宋体"/>
          <w:szCs w:val="24"/>
          <w:highlight w:val="none"/>
        </w:rPr>
        <w:t>不符合</w:t>
      </w:r>
      <w:r>
        <w:rPr>
          <w:rFonts w:hint="eastAsia" w:ascii="宋体" w:hAnsi="宋体" w:eastAsia="宋体" w:cs="宋体"/>
          <w:szCs w:val="24"/>
          <w:highlight w:val="none"/>
          <w:lang w:eastAsia="zh-CN"/>
        </w:rPr>
        <w:t>法律法规</w:t>
      </w:r>
      <w:r>
        <w:rPr>
          <w:rFonts w:hint="eastAsia" w:ascii="宋体" w:hAnsi="宋体" w:eastAsia="宋体" w:cs="宋体"/>
          <w:szCs w:val="24"/>
          <w:highlight w:val="none"/>
        </w:rPr>
        <w:t>、规章和政府采购监管机构规定的其他条件的。</w:t>
      </w:r>
    </w:p>
    <w:p w14:paraId="73729E7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6、质疑答复</w:t>
      </w:r>
    </w:p>
    <w:p w14:paraId="66713133">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采购人、采购代理机构在收到质疑函后七个工作日内</w:t>
      </w:r>
      <w:r>
        <w:rPr>
          <w:rFonts w:hint="eastAsia" w:ascii="宋体" w:hAnsi="宋体" w:eastAsia="宋体" w:cs="宋体"/>
          <w:szCs w:val="24"/>
          <w:highlight w:val="none"/>
          <w:lang w:eastAsia="zh-CN"/>
        </w:rPr>
        <w:t>作出</w:t>
      </w:r>
      <w:r>
        <w:rPr>
          <w:rFonts w:hint="eastAsia" w:ascii="宋体" w:hAnsi="宋体" w:eastAsia="宋体" w:cs="宋体"/>
          <w:szCs w:val="24"/>
          <w:highlight w:val="none"/>
        </w:rPr>
        <w:t>答复。</w:t>
      </w:r>
    </w:p>
    <w:p w14:paraId="4C00F2FE">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7、质疑接收方式：</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以书面形式将质疑函原件和必要的证明材料送至接收部门，法定代表人、主要负责人、自然人提交质疑函须提交其身份证复印件，代理人提交质疑函须提交授权委托书及授权人和被授权人身份证复印件。　</w:t>
      </w:r>
    </w:p>
    <w:p w14:paraId="3124446C">
      <w:pPr>
        <w:keepNext w:val="0"/>
        <w:keepLines w:val="0"/>
        <w:pageBreakBefore w:val="0"/>
        <w:widowControl w:val="0"/>
        <w:wordWrap/>
        <w:overflowPunct/>
        <w:topLinePunct w:val="0"/>
        <w:autoSpaceDE/>
        <w:autoSpaceDN/>
        <w:bidi w:val="0"/>
        <w:spacing w:line="360" w:lineRule="auto"/>
        <w:ind w:firstLine="480" w:firstLineChars="200"/>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rPr>
        <w:t>接 收 人：</w:t>
      </w:r>
      <w:r>
        <w:rPr>
          <w:rFonts w:hint="default" w:ascii="宋体" w:hAnsi="宋体" w:eastAsia="宋体" w:cs="宋体"/>
          <w:szCs w:val="24"/>
          <w:highlight w:val="none"/>
          <w:lang w:eastAsia="zh-CN"/>
        </w:rPr>
        <w:t>袁</w:t>
      </w:r>
      <w:r>
        <w:rPr>
          <w:rFonts w:hint="eastAsia" w:ascii="宋体" w:hAnsi="宋体" w:eastAsia="宋体" w:cs="宋体"/>
          <w:szCs w:val="24"/>
          <w:highlight w:val="none"/>
          <w:lang w:eastAsia="zh-CN"/>
        </w:rPr>
        <w:t>青青</w:t>
      </w:r>
      <w:r>
        <w:rPr>
          <w:rFonts w:hint="eastAsia" w:ascii="宋体" w:hAnsi="宋体" w:eastAsia="宋体" w:cs="宋体"/>
          <w:szCs w:val="24"/>
          <w:highlight w:val="none"/>
        </w:rPr>
        <w:t>　　联系电话：</w:t>
      </w:r>
      <w:r>
        <w:rPr>
          <w:rFonts w:hint="eastAsia" w:ascii="宋体" w:hAnsi="宋体" w:eastAsia="宋体" w:cs="宋体"/>
          <w:szCs w:val="24"/>
          <w:highlight w:val="none"/>
          <w:lang w:val="en-US" w:eastAsia="zh-CN"/>
        </w:rPr>
        <w:t>18991742412</w:t>
      </w:r>
    </w:p>
    <w:p w14:paraId="344BEC6E">
      <w:pPr>
        <w:keepNext w:val="0"/>
        <w:keepLines w:val="0"/>
        <w:pageBreakBefore w:val="0"/>
        <w:widowControl w:val="0"/>
        <w:wordWrap/>
        <w:overflowPunct/>
        <w:topLinePunct w:val="0"/>
        <w:autoSpaceDE/>
        <w:autoSpaceDN/>
        <w:bidi w:val="0"/>
        <w:spacing w:line="360" w:lineRule="auto"/>
        <w:ind w:firstLine="480" w:firstLineChars="200"/>
        <w:textAlignment w:val="auto"/>
        <w:rPr>
          <w:rFonts w:hint="default" w:ascii="宋体" w:hAnsi="宋体" w:eastAsia="宋体" w:cs="宋体"/>
          <w:szCs w:val="24"/>
          <w:highlight w:val="none"/>
          <w:lang w:val="en-US"/>
        </w:rPr>
      </w:pPr>
      <w:r>
        <w:rPr>
          <w:rFonts w:hint="eastAsia" w:ascii="宋体" w:hAnsi="宋体" w:eastAsia="宋体" w:cs="宋体"/>
          <w:szCs w:val="24"/>
          <w:highlight w:val="none"/>
        </w:rPr>
        <w:t>地 址：</w:t>
      </w:r>
      <w:r>
        <w:rPr>
          <w:rFonts w:hint="eastAsia" w:ascii="宋体" w:hAnsi="宋体" w:eastAsia="宋体" w:cs="宋体"/>
          <w:szCs w:val="24"/>
          <w:highlight w:val="none"/>
          <w:lang w:val="en-US" w:eastAsia="zh-CN"/>
        </w:rPr>
        <w:t>宝鸡市高新四路星钻国际A座1202室</w:t>
      </w:r>
    </w:p>
    <w:p w14:paraId="2F2C8C4F">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8、投诉</w:t>
      </w:r>
    </w:p>
    <w:p w14:paraId="50F4C637">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8.1</w:t>
      </w:r>
      <w:r>
        <w:rPr>
          <w:rFonts w:hint="eastAsia" w:ascii="宋体" w:hAnsi="宋体" w:eastAsia="宋体" w:cs="宋体"/>
          <w:szCs w:val="24"/>
          <w:highlight w:val="none"/>
        </w:rPr>
        <w:t>质疑</w:t>
      </w:r>
      <w:r>
        <w:rPr>
          <w:rFonts w:hint="eastAsia" w:ascii="宋体" w:hAnsi="宋体" w:eastAsia="宋体" w:cs="宋体"/>
          <w:szCs w:val="24"/>
          <w:highlight w:val="none"/>
          <w:lang w:eastAsia="zh-CN"/>
        </w:rPr>
        <w:t>人</w:t>
      </w:r>
      <w:r>
        <w:rPr>
          <w:rFonts w:hint="eastAsia" w:ascii="宋体" w:hAnsi="宋体" w:eastAsia="宋体" w:cs="宋体"/>
          <w:szCs w:val="24"/>
          <w:highlight w:val="none"/>
        </w:rPr>
        <w:t>对采购人、采购代理机构的答复不满意或者采购人、采购代理机构未在规定的时间内作出答复的，可按《政府采购法》第55条和《政府采购质疑和投诉办法》（财政部令第94号）有关规定</w:t>
      </w:r>
      <w:r>
        <w:rPr>
          <w:rFonts w:hint="eastAsia" w:ascii="宋体" w:hAnsi="宋体" w:eastAsia="宋体" w:cs="宋体"/>
          <w:szCs w:val="24"/>
          <w:highlight w:val="none"/>
          <w:lang w:eastAsia="zh-CN"/>
        </w:rPr>
        <w:t>标准进行投诉</w:t>
      </w:r>
      <w:r>
        <w:rPr>
          <w:rFonts w:hint="eastAsia" w:ascii="宋体" w:hAnsi="宋体" w:eastAsia="宋体" w:cs="宋体"/>
          <w:szCs w:val="24"/>
          <w:highlight w:val="none"/>
        </w:rPr>
        <w:t>。</w:t>
      </w:r>
    </w:p>
    <w:p w14:paraId="445986B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8.2</w:t>
      </w:r>
      <w:r>
        <w:rPr>
          <w:rFonts w:hint="eastAsia" w:ascii="宋体" w:hAnsi="宋体" w:eastAsia="宋体" w:cs="宋体"/>
          <w:szCs w:val="24"/>
          <w:highlight w:val="none"/>
        </w:rPr>
        <w:t>响应</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投诉的事项不得超出已质疑事项的范围。</w:t>
      </w:r>
    </w:p>
    <w:p w14:paraId="712FCF1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8.3</w:t>
      </w:r>
      <w:r>
        <w:rPr>
          <w:rFonts w:hint="eastAsia" w:ascii="宋体" w:hAnsi="宋体" w:eastAsia="宋体" w:cs="宋体"/>
          <w:szCs w:val="24"/>
          <w:highlight w:val="none"/>
        </w:rPr>
        <w:t>投诉书范本格式在中国政府采购网站（http://www.ccgp.gov.cn/）自行下载。</w:t>
      </w:r>
    </w:p>
    <w:p w14:paraId="63039AF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8.4对捏造事实、提供虚假材料进行质疑、投诉的行为予以严肃处理：</w:t>
      </w:r>
    </w:p>
    <w:p w14:paraId="1DB413C4">
      <w:pPr>
        <w:keepNext w:val="0"/>
        <w:keepLines w:val="0"/>
        <w:pageBreakBefore w:val="0"/>
        <w:widowControl w:val="0"/>
        <w:wordWrap/>
        <w:overflowPunct/>
        <w:topLinePunct w:val="0"/>
        <w:autoSpaceDE/>
        <w:autoSpaceDN/>
        <w:bidi w:val="0"/>
        <w:spacing w:line="360" w:lineRule="auto"/>
        <w:ind w:firstLine="480" w:firstLineChars="200"/>
        <w:textAlignment w:val="auto"/>
        <w:rPr>
          <w:rFonts w:hint="default" w:ascii="宋体" w:hAnsi="宋体" w:eastAsia="宋体" w:cs="宋体"/>
          <w:szCs w:val="24"/>
          <w:highlight w:val="none"/>
          <w:lang w:val="en-US" w:eastAsia="zh-CN"/>
        </w:rPr>
      </w:pPr>
      <w:r>
        <w:rPr>
          <w:rFonts w:hint="default" w:ascii="宋体" w:hAnsi="宋体" w:eastAsia="宋体" w:cs="宋体"/>
          <w:szCs w:val="24"/>
          <w:highlight w:val="none"/>
          <w:lang w:val="en-US" w:eastAsia="zh-CN"/>
        </w:rPr>
        <w:t>依据《中华人民共和国政府采购法》及其实施条例、《政府采购质疑和投诉办法》等法律法规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14:paraId="55791BB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lang w:val="zh-CN" w:eastAsia="zh-CN"/>
        </w:rPr>
      </w:pPr>
      <w:r>
        <w:rPr>
          <w:rFonts w:hint="eastAsia" w:ascii="宋体" w:hAnsi="宋体" w:eastAsia="宋体" w:cs="宋体"/>
          <w:szCs w:val="24"/>
          <w:highlight w:val="none"/>
          <w:lang w:val="en-US" w:eastAsia="zh-CN"/>
        </w:rPr>
        <w:t>8.5</w:t>
      </w:r>
      <w:r>
        <w:rPr>
          <w:rFonts w:hint="eastAsia" w:ascii="宋体" w:hAnsi="宋体" w:eastAsia="宋体" w:cs="宋体"/>
          <w:szCs w:val="24"/>
          <w:highlight w:val="none"/>
          <w:lang w:val="zh-CN" w:eastAsia="zh-CN"/>
        </w:rPr>
        <w:t>对捏造事实诬告陷害他人、诽谤他人的法律适用：</w:t>
      </w:r>
    </w:p>
    <w:p w14:paraId="79C88382">
      <w:pPr>
        <w:keepNext w:val="0"/>
        <w:keepLines w:val="0"/>
        <w:pageBreakBefore w:val="0"/>
        <w:widowControl w:val="0"/>
        <w:wordWrap/>
        <w:overflowPunct/>
        <w:topLinePunct w:val="0"/>
        <w:autoSpaceDE/>
        <w:autoSpaceDN/>
        <w:bidi w:val="0"/>
        <w:spacing w:line="360" w:lineRule="auto"/>
        <w:ind w:firstLine="480" w:firstLineChars="200"/>
        <w:textAlignment w:val="auto"/>
        <w:rPr>
          <w:rFonts w:hint="default" w:ascii="宋体" w:hAnsi="宋体" w:eastAsia="宋体" w:cs="宋体"/>
          <w:szCs w:val="24"/>
          <w:highlight w:val="none"/>
          <w:lang w:val="en-US" w:eastAsia="zh-CN"/>
        </w:rPr>
      </w:pPr>
      <w:r>
        <w:rPr>
          <w:rFonts w:hint="default" w:ascii="宋体" w:hAnsi="宋体" w:eastAsia="宋体" w:cs="宋体"/>
          <w:szCs w:val="24"/>
          <w:highlight w:val="none"/>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70B97C89">
      <w:pPr>
        <w:keepNext w:val="0"/>
        <w:keepLines w:val="0"/>
        <w:pageBreakBefore w:val="0"/>
        <w:widowControl w:val="0"/>
        <w:wordWrap/>
        <w:overflowPunct/>
        <w:topLinePunct w:val="0"/>
        <w:autoSpaceDE/>
        <w:autoSpaceDN/>
        <w:bidi w:val="0"/>
        <w:spacing w:line="360" w:lineRule="auto"/>
        <w:ind w:firstLine="480" w:firstLineChars="200"/>
        <w:textAlignment w:val="auto"/>
        <w:rPr>
          <w:rFonts w:hint="default" w:ascii="宋体" w:hAnsi="宋体" w:eastAsia="宋体" w:cs="宋体"/>
          <w:szCs w:val="24"/>
          <w:highlight w:val="none"/>
          <w:lang w:val="en-US" w:eastAsia="zh-CN"/>
        </w:rPr>
      </w:pPr>
      <w:r>
        <w:rPr>
          <w:rFonts w:hint="default" w:ascii="宋体" w:hAnsi="宋体" w:eastAsia="宋体" w:cs="宋体"/>
          <w:szCs w:val="24"/>
          <w:highlight w:val="none"/>
          <w:lang w:val="en-US" w:eastAsia="zh-CN"/>
        </w:rPr>
        <w:t>《中华人民共和国刑法》第246条【侮辱罪、诽谤罪】以暴力或者其他方法公然侮辱他人或者捏造事实诽谤他人，情节严重的，处三年以下有期徒刑、拘役、管制或者剥夺政治权利。</w:t>
      </w:r>
    </w:p>
    <w:p w14:paraId="00A748C0">
      <w:pPr>
        <w:keepNext w:val="0"/>
        <w:keepLines w:val="0"/>
        <w:pageBreakBefore w:val="0"/>
        <w:widowControl w:val="0"/>
        <w:wordWrap/>
        <w:overflowPunct/>
        <w:topLinePunct w:val="0"/>
        <w:autoSpaceDE/>
        <w:autoSpaceDN/>
        <w:bidi w:val="0"/>
        <w:spacing w:line="360" w:lineRule="auto"/>
        <w:textAlignment w:val="auto"/>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26</w:t>
      </w:r>
      <w:r>
        <w:rPr>
          <w:rFonts w:hint="eastAsia" w:ascii="宋体" w:hAnsi="宋体" w:eastAsia="宋体" w:cs="宋体"/>
          <w:b/>
          <w:szCs w:val="24"/>
          <w:highlight w:val="none"/>
        </w:rPr>
        <w:t>.拒绝商业贿赂</w:t>
      </w:r>
    </w:p>
    <w:p w14:paraId="7DB4F02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26</w:t>
      </w:r>
      <w:r>
        <w:rPr>
          <w:rFonts w:hint="eastAsia" w:ascii="宋体" w:hAnsi="宋体" w:eastAsia="宋体" w:cs="宋体"/>
          <w:szCs w:val="24"/>
          <w:highlight w:val="none"/>
        </w:rPr>
        <w:t>.1遵照陕西省财政厅的规定，采购人、采购代理机构、</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和评审专家在招投标活动中，都要签订相应的《拒绝政府采购领域商业贿赂承诺书》，并对违反承诺的行为承担全部责任。</w:t>
      </w:r>
    </w:p>
    <w:p w14:paraId="1E163D8D">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26</w:t>
      </w:r>
      <w:r>
        <w:rPr>
          <w:rFonts w:hint="eastAsia" w:ascii="宋体" w:hAnsi="宋体" w:eastAsia="宋体" w:cs="宋体"/>
          <w:szCs w:val="24"/>
          <w:highlight w:val="none"/>
        </w:rPr>
        <w:t>.2</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必须填写《拒绝政府采购领域商业贿赂承诺书》（附件）并附在投标文件中。</w:t>
      </w:r>
    </w:p>
    <w:p w14:paraId="24343415">
      <w:pPr>
        <w:rPr>
          <w:rFonts w:hint="eastAsia" w:ascii="宋体" w:hAnsi="宋体" w:eastAsia="宋体" w:cs="宋体"/>
          <w:sz w:val="30"/>
          <w:szCs w:val="30"/>
          <w:highlight w:val="yellow"/>
          <w:lang w:eastAsia="zh-CN"/>
        </w:rPr>
      </w:pPr>
      <w:bookmarkStart w:id="316" w:name="_Toc5141"/>
      <w:bookmarkStart w:id="317" w:name="_Toc594"/>
      <w:r>
        <w:rPr>
          <w:rFonts w:hint="eastAsia" w:ascii="宋体" w:hAnsi="宋体" w:eastAsia="宋体" w:cs="宋体"/>
          <w:sz w:val="30"/>
          <w:szCs w:val="30"/>
          <w:highlight w:val="none"/>
          <w:lang w:eastAsia="zh-CN"/>
        </w:rPr>
        <w:br w:type="page"/>
      </w:r>
    </w:p>
    <w:p w14:paraId="6EDFB5BE">
      <w:pPr>
        <w:pStyle w:val="3"/>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30"/>
          <w:szCs w:val="30"/>
          <w:highlight w:val="none"/>
          <w:lang w:eastAsia="zh-CN"/>
        </w:rPr>
      </w:pPr>
      <w:bookmarkStart w:id="318" w:name="_Toc17313"/>
      <w:r>
        <w:rPr>
          <w:rFonts w:hint="eastAsia" w:ascii="宋体" w:hAnsi="宋体" w:eastAsia="宋体" w:cs="宋体"/>
          <w:sz w:val="30"/>
          <w:szCs w:val="30"/>
          <w:highlight w:val="none"/>
          <w:lang w:eastAsia="zh-CN"/>
        </w:rPr>
        <w:t>第三章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lang w:eastAsia="zh-CN"/>
        </w:rPr>
        <w:t>评标办法</w:t>
      </w:r>
      <w:bookmarkEnd w:id="316"/>
      <w:bookmarkEnd w:id="317"/>
      <w:bookmarkEnd w:id="318"/>
    </w:p>
    <w:p w14:paraId="12B9624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319" w:name="_Toc23327"/>
      <w:bookmarkStart w:id="320" w:name="_Toc2319"/>
      <w:bookmarkStart w:id="321" w:name="_Toc2608"/>
      <w:bookmarkStart w:id="322" w:name="_Toc27468"/>
      <w:bookmarkStart w:id="323" w:name="_Toc6217"/>
      <w:bookmarkStart w:id="324" w:name="_Toc4101"/>
      <w:bookmarkStart w:id="325" w:name="_Toc3609"/>
      <w:bookmarkStart w:id="326" w:name="_Toc32569"/>
      <w:bookmarkStart w:id="327" w:name="_Toc40896062"/>
      <w:bookmarkStart w:id="328" w:name="_Toc1839"/>
      <w:bookmarkStart w:id="329" w:name="_Toc17680"/>
      <w:bookmarkStart w:id="330" w:name="_Toc17436"/>
      <w:bookmarkStart w:id="331" w:name="_Toc11810"/>
      <w:bookmarkStart w:id="332" w:name="_Toc22359"/>
      <w:r>
        <w:rPr>
          <w:rFonts w:hint="eastAsia" w:ascii="宋体" w:hAnsi="宋体" w:eastAsia="宋体" w:cs="宋体"/>
          <w:b/>
          <w:bCs/>
          <w:sz w:val="24"/>
          <w:szCs w:val="24"/>
          <w:highlight w:val="none"/>
        </w:rPr>
        <w:t>一、评标方法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A903D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根据《中华人民共和国</w:t>
      </w:r>
      <w:r>
        <w:rPr>
          <w:rFonts w:hint="eastAsia" w:ascii="宋体" w:hAnsi="宋体" w:eastAsia="宋体" w:cs="宋体"/>
          <w:kern w:val="0"/>
          <w:sz w:val="24"/>
          <w:highlight w:val="none"/>
          <w:lang w:eastAsia="zh-CN"/>
        </w:rPr>
        <w:t>政府采购</w:t>
      </w:r>
      <w:r>
        <w:rPr>
          <w:rFonts w:hint="eastAsia" w:ascii="宋体" w:hAnsi="宋体" w:eastAsia="宋体" w:cs="宋体"/>
          <w:kern w:val="0"/>
          <w:sz w:val="24"/>
          <w:highlight w:val="none"/>
        </w:rPr>
        <w:t>法》</w:t>
      </w:r>
      <w:r>
        <w:rPr>
          <w:rFonts w:hint="eastAsia" w:ascii="宋体" w:hAnsi="宋体" w:eastAsia="宋体" w:cs="宋体"/>
          <w:kern w:val="0"/>
          <w:sz w:val="24"/>
          <w:highlight w:val="none"/>
          <w:lang w:eastAsia="zh-CN"/>
        </w:rPr>
        <w:t>、《中华人民共和国政府采购法实施条例》、《政府采购货物和服务招标投标管理办法》、</w:t>
      </w:r>
      <w:r>
        <w:rPr>
          <w:rFonts w:hint="eastAsia" w:ascii="宋体" w:hAnsi="宋体" w:eastAsia="宋体" w:cs="宋体"/>
          <w:szCs w:val="24"/>
          <w:highlight w:val="none"/>
        </w:rPr>
        <w:t>《</w:t>
      </w:r>
      <w:r>
        <w:rPr>
          <w:rFonts w:hint="eastAsia" w:ascii="宋体" w:hAnsi="宋体" w:eastAsia="宋体" w:cs="宋体"/>
          <w:kern w:val="0"/>
          <w:sz w:val="24"/>
          <w:highlight w:val="none"/>
          <w:lang w:eastAsia="zh-CN"/>
        </w:rPr>
        <w:t>中华人民共和国招投标法</w:t>
      </w:r>
      <w:r>
        <w:rPr>
          <w:rFonts w:hint="eastAsia" w:ascii="宋体" w:hAnsi="宋体" w:eastAsia="宋体" w:cs="宋体"/>
          <w:szCs w:val="24"/>
          <w:highlight w:val="none"/>
        </w:rPr>
        <w:t>》</w:t>
      </w:r>
      <w:r>
        <w:rPr>
          <w:rFonts w:hint="eastAsia" w:ascii="宋体" w:hAnsi="宋体" w:eastAsia="宋体" w:cs="宋体"/>
          <w:kern w:val="0"/>
          <w:sz w:val="24"/>
          <w:highlight w:val="none"/>
        </w:rPr>
        <w:t>等法律法规规定，</w:t>
      </w:r>
      <w:r>
        <w:rPr>
          <w:rFonts w:hint="eastAsia" w:ascii="宋体" w:hAnsi="宋体" w:eastAsia="宋体" w:cs="宋体"/>
          <w:b/>
          <w:bCs/>
          <w:kern w:val="0"/>
          <w:sz w:val="24"/>
          <w:highlight w:val="none"/>
        </w:rPr>
        <w:t>本次评标采用综合评</w:t>
      </w:r>
      <w:r>
        <w:rPr>
          <w:rFonts w:hint="eastAsia" w:ascii="宋体" w:hAnsi="宋体" w:eastAsia="宋体" w:cs="宋体"/>
          <w:b/>
          <w:bCs/>
          <w:kern w:val="0"/>
          <w:sz w:val="24"/>
          <w:highlight w:val="none"/>
          <w:lang w:eastAsia="zh-CN"/>
        </w:rPr>
        <w:t>估</w:t>
      </w:r>
      <w:r>
        <w:rPr>
          <w:rFonts w:hint="eastAsia" w:ascii="宋体" w:hAnsi="宋体" w:eastAsia="宋体" w:cs="宋体"/>
          <w:b/>
          <w:bCs/>
          <w:kern w:val="0"/>
          <w:sz w:val="24"/>
          <w:highlight w:val="none"/>
        </w:rPr>
        <w:t>法，</w:t>
      </w:r>
      <w:r>
        <w:rPr>
          <w:rFonts w:hint="eastAsia" w:ascii="宋体" w:hAnsi="宋体" w:eastAsia="宋体" w:cs="宋体"/>
          <w:kern w:val="0"/>
          <w:sz w:val="24"/>
          <w:highlight w:val="none"/>
        </w:rPr>
        <w:t>即在最大限度地满足招标文件实质性要求</w:t>
      </w:r>
      <w:r>
        <w:rPr>
          <w:rFonts w:hint="eastAsia" w:ascii="宋体" w:hAnsi="宋体" w:eastAsia="宋体" w:cs="宋体"/>
          <w:kern w:val="0"/>
          <w:sz w:val="24"/>
          <w:highlight w:val="none"/>
          <w:lang w:eastAsia="zh-CN"/>
        </w:rPr>
        <w:t>的</w:t>
      </w:r>
      <w:r>
        <w:rPr>
          <w:rFonts w:hint="eastAsia" w:ascii="宋体" w:hAnsi="宋体" w:eastAsia="宋体" w:cs="宋体"/>
          <w:kern w:val="0"/>
          <w:sz w:val="24"/>
          <w:highlight w:val="none"/>
        </w:rPr>
        <w:t>前提下，按照招标文件中规定的各项</w:t>
      </w:r>
      <w:r>
        <w:rPr>
          <w:rFonts w:hint="eastAsia" w:ascii="宋体" w:hAnsi="宋体" w:eastAsia="宋体" w:cs="宋体"/>
          <w:kern w:val="0"/>
          <w:sz w:val="24"/>
          <w:highlight w:val="none"/>
          <w:lang w:val="en-US" w:eastAsia="zh-CN"/>
        </w:rPr>
        <w:t>评审</w:t>
      </w:r>
      <w:r>
        <w:rPr>
          <w:rFonts w:hint="eastAsia" w:ascii="宋体" w:hAnsi="宋体" w:eastAsia="宋体" w:cs="宋体"/>
          <w:kern w:val="0"/>
          <w:sz w:val="24"/>
          <w:highlight w:val="none"/>
        </w:rPr>
        <w:t>因素和相应的权重分值进行综合评审后，以总得分最高的</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作为</w:t>
      </w:r>
      <w:r>
        <w:rPr>
          <w:rFonts w:hint="eastAsia" w:ascii="宋体" w:hAnsi="宋体" w:eastAsia="宋体" w:cs="宋体"/>
          <w:kern w:val="0"/>
          <w:sz w:val="24"/>
          <w:highlight w:val="none"/>
          <w:lang w:eastAsia="zh-CN"/>
        </w:rPr>
        <w:t>成交候选人，</w:t>
      </w:r>
      <w:r>
        <w:rPr>
          <w:rFonts w:hint="eastAsia" w:ascii="宋体" w:hAnsi="宋体" w:eastAsia="宋体" w:cs="宋体"/>
          <w:kern w:val="0"/>
          <w:sz w:val="24"/>
          <w:highlight w:val="none"/>
        </w:rPr>
        <w:t>并依次排序（最低报价不是</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的唯一标准）。</w:t>
      </w:r>
    </w:p>
    <w:p w14:paraId="6FB9161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333" w:name="_Toc19326"/>
      <w:bookmarkStart w:id="334" w:name="_Toc28486"/>
      <w:bookmarkStart w:id="335" w:name="_Toc22487"/>
      <w:bookmarkStart w:id="336" w:name="_Toc11233"/>
      <w:bookmarkStart w:id="337" w:name="_Toc30075"/>
      <w:bookmarkStart w:id="338" w:name="_Toc40896063"/>
      <w:bookmarkStart w:id="339" w:name="_Toc9280"/>
      <w:bookmarkStart w:id="340" w:name="_Toc25406"/>
      <w:bookmarkStart w:id="341" w:name="_Toc7948"/>
      <w:bookmarkStart w:id="342" w:name="_Toc20101"/>
      <w:bookmarkStart w:id="343" w:name="_Toc32297"/>
      <w:bookmarkStart w:id="344" w:name="_Toc7584"/>
      <w:bookmarkStart w:id="345" w:name="_Toc32308"/>
      <w:bookmarkStart w:id="346" w:name="_Toc8062"/>
      <w:r>
        <w:rPr>
          <w:rFonts w:hint="eastAsia" w:ascii="宋体" w:hAnsi="宋体" w:eastAsia="宋体" w:cs="宋体"/>
          <w:b/>
          <w:bCs/>
          <w:sz w:val="24"/>
          <w:szCs w:val="24"/>
          <w:highlight w:val="none"/>
        </w:rPr>
        <w:t>二、评标原则</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4363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坚持公平、公正、科学、择优原则，禁止不正当竞争。</w:t>
      </w:r>
    </w:p>
    <w:p w14:paraId="6701679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347" w:name="_Toc24848"/>
      <w:bookmarkStart w:id="348" w:name="_Toc24389"/>
      <w:bookmarkStart w:id="349" w:name="_Toc32486"/>
      <w:bookmarkStart w:id="350" w:name="_Toc15071"/>
      <w:bookmarkStart w:id="351" w:name="_Toc20467"/>
      <w:bookmarkStart w:id="352" w:name="_Toc21575"/>
      <w:bookmarkStart w:id="353" w:name="_Toc28224"/>
      <w:bookmarkStart w:id="354" w:name="_Toc19262"/>
      <w:bookmarkStart w:id="355" w:name="_Toc3344"/>
      <w:bookmarkStart w:id="356" w:name="_Toc40896064"/>
      <w:bookmarkStart w:id="357" w:name="_Toc21127"/>
      <w:bookmarkStart w:id="358" w:name="_Toc18573"/>
      <w:bookmarkStart w:id="359" w:name="_Toc13483"/>
      <w:bookmarkStart w:id="360" w:name="_Toc1357"/>
      <w:r>
        <w:rPr>
          <w:rFonts w:hint="eastAsia" w:ascii="宋体" w:hAnsi="宋体" w:eastAsia="宋体" w:cs="宋体"/>
          <w:b/>
          <w:bCs/>
          <w:sz w:val="24"/>
          <w:szCs w:val="24"/>
          <w:highlight w:val="none"/>
        </w:rPr>
        <w:t>三、评标工作程序</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F0F9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按照初步审查（包括资格性审查和符合性审查）、澄清、评价（详评）、推荐</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候选</w:t>
      </w:r>
      <w:r>
        <w:rPr>
          <w:rFonts w:hint="eastAsia" w:ascii="宋体" w:hAnsi="宋体" w:eastAsia="宋体" w:cs="宋体"/>
          <w:kern w:val="0"/>
          <w:sz w:val="24"/>
          <w:highlight w:val="none"/>
          <w:lang w:eastAsia="zh-CN"/>
        </w:rPr>
        <w:t>人</w:t>
      </w:r>
      <w:r>
        <w:rPr>
          <w:rFonts w:hint="eastAsia" w:ascii="宋体" w:hAnsi="宋体" w:eastAsia="宋体" w:cs="宋体"/>
          <w:kern w:val="0"/>
          <w:sz w:val="24"/>
          <w:highlight w:val="none"/>
        </w:rPr>
        <w:t>排序的工作程序进行评标。在上一步评审中被废标者，不得进入下一步的评审。</w:t>
      </w:r>
    </w:p>
    <w:p w14:paraId="4352A8B0">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3.1资格性审查</w:t>
      </w:r>
    </w:p>
    <w:p w14:paraId="0EEB1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kern w:val="0"/>
          <w:sz w:val="24"/>
          <w:highlight w:val="none"/>
        </w:rPr>
        <w:t>将依据招标文件规定的资格要求对</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进行资格审查，以确定其是否具备相应资格。如果</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不具备资格、不满足招标文件所规定的资格标准或提供的资格证明文件不全,将被视为未实质性响应招标文件，取消其投标资格。资格性审查按下表进行</w:t>
      </w:r>
      <w:r>
        <w:rPr>
          <w:rFonts w:hint="eastAsia" w:ascii="宋体" w:hAnsi="宋体" w:eastAsia="宋体" w:cs="宋体"/>
          <w:color w:val="000000" w:themeColor="text1"/>
          <w:spacing w:val="4"/>
          <w:szCs w:val="24"/>
          <w:highlight w:val="none"/>
        </w:rPr>
        <w:t>：</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125"/>
        <w:gridCol w:w="3081"/>
      </w:tblGrid>
      <w:tr w14:paraId="57F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0" w:type="dxa"/>
            <w:vMerge w:val="restart"/>
            <w:vAlign w:val="center"/>
          </w:tcPr>
          <w:p w14:paraId="08E267B2">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供应商</w:t>
            </w:r>
          </w:p>
          <w:p w14:paraId="4C56AC7D">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应符合</w:t>
            </w:r>
          </w:p>
          <w:p w14:paraId="58E5FD20">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的资格</w:t>
            </w:r>
          </w:p>
          <w:p w14:paraId="2DE0922E">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条件</w:t>
            </w:r>
          </w:p>
        </w:tc>
        <w:tc>
          <w:tcPr>
            <w:tcW w:w="5125" w:type="dxa"/>
            <w:vAlign w:val="center"/>
          </w:tcPr>
          <w:p w14:paraId="219A626D">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审查因素</w:t>
            </w:r>
          </w:p>
        </w:tc>
        <w:tc>
          <w:tcPr>
            <w:tcW w:w="3081" w:type="dxa"/>
            <w:vAlign w:val="center"/>
          </w:tcPr>
          <w:p w14:paraId="3CB7FAC1">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审查标准</w:t>
            </w:r>
          </w:p>
        </w:tc>
      </w:tr>
      <w:tr w14:paraId="7A85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exact"/>
          <w:jc w:val="center"/>
        </w:trPr>
        <w:tc>
          <w:tcPr>
            <w:tcW w:w="900" w:type="dxa"/>
            <w:vMerge w:val="continue"/>
            <w:vAlign w:val="center"/>
          </w:tcPr>
          <w:p w14:paraId="564AFCE7">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p>
        </w:tc>
        <w:tc>
          <w:tcPr>
            <w:tcW w:w="5125" w:type="dxa"/>
            <w:vAlign w:val="center"/>
          </w:tcPr>
          <w:p w14:paraId="5BCB1AE1">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供应商应为具有独立承担民事责任能力的企业法人、事业法人、其他组织或自然人；</w:t>
            </w:r>
          </w:p>
        </w:tc>
        <w:tc>
          <w:tcPr>
            <w:tcW w:w="3081" w:type="dxa"/>
            <w:vAlign w:val="center"/>
          </w:tcPr>
          <w:p w14:paraId="6D6A6112">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val="en-US" w:eastAsia="zh-CN"/>
              </w:rPr>
              <w:t>企业法人须提供有效存续的统一社会信用代码的营业执照/事业单位须提供事业单位法人证、组织机构代码证等证明文件/</w:t>
            </w:r>
            <w:r>
              <w:rPr>
                <w:rFonts w:hint="eastAsia" w:ascii="宋体" w:hAnsi="宋体" w:eastAsia="宋体" w:cs="宋体"/>
                <w:b/>
                <w:kern w:val="0"/>
                <w:sz w:val="21"/>
                <w:szCs w:val="21"/>
                <w:highlight w:val="none"/>
              </w:rPr>
              <w:t>其他组织应提供合法证明文件</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lang w:eastAsia="zh-CN"/>
              </w:rPr>
              <w:t>自然人参与的提供其身份证</w:t>
            </w:r>
          </w:p>
          <w:p w14:paraId="31A4801A">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eastAsia="zh-CN"/>
              </w:rPr>
              <w:t>（复印件加盖供应商公章）</w:t>
            </w:r>
          </w:p>
        </w:tc>
      </w:tr>
      <w:tr w14:paraId="668C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jc w:val="center"/>
        </w:trPr>
        <w:tc>
          <w:tcPr>
            <w:tcW w:w="900" w:type="dxa"/>
            <w:vMerge w:val="continue"/>
            <w:vAlign w:val="center"/>
          </w:tcPr>
          <w:p w14:paraId="4E729292">
            <w:pPr>
              <w:keepNext w:val="0"/>
              <w:keepLines w:val="0"/>
              <w:suppressLineNumbers w:val="0"/>
              <w:tabs>
                <w:tab w:val="left" w:pos="0"/>
              </w:tabs>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p>
        </w:tc>
        <w:tc>
          <w:tcPr>
            <w:tcW w:w="5125" w:type="dxa"/>
            <w:vAlign w:val="center"/>
          </w:tcPr>
          <w:p w14:paraId="61B866CB">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（2）供应商须具备有效的市政公用工程施工总承包三级（含三级）及以上资质，具有有效的安全生产许可证。</w:t>
            </w:r>
          </w:p>
        </w:tc>
        <w:tc>
          <w:tcPr>
            <w:tcW w:w="3081" w:type="dxa"/>
            <w:vAlign w:val="center"/>
          </w:tcPr>
          <w:p w14:paraId="7DD85312">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val="en-US" w:eastAsia="zh-CN"/>
              </w:rPr>
              <w:t>提供</w:t>
            </w:r>
            <w:r>
              <w:rPr>
                <w:rFonts w:hint="eastAsia" w:ascii="宋体" w:hAnsi="宋体" w:eastAsia="宋体" w:cs="宋体"/>
                <w:b/>
                <w:kern w:val="0"/>
                <w:sz w:val="21"/>
                <w:szCs w:val="21"/>
                <w:highlight w:val="none"/>
                <w:lang w:eastAsia="zh-CN"/>
              </w:rPr>
              <w:t>有效</w:t>
            </w:r>
            <w:r>
              <w:rPr>
                <w:rFonts w:hint="eastAsia" w:ascii="宋体" w:hAnsi="宋体" w:eastAsia="宋体" w:cs="宋体"/>
                <w:b/>
                <w:kern w:val="0"/>
                <w:sz w:val="21"/>
                <w:szCs w:val="21"/>
                <w:highlight w:val="none"/>
                <w:lang w:val="en-US" w:eastAsia="zh-CN"/>
              </w:rPr>
              <w:t>的</w:t>
            </w:r>
            <w:r>
              <w:rPr>
                <w:rFonts w:hint="eastAsia" w:ascii="宋体" w:hAnsi="宋体" w:eastAsia="宋体" w:cs="宋体"/>
                <w:b/>
                <w:kern w:val="0"/>
                <w:sz w:val="21"/>
                <w:szCs w:val="21"/>
                <w:highlight w:val="none"/>
                <w:lang w:eastAsia="zh-CN"/>
              </w:rPr>
              <w:t>资质证书及安全生产许可证</w:t>
            </w:r>
          </w:p>
          <w:p w14:paraId="4108B8C1">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（复印件加盖</w:t>
            </w:r>
            <w:r>
              <w:rPr>
                <w:rFonts w:hint="eastAsia" w:ascii="宋体" w:hAnsi="宋体" w:eastAsia="宋体" w:cs="宋体"/>
                <w:b/>
                <w:kern w:val="0"/>
                <w:sz w:val="21"/>
                <w:szCs w:val="21"/>
                <w:highlight w:val="none"/>
                <w:lang w:val="en-US" w:eastAsia="zh-CN"/>
              </w:rPr>
              <w:t>供应商</w:t>
            </w:r>
            <w:r>
              <w:rPr>
                <w:rFonts w:hint="eastAsia" w:ascii="宋体" w:hAnsi="宋体" w:eastAsia="宋体" w:cs="宋体"/>
                <w:b/>
                <w:kern w:val="0"/>
                <w:sz w:val="21"/>
                <w:szCs w:val="21"/>
                <w:highlight w:val="none"/>
                <w:lang w:eastAsia="zh-CN"/>
              </w:rPr>
              <w:t>公章）</w:t>
            </w:r>
          </w:p>
        </w:tc>
      </w:tr>
      <w:tr w14:paraId="3049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0" w:type="dxa"/>
            <w:vMerge w:val="continue"/>
          </w:tcPr>
          <w:p w14:paraId="4676DED5">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50037D4A">
            <w:pPr>
              <w:pStyle w:val="7"/>
              <w:keepNext w:val="0"/>
              <w:keepLines w:val="0"/>
              <w:suppressLineNumbers w:val="0"/>
              <w:spacing w:before="0" w:beforeAutospacing="0" w:after="0" w:afterAutospacing="0" w:line="240" w:lineRule="auto"/>
              <w:ind w:left="0" w:right="0" w:firstLine="0"/>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3）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tc>
        <w:tc>
          <w:tcPr>
            <w:tcW w:w="3081" w:type="dxa"/>
            <w:vAlign w:val="center"/>
          </w:tcPr>
          <w:p w14:paraId="701AD169">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提供招标文件规定格式的资格证明书或授权委托书</w:t>
            </w:r>
          </w:p>
          <w:p w14:paraId="613E2F9D">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（复印件加盖供应商公章）</w:t>
            </w:r>
          </w:p>
        </w:tc>
      </w:tr>
      <w:tr w14:paraId="4AF1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900" w:type="dxa"/>
            <w:vMerge w:val="continue"/>
          </w:tcPr>
          <w:p w14:paraId="41459370">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708F0B2A">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4）财务状况报告：供应商须提供2023年度经会计师事务所或审计机构审计的财务会计报表（包括资产负债表、现金流量表、利润表（损益表）和财务报表附注等，成立时间至提交响应文件截止时间不足一年的可提供成立后任意时段的资产负债表）或其基本存款账户开户银行出具的资信证明。其他组织和自然人提供银行出具的资信证明；</w:t>
            </w:r>
          </w:p>
        </w:tc>
        <w:tc>
          <w:tcPr>
            <w:tcW w:w="3081" w:type="dxa"/>
            <w:vAlign w:val="center"/>
          </w:tcPr>
          <w:p w14:paraId="630CE5A0">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提供2023年度经会计师事务所或审计机构审计的财务会计报表或资信证明</w:t>
            </w:r>
          </w:p>
          <w:p w14:paraId="7D30E723">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（复印件加盖供应商公章）</w:t>
            </w:r>
          </w:p>
        </w:tc>
      </w:tr>
      <w:tr w14:paraId="47CE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00" w:type="dxa"/>
            <w:vMerge w:val="continue"/>
          </w:tcPr>
          <w:p w14:paraId="58573540">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782210F9">
            <w:pPr>
              <w:pStyle w:val="7"/>
              <w:keepNext w:val="0"/>
              <w:keepLines w:val="0"/>
              <w:suppressLineNumbers w:val="0"/>
              <w:spacing w:before="0" w:beforeAutospacing="0" w:after="0" w:afterAutospacing="0" w:line="240" w:lineRule="auto"/>
              <w:ind w:left="0" w:right="0" w:firstLine="0"/>
              <w:jc w:val="both"/>
              <w:rPr>
                <w:rFonts w:hint="eastAsia" w:hAnsi="宋体" w:cs="宋体"/>
                <w:sz w:val="21"/>
                <w:szCs w:val="21"/>
                <w:highlight w:val="none"/>
                <w:lang w:val="en-US" w:eastAsia="zh-CN"/>
              </w:rPr>
            </w:pPr>
            <w:r>
              <w:rPr>
                <w:rFonts w:hint="eastAsia" w:hAnsi="宋体" w:cs="宋体"/>
                <w:sz w:val="21"/>
                <w:szCs w:val="21"/>
                <w:highlight w:val="none"/>
                <w:lang w:val="en-US" w:eastAsia="zh-CN"/>
              </w:rPr>
              <w:t>（5）社会保障资金缴纳证明：供应商须提供参加本次政府采购活动2023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tc>
        <w:tc>
          <w:tcPr>
            <w:tcW w:w="3081" w:type="dxa"/>
            <w:vAlign w:val="center"/>
          </w:tcPr>
          <w:p w14:paraId="7A427AAC">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提供参加本次政府采购活动2023年8月至今本单位已缴纳的至少六个月的社会保障资金证明</w:t>
            </w:r>
          </w:p>
          <w:p w14:paraId="3F39FC47">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（复印件加盖供应商公章）</w:t>
            </w:r>
          </w:p>
        </w:tc>
      </w:tr>
      <w:tr w14:paraId="5BB1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0" w:type="dxa"/>
            <w:vMerge w:val="continue"/>
          </w:tcPr>
          <w:p w14:paraId="43E4B920">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bookmarkStart w:id="361" w:name="_Toc9128"/>
          </w:p>
        </w:tc>
        <w:tc>
          <w:tcPr>
            <w:tcW w:w="5125" w:type="dxa"/>
            <w:vAlign w:val="center"/>
          </w:tcPr>
          <w:p w14:paraId="3F2816D9">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（6）税收缴纳证明：供应商须提供参加本次政府采购活动2023年8月至今本单位已缴纳的至少六个月的纳税证明或完税证明（依法免税的单位应提供相关证明材料）；</w:t>
            </w:r>
          </w:p>
        </w:tc>
        <w:tc>
          <w:tcPr>
            <w:tcW w:w="3081" w:type="dxa"/>
            <w:vAlign w:val="center"/>
          </w:tcPr>
          <w:p w14:paraId="3F38BFDA">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提供参加本次政府采购活动2023年8月至今本单位已缴纳的至少六个月的纳税证明或完税证明</w:t>
            </w:r>
          </w:p>
          <w:p w14:paraId="066BDC52">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（复印件加盖供应商公章）</w:t>
            </w:r>
          </w:p>
        </w:tc>
      </w:tr>
      <w:tr w14:paraId="5E93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0" w:type="dxa"/>
            <w:vMerge w:val="continue"/>
          </w:tcPr>
          <w:p w14:paraId="0E22ACB6">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56A02762">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（7）供应商提供参加本次政府采购活动前3年内，在经营活动中没有重大违法记录的书面声明；</w:t>
            </w:r>
          </w:p>
        </w:tc>
        <w:tc>
          <w:tcPr>
            <w:tcW w:w="3081" w:type="dxa"/>
            <w:vAlign w:val="center"/>
          </w:tcPr>
          <w:p w14:paraId="160AA779">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提供书面声明</w:t>
            </w:r>
          </w:p>
          <w:p w14:paraId="46F81CEF">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（书面声明需加盖供应商公章）</w:t>
            </w:r>
          </w:p>
        </w:tc>
      </w:tr>
      <w:tr w14:paraId="1EDA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0" w:type="dxa"/>
            <w:vMerge w:val="continue"/>
          </w:tcPr>
          <w:p w14:paraId="7F0D3090">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1C8D501E">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（8）供应商提供具有履行合同所必需的设备和专业技术能力的承诺函；</w:t>
            </w:r>
          </w:p>
        </w:tc>
        <w:tc>
          <w:tcPr>
            <w:tcW w:w="3081" w:type="dxa"/>
            <w:vAlign w:val="center"/>
          </w:tcPr>
          <w:p w14:paraId="2E6E5C05">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提供书面承诺</w:t>
            </w:r>
          </w:p>
          <w:p w14:paraId="54E09C4F">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（书面承诺需加盖供应商公章）</w:t>
            </w:r>
          </w:p>
        </w:tc>
      </w:tr>
      <w:tr w14:paraId="7918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00" w:type="dxa"/>
            <w:vMerge w:val="continue"/>
          </w:tcPr>
          <w:p w14:paraId="292B3298">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1099621F">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9）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w:t>
            </w:r>
          </w:p>
        </w:tc>
        <w:tc>
          <w:tcPr>
            <w:tcW w:w="3081" w:type="dxa"/>
            <w:vAlign w:val="center"/>
          </w:tcPr>
          <w:p w14:paraId="4E8A84C7">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截图查询内容齐全且查询结果符合招标文件要求</w:t>
            </w:r>
          </w:p>
          <w:p w14:paraId="3E0D3F23">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（截图需加盖供应商公章）</w:t>
            </w:r>
          </w:p>
        </w:tc>
      </w:tr>
      <w:tr w14:paraId="559E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00" w:type="dxa"/>
            <w:vMerge w:val="continue"/>
          </w:tcPr>
          <w:p w14:paraId="0D0758AE">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79831A7B">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（10）单位负责人为同一人或者存在直接控股、管理关系的不同供应商，不得同时参加同一合同项下的政府采购活动；</w:t>
            </w:r>
          </w:p>
        </w:tc>
        <w:tc>
          <w:tcPr>
            <w:tcW w:w="3081" w:type="dxa"/>
            <w:vAlign w:val="center"/>
          </w:tcPr>
          <w:p w14:paraId="1EE92C48">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提供书面承诺</w:t>
            </w:r>
          </w:p>
          <w:p w14:paraId="12186220">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（书面承诺需加盖供应商公章）</w:t>
            </w:r>
          </w:p>
        </w:tc>
      </w:tr>
      <w:tr w14:paraId="017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00" w:type="dxa"/>
            <w:vMerge w:val="continue"/>
          </w:tcPr>
          <w:p w14:paraId="21B3DF81">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76A7DCE3">
            <w:pPr>
              <w:pStyle w:val="7"/>
              <w:keepNext w:val="0"/>
              <w:keepLines w:val="0"/>
              <w:suppressLineNumbers w:val="0"/>
              <w:spacing w:before="0" w:beforeAutospacing="0" w:after="0" w:afterAutospacing="0" w:line="240" w:lineRule="auto"/>
              <w:ind w:left="0" w:right="0" w:firstLine="0"/>
              <w:rPr>
                <w:rFonts w:hint="eastAsia" w:hAnsi="宋体" w:cs="宋体"/>
                <w:sz w:val="21"/>
                <w:szCs w:val="21"/>
                <w:highlight w:val="none"/>
                <w:lang w:val="en-US" w:eastAsia="zh-CN"/>
              </w:rPr>
            </w:pPr>
            <w:r>
              <w:rPr>
                <w:rFonts w:hint="eastAsia" w:hAnsi="宋体" w:cs="宋体"/>
                <w:sz w:val="21"/>
                <w:szCs w:val="21"/>
                <w:highlight w:val="none"/>
                <w:lang w:val="en-US" w:eastAsia="zh-CN"/>
              </w:rPr>
              <w:t>（11）本项目专门面向中小企业采购（供应商应为中小微企业或监狱企业或残疾人福利性单位）；</w:t>
            </w:r>
          </w:p>
        </w:tc>
        <w:tc>
          <w:tcPr>
            <w:tcW w:w="3081" w:type="dxa"/>
            <w:vAlign w:val="center"/>
          </w:tcPr>
          <w:p w14:paraId="2652901B">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提供《中小企业声明函》或《残疾人福利性单位声明函》或《监狱企业证明文件》</w:t>
            </w:r>
          </w:p>
          <w:p w14:paraId="02B00556">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（声明函需加盖供应商公章）</w:t>
            </w:r>
          </w:p>
        </w:tc>
      </w:tr>
      <w:tr w14:paraId="1C78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0" w:type="dxa"/>
            <w:vMerge w:val="continue"/>
          </w:tcPr>
          <w:p w14:paraId="2CF49C2E">
            <w:pPr>
              <w:keepNext w:val="0"/>
              <w:keepLines w:val="0"/>
              <w:suppressLineNumbers w:val="0"/>
              <w:tabs>
                <w:tab w:val="left" w:pos="0"/>
              </w:tabs>
              <w:adjustRightInd w:val="0"/>
              <w:snapToGrid w:val="0"/>
              <w:spacing w:before="0" w:beforeAutospacing="0" w:after="0" w:afterAutospacing="0" w:line="240" w:lineRule="auto"/>
              <w:ind w:left="0" w:right="0"/>
              <w:rPr>
                <w:rFonts w:hint="eastAsia" w:ascii="宋体" w:hAnsi="宋体" w:eastAsia="宋体" w:cs="宋体"/>
                <w:kern w:val="0"/>
                <w:sz w:val="21"/>
                <w:szCs w:val="21"/>
                <w:highlight w:val="none"/>
              </w:rPr>
            </w:pPr>
          </w:p>
        </w:tc>
        <w:tc>
          <w:tcPr>
            <w:tcW w:w="5125" w:type="dxa"/>
            <w:vAlign w:val="center"/>
          </w:tcPr>
          <w:p w14:paraId="352E4229">
            <w:pPr>
              <w:pStyle w:val="7"/>
              <w:keepNext w:val="0"/>
              <w:keepLines w:val="0"/>
              <w:suppressLineNumbers w:val="0"/>
              <w:spacing w:before="0" w:beforeAutospacing="0" w:after="0" w:afterAutospacing="0" w:line="240" w:lineRule="auto"/>
              <w:ind w:left="0" w:leftChars="0" w:right="0" w:rightChars="0" w:firstLine="0" w:firstLineChars="0"/>
              <w:rPr>
                <w:rFonts w:hint="eastAsia" w:hAnsi="宋体" w:cs="宋体"/>
                <w:sz w:val="21"/>
                <w:szCs w:val="21"/>
                <w:highlight w:val="none"/>
                <w:lang w:val="en-US" w:eastAsia="zh-CN"/>
              </w:rPr>
            </w:pPr>
            <w:r>
              <w:rPr>
                <w:rFonts w:hint="eastAsia" w:hAnsi="宋体" w:cs="宋体"/>
                <w:sz w:val="21"/>
                <w:szCs w:val="21"/>
                <w:highlight w:val="none"/>
                <w:lang w:val="en-US" w:eastAsia="zh-CN"/>
              </w:rPr>
              <w:t>（12）本项目不接受联合体投标。</w:t>
            </w:r>
          </w:p>
        </w:tc>
        <w:tc>
          <w:tcPr>
            <w:tcW w:w="3081" w:type="dxa"/>
            <w:vAlign w:val="center"/>
          </w:tcPr>
          <w:p w14:paraId="2BC2D2FC">
            <w:pPr>
              <w:keepNext w:val="0"/>
              <w:keepLines w:val="0"/>
              <w:suppressLineNumbers w:val="0"/>
              <w:tabs>
                <w:tab w:val="left" w:pos="0"/>
              </w:tabs>
              <w:adjustRightInd w:val="0"/>
              <w:snapToGrid w:val="0"/>
              <w:spacing w:before="0" w:beforeAutospacing="0" w:after="0" w:afterAutospacing="0" w:line="240" w:lineRule="auto"/>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提供书面承诺</w:t>
            </w:r>
          </w:p>
          <w:p w14:paraId="7B846097">
            <w:pPr>
              <w:keepNext w:val="0"/>
              <w:keepLines w:val="0"/>
              <w:suppressLineNumbers w:val="0"/>
              <w:tabs>
                <w:tab w:val="left" w:pos="0"/>
              </w:tabs>
              <w:adjustRightInd w:val="0"/>
              <w:snapToGrid w:val="0"/>
              <w:spacing w:before="0" w:beforeAutospacing="0" w:after="0" w:afterAutospacing="0" w:line="240" w:lineRule="auto"/>
              <w:ind w:left="0" w:leftChars="0" w:right="0" w:rightChars="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（书面承诺需加盖供应商公章）</w:t>
            </w:r>
          </w:p>
        </w:tc>
      </w:tr>
      <w:bookmarkEnd w:id="361"/>
      <w:tr w14:paraId="5307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106" w:type="dxa"/>
            <w:gridSpan w:val="3"/>
            <w:vAlign w:val="center"/>
          </w:tcPr>
          <w:p w14:paraId="3E90DF74">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0"/>
                <w:sz w:val="21"/>
                <w:szCs w:val="21"/>
                <w:highlight w:val="none"/>
                <w:lang w:eastAsia="zh-CN"/>
              </w:rPr>
            </w:pPr>
            <w:bookmarkStart w:id="362" w:name="_Toc29940"/>
            <w:bookmarkStart w:id="363" w:name="_Toc18241"/>
            <w:bookmarkStart w:id="364" w:name="_Toc29576"/>
            <w:bookmarkStart w:id="365" w:name="_Toc760"/>
            <w:bookmarkStart w:id="366" w:name="_Toc31725"/>
            <w:bookmarkStart w:id="367" w:name="_Toc31790"/>
            <w:bookmarkStart w:id="368" w:name="_Toc7433"/>
            <w:bookmarkStart w:id="369" w:name="_Toc14208"/>
            <w:bookmarkStart w:id="370" w:name="_Toc31930"/>
            <w:bookmarkStart w:id="371" w:name="_Toc18363"/>
            <w:r>
              <w:rPr>
                <w:rFonts w:hint="eastAsia" w:ascii="宋体" w:hAnsi="宋体" w:eastAsia="宋体" w:cs="宋体"/>
                <w:kern w:val="0"/>
                <w:sz w:val="21"/>
                <w:szCs w:val="21"/>
                <w:highlight w:val="none"/>
                <w:lang w:eastAsia="zh-CN"/>
              </w:rPr>
              <w:t>注：上述</w:t>
            </w: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lang w:eastAsia="zh-CN"/>
              </w:rPr>
              <w:t>项审查条件为供应商必备的资格条件，提供的所有证明材料复印件、截图及承诺书必须清晰且均须加盖供应商公章，若有1项不符合要求，视为资格审查不合格，将被取消投标资格。</w:t>
            </w:r>
            <w:bookmarkEnd w:id="362"/>
            <w:bookmarkEnd w:id="363"/>
            <w:bookmarkEnd w:id="364"/>
            <w:bookmarkEnd w:id="365"/>
            <w:bookmarkEnd w:id="366"/>
            <w:bookmarkEnd w:id="367"/>
            <w:bookmarkEnd w:id="368"/>
            <w:bookmarkEnd w:id="369"/>
            <w:bookmarkEnd w:id="370"/>
            <w:bookmarkEnd w:id="371"/>
          </w:p>
        </w:tc>
      </w:tr>
    </w:tbl>
    <w:p w14:paraId="131E418F">
      <w:pPr>
        <w:keepNext w:val="0"/>
        <w:keepLines w:val="0"/>
        <w:pageBreakBefore w:val="0"/>
        <w:widowControl w:val="0"/>
        <w:kinsoku/>
        <w:wordWrap/>
        <w:overflowPunct/>
        <w:topLinePunct w:val="0"/>
        <w:autoSpaceDE/>
        <w:autoSpaceDN/>
        <w:bidi w:val="0"/>
        <w:adjustRightInd/>
        <w:snapToGrid/>
        <w:spacing w:before="164" w:beforeLines="50" w:line="360"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3.2符合性审查</w:t>
      </w:r>
    </w:p>
    <w:p w14:paraId="4A04F1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kern w:val="0"/>
          <w:sz w:val="24"/>
          <w:highlight w:val="none"/>
        </w:rPr>
        <w:t>评审小组对资格审查合格的投标文件有效性、完整性和对招标文件的响应程度进行审查，以确定其是否对招标文件实质性内容作出响应（</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人可根据具体项目的情况对实质性要求作特别的具体规定）。符合性审查按下表进行：</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83"/>
        <w:gridCol w:w="2300"/>
        <w:gridCol w:w="5253"/>
      </w:tblGrid>
      <w:tr w14:paraId="1DFF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6" w:type="dxa"/>
            <w:vAlign w:val="center"/>
          </w:tcPr>
          <w:p w14:paraId="7A97307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283" w:type="dxa"/>
            <w:gridSpan w:val="2"/>
            <w:vAlign w:val="center"/>
          </w:tcPr>
          <w:p w14:paraId="17BB778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审查因素</w:t>
            </w:r>
          </w:p>
        </w:tc>
        <w:tc>
          <w:tcPr>
            <w:tcW w:w="5253" w:type="dxa"/>
            <w:vAlign w:val="center"/>
          </w:tcPr>
          <w:p w14:paraId="488C93B1">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审查标准</w:t>
            </w:r>
          </w:p>
        </w:tc>
      </w:tr>
      <w:tr w14:paraId="16A4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6" w:type="dxa"/>
            <w:vMerge w:val="restart"/>
            <w:vAlign w:val="center"/>
          </w:tcPr>
          <w:p w14:paraId="17881C81">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83" w:type="dxa"/>
            <w:vMerge w:val="restart"/>
            <w:vAlign w:val="center"/>
          </w:tcPr>
          <w:p w14:paraId="337594E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有效性</w:t>
            </w:r>
            <w:r>
              <w:rPr>
                <w:rFonts w:hint="eastAsia" w:ascii="宋体" w:hAnsi="宋体" w:eastAsia="宋体" w:cs="宋体"/>
                <w:sz w:val="21"/>
                <w:szCs w:val="21"/>
                <w:highlight w:val="none"/>
                <w:lang w:eastAsia="zh-CN"/>
              </w:rPr>
              <w:t>、完整性</w:t>
            </w:r>
            <w:r>
              <w:rPr>
                <w:rFonts w:hint="eastAsia" w:ascii="宋体" w:hAnsi="宋体" w:eastAsia="宋体" w:cs="宋体"/>
                <w:sz w:val="21"/>
                <w:szCs w:val="21"/>
                <w:highlight w:val="none"/>
              </w:rPr>
              <w:t>审查</w:t>
            </w:r>
          </w:p>
        </w:tc>
        <w:tc>
          <w:tcPr>
            <w:tcW w:w="2300" w:type="dxa"/>
            <w:vAlign w:val="center"/>
          </w:tcPr>
          <w:p w14:paraId="1F4A8133">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投标文件的签署、盖章</w:t>
            </w:r>
          </w:p>
        </w:tc>
        <w:tc>
          <w:tcPr>
            <w:tcW w:w="5253" w:type="dxa"/>
            <w:vAlign w:val="center"/>
          </w:tcPr>
          <w:p w14:paraId="5B7BBBEB">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投标文件上法定代表人或其授权代理人的签字</w:t>
            </w:r>
            <w:r>
              <w:rPr>
                <w:rFonts w:hint="eastAsia" w:ascii="宋体" w:hAnsi="宋体" w:eastAsia="宋体" w:cs="宋体"/>
                <w:sz w:val="21"/>
                <w:szCs w:val="21"/>
                <w:highlight w:val="none"/>
                <w:lang w:eastAsia="zh-CN"/>
              </w:rPr>
              <w:t>（或盖章）</w:t>
            </w:r>
            <w:r>
              <w:rPr>
                <w:rFonts w:hint="eastAsia" w:ascii="宋体" w:hAnsi="宋体" w:eastAsia="宋体" w:cs="宋体"/>
                <w:sz w:val="21"/>
                <w:szCs w:val="21"/>
                <w:highlight w:val="none"/>
              </w:rPr>
              <w:t>齐全</w:t>
            </w:r>
            <w:r>
              <w:rPr>
                <w:rFonts w:hint="eastAsia" w:ascii="宋体" w:hAnsi="宋体" w:eastAsia="宋体" w:cs="宋体"/>
                <w:sz w:val="21"/>
                <w:szCs w:val="21"/>
                <w:highlight w:val="none"/>
                <w:lang w:eastAsia="zh-CN"/>
              </w:rPr>
              <w:t>，且单位盖章齐全</w:t>
            </w:r>
            <w:r>
              <w:rPr>
                <w:rFonts w:hint="eastAsia" w:ascii="宋体" w:hAnsi="宋体" w:eastAsia="宋体" w:cs="宋体"/>
                <w:sz w:val="21"/>
                <w:szCs w:val="21"/>
                <w:highlight w:val="none"/>
              </w:rPr>
              <w:t>，符合招标文件要求。</w:t>
            </w:r>
          </w:p>
        </w:tc>
      </w:tr>
      <w:tr w14:paraId="494F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14:paraId="498D450D">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617958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1A8FE39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投标文件递交</w:t>
            </w:r>
          </w:p>
        </w:tc>
        <w:tc>
          <w:tcPr>
            <w:tcW w:w="5253" w:type="dxa"/>
            <w:vAlign w:val="center"/>
          </w:tcPr>
          <w:p w14:paraId="1A8478D5">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须知正文”</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14条的</w:t>
            </w:r>
            <w:r>
              <w:rPr>
                <w:rFonts w:hint="eastAsia" w:ascii="宋体" w:hAnsi="宋体" w:eastAsia="宋体" w:cs="宋体"/>
                <w:sz w:val="21"/>
                <w:szCs w:val="21"/>
                <w:highlight w:val="none"/>
              </w:rPr>
              <w:t>规定要求</w:t>
            </w:r>
          </w:p>
        </w:tc>
      </w:tr>
      <w:tr w14:paraId="2811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86" w:type="dxa"/>
            <w:vMerge w:val="continue"/>
          </w:tcPr>
          <w:p w14:paraId="38A6684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6CEDC5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7F89505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报价唯一性</w:t>
            </w:r>
          </w:p>
        </w:tc>
        <w:tc>
          <w:tcPr>
            <w:tcW w:w="5253" w:type="dxa"/>
            <w:vAlign w:val="center"/>
          </w:tcPr>
          <w:p w14:paraId="7D20EDA7">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只有一个有效报价，未提交选择性报价，且报价未超过</w:t>
            </w:r>
            <w:r>
              <w:rPr>
                <w:rFonts w:hint="eastAsia" w:ascii="宋体" w:hAnsi="宋体" w:eastAsia="宋体" w:cs="宋体"/>
                <w:sz w:val="21"/>
                <w:szCs w:val="21"/>
                <w:highlight w:val="none"/>
                <w:lang w:val="en-US" w:eastAsia="zh-CN"/>
              </w:rPr>
              <w:t>或等于</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最高限价</w:t>
            </w:r>
          </w:p>
        </w:tc>
      </w:tr>
      <w:tr w14:paraId="5762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14:paraId="13C1D52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3F97E63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7C995F9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投标文件内容</w:t>
            </w:r>
          </w:p>
        </w:tc>
        <w:tc>
          <w:tcPr>
            <w:tcW w:w="5253" w:type="dxa"/>
            <w:vAlign w:val="center"/>
          </w:tcPr>
          <w:p w14:paraId="19CF68C5">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投标文件内容齐全完整、无遗漏</w:t>
            </w:r>
          </w:p>
        </w:tc>
      </w:tr>
      <w:tr w14:paraId="02EE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restart"/>
            <w:vAlign w:val="center"/>
          </w:tcPr>
          <w:p w14:paraId="5C71AE1B">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983" w:type="dxa"/>
            <w:vMerge w:val="restart"/>
            <w:vAlign w:val="center"/>
          </w:tcPr>
          <w:p w14:paraId="4D27E7A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投标文件的响应程度审查</w:t>
            </w:r>
          </w:p>
        </w:tc>
        <w:tc>
          <w:tcPr>
            <w:tcW w:w="2300" w:type="dxa"/>
            <w:vAlign w:val="center"/>
          </w:tcPr>
          <w:p w14:paraId="1BF00A9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服务期限</w:t>
            </w:r>
          </w:p>
        </w:tc>
        <w:tc>
          <w:tcPr>
            <w:tcW w:w="5253" w:type="dxa"/>
            <w:vAlign w:val="center"/>
          </w:tcPr>
          <w:p w14:paraId="38E7D0FF">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满足招标文件要求</w:t>
            </w:r>
          </w:p>
        </w:tc>
      </w:tr>
      <w:tr w14:paraId="236E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14:paraId="1B51F12D">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54947DE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418F92E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质量要求</w:t>
            </w:r>
          </w:p>
        </w:tc>
        <w:tc>
          <w:tcPr>
            <w:tcW w:w="5253" w:type="dxa"/>
            <w:vAlign w:val="center"/>
          </w:tcPr>
          <w:p w14:paraId="74A4783B">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w:t>
            </w:r>
          </w:p>
        </w:tc>
      </w:tr>
      <w:tr w14:paraId="426A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14:paraId="18F43C4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6BD22B0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70A5F74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投标有效期</w:t>
            </w:r>
          </w:p>
        </w:tc>
        <w:tc>
          <w:tcPr>
            <w:tcW w:w="5253" w:type="dxa"/>
            <w:vAlign w:val="center"/>
          </w:tcPr>
          <w:p w14:paraId="09C75FC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满足招标文件规定的投标有效期</w:t>
            </w:r>
          </w:p>
        </w:tc>
      </w:tr>
      <w:tr w14:paraId="400C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14:paraId="74EE218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983" w:type="dxa"/>
            <w:vMerge w:val="continue"/>
          </w:tcPr>
          <w:p w14:paraId="7B33FEC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highlight w:val="none"/>
              </w:rPr>
            </w:pPr>
          </w:p>
        </w:tc>
        <w:tc>
          <w:tcPr>
            <w:tcW w:w="2300" w:type="dxa"/>
            <w:vAlign w:val="center"/>
          </w:tcPr>
          <w:p w14:paraId="0F540B04">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对招标文件响应程度</w:t>
            </w:r>
          </w:p>
        </w:tc>
        <w:tc>
          <w:tcPr>
            <w:tcW w:w="5253" w:type="dxa"/>
            <w:vAlign w:val="center"/>
          </w:tcPr>
          <w:p w14:paraId="158ECC1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全面响应，未提出招标人不能接受的附加条件</w:t>
            </w:r>
          </w:p>
        </w:tc>
      </w:tr>
    </w:tbl>
    <w:p w14:paraId="65A66238">
      <w:pPr>
        <w:keepNext w:val="0"/>
        <w:keepLines w:val="0"/>
        <w:pageBreakBefore w:val="0"/>
        <w:widowControl w:val="0"/>
        <w:kinsoku/>
        <w:wordWrap/>
        <w:overflowPunct/>
        <w:topLinePunct w:val="0"/>
        <w:autoSpaceDE/>
        <w:autoSpaceDN/>
        <w:bidi w:val="0"/>
        <w:adjustRightInd/>
        <w:snapToGrid/>
        <w:spacing w:before="164" w:beforeLines="50" w:line="372" w:lineRule="auto"/>
        <w:textAlignment w:val="auto"/>
        <w:rPr>
          <w:rFonts w:hint="eastAsia" w:ascii="宋体" w:hAnsi="宋体" w:eastAsia="宋体" w:cs="宋体"/>
          <w:color w:val="000000" w:themeColor="text1"/>
          <w:spacing w:val="4"/>
          <w:szCs w:val="21"/>
          <w:highlight w:val="none"/>
        </w:rPr>
      </w:pPr>
      <w:r>
        <w:rPr>
          <w:rFonts w:hint="eastAsia" w:ascii="宋体" w:hAnsi="宋体" w:eastAsia="宋体" w:cs="宋体"/>
          <w:b/>
          <w:color w:val="000000" w:themeColor="text1"/>
          <w:spacing w:val="4"/>
          <w:szCs w:val="21"/>
          <w:highlight w:val="none"/>
        </w:rPr>
        <w:t>说明：</w:t>
      </w:r>
      <w:r>
        <w:rPr>
          <w:rFonts w:hint="eastAsia" w:ascii="宋体" w:hAnsi="宋体" w:eastAsia="宋体" w:cs="宋体"/>
          <w:color w:val="000000" w:themeColor="text1"/>
          <w:spacing w:val="4"/>
          <w:szCs w:val="21"/>
          <w:highlight w:val="none"/>
        </w:rPr>
        <w:t>以上各项若有1项不合格，视为未实质性响应招标文件，将被取消投标资格。</w:t>
      </w:r>
    </w:p>
    <w:p w14:paraId="02303209">
      <w:pPr>
        <w:keepNext w:val="0"/>
        <w:keepLines w:val="0"/>
        <w:pageBreakBefore w:val="0"/>
        <w:widowControl w:val="0"/>
        <w:kinsoku/>
        <w:wordWrap/>
        <w:overflowPunct/>
        <w:topLinePunct w:val="0"/>
        <w:autoSpaceDE/>
        <w:autoSpaceDN/>
        <w:bidi w:val="0"/>
        <w:adjustRightInd/>
        <w:snapToGrid/>
        <w:spacing w:line="372"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3.3投标文件的澄清</w:t>
      </w:r>
    </w:p>
    <w:p w14:paraId="7EFBB648">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（1）在评标期间,对于投标文件中含义不明确、同类问题表述不一致或者有明显文字和计算错误的内容，评标委员会应当以书面形式要求</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作出必要的澄清、说明或者补正。</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的澄清、说明或者补正应当采用书面形式，并加盖公章，或者由法定代表人或被授权人签字。</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的澄清、说明或者补正不得超出投标文件的范围或者改变投标文件的实质性内容。</w:t>
      </w:r>
    </w:p>
    <w:p w14:paraId="0B056AD2">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（2）书写错误的评审标准：</w:t>
      </w:r>
    </w:p>
    <w:p w14:paraId="5E1A0179">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评标委员会在评标过程中，发现投标文件出现下列情况之一者，按以下原则修正：</w:t>
      </w:r>
    </w:p>
    <w:p w14:paraId="365E10C8">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a、投标文件中开标一览表(报价表)内容与投标文件中相应内容不一致的，以开标一览表(报价表)</w:t>
      </w:r>
      <w:r>
        <w:rPr>
          <w:rFonts w:hint="eastAsia" w:ascii="宋体" w:hAnsi="宋体" w:eastAsia="宋体" w:cs="宋体"/>
          <w:kern w:val="0"/>
          <w:sz w:val="24"/>
          <w:highlight w:val="none"/>
          <w:lang w:eastAsia="zh-CN"/>
        </w:rPr>
        <w:t>为准；</w:t>
      </w:r>
    </w:p>
    <w:p w14:paraId="33036F90">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b、</w:t>
      </w:r>
      <w:r>
        <w:rPr>
          <w:rFonts w:hint="eastAsia" w:ascii="宋体" w:hAnsi="宋体" w:eastAsia="宋体" w:cs="宋体"/>
          <w:kern w:val="0"/>
          <w:sz w:val="24"/>
          <w:highlight w:val="none"/>
        </w:rPr>
        <w:t>投标报价大写金额与小写金额不一致的，以大写金额为准；</w:t>
      </w:r>
    </w:p>
    <w:p w14:paraId="47807B21">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c</w:t>
      </w:r>
      <w:r>
        <w:rPr>
          <w:rFonts w:hint="eastAsia" w:ascii="宋体" w:hAnsi="宋体" w:eastAsia="宋体" w:cs="宋体"/>
          <w:kern w:val="0"/>
          <w:sz w:val="24"/>
          <w:highlight w:val="none"/>
        </w:rPr>
        <w:t>、单价金额小数点或者百分比有明显错误的，以</w:t>
      </w:r>
      <w:r>
        <w:rPr>
          <w:rFonts w:hint="eastAsia" w:ascii="宋体" w:hAnsi="宋体" w:eastAsia="宋体" w:cs="宋体"/>
          <w:kern w:val="0"/>
          <w:sz w:val="24"/>
          <w:highlight w:val="none"/>
          <w:lang w:eastAsia="zh-CN"/>
        </w:rPr>
        <w:t>开标一览表的</w:t>
      </w:r>
      <w:r>
        <w:rPr>
          <w:rFonts w:hint="eastAsia" w:ascii="宋体" w:hAnsi="宋体" w:eastAsia="宋体" w:cs="宋体"/>
          <w:kern w:val="0"/>
          <w:sz w:val="24"/>
          <w:highlight w:val="none"/>
        </w:rPr>
        <w:t>总价为准，并修改单价；</w:t>
      </w:r>
    </w:p>
    <w:p w14:paraId="62F8022F">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d</w:t>
      </w:r>
      <w:r>
        <w:rPr>
          <w:rFonts w:hint="eastAsia" w:ascii="宋体" w:hAnsi="宋体" w:eastAsia="宋体" w:cs="宋体"/>
          <w:kern w:val="0"/>
          <w:sz w:val="24"/>
          <w:highlight w:val="none"/>
        </w:rPr>
        <w:t>、总价金额与按单价汇总金额不一致的，以单价乘以数量的计算结果为准；</w:t>
      </w:r>
    </w:p>
    <w:p w14:paraId="2B63EFB4">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e</w:t>
      </w:r>
      <w:r>
        <w:rPr>
          <w:rFonts w:hint="eastAsia" w:ascii="宋体" w:hAnsi="宋体" w:eastAsia="宋体" w:cs="宋体"/>
          <w:kern w:val="0"/>
          <w:sz w:val="24"/>
          <w:highlight w:val="none"/>
        </w:rPr>
        <w:t>、投标文件图表与文字不符时，以文字为准；</w:t>
      </w:r>
    </w:p>
    <w:p w14:paraId="7B4F05FA">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f</w:t>
      </w:r>
      <w:r>
        <w:rPr>
          <w:rFonts w:hint="eastAsia" w:ascii="宋体" w:hAnsi="宋体" w:eastAsia="宋体" w:cs="宋体"/>
          <w:kern w:val="0"/>
          <w:sz w:val="24"/>
          <w:highlight w:val="none"/>
        </w:rPr>
        <w:t>、对不同文字文本投标文件的解释发生异议的，以中文文本为准；</w:t>
      </w:r>
    </w:p>
    <w:p w14:paraId="175355E0">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g</w:t>
      </w:r>
      <w:r>
        <w:rPr>
          <w:rFonts w:hint="eastAsia" w:ascii="宋体" w:hAnsi="宋体" w:eastAsia="宋体" w:cs="宋体"/>
          <w:kern w:val="0"/>
          <w:sz w:val="24"/>
          <w:highlight w:val="none"/>
        </w:rPr>
        <w:t>、多处内容交叉不符时，以评标委员会评审结果为准。</w:t>
      </w:r>
    </w:p>
    <w:p w14:paraId="71DE1D43">
      <w:pPr>
        <w:keepNext w:val="0"/>
        <w:keepLines w:val="0"/>
        <w:pageBreakBefore w:val="0"/>
        <w:widowControl w:val="0"/>
        <w:kinsoku/>
        <w:wordWrap/>
        <w:overflowPunct/>
        <w:topLinePunct w:val="0"/>
        <w:autoSpaceDE/>
        <w:autoSpaceDN/>
        <w:bidi w:val="0"/>
        <w:adjustRightInd/>
        <w:snapToGrid/>
        <w:spacing w:line="372" w:lineRule="auto"/>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注：按上述方法修正的内容（其中，同时出现上述a至</w:t>
      </w:r>
      <w:r>
        <w:rPr>
          <w:rFonts w:hint="eastAsia" w:ascii="宋体" w:hAnsi="宋体" w:eastAsia="宋体" w:cs="宋体"/>
          <w:b/>
          <w:bCs/>
          <w:kern w:val="0"/>
          <w:sz w:val="24"/>
          <w:highlight w:val="none"/>
          <w:lang w:val="en-US" w:eastAsia="zh-CN"/>
        </w:rPr>
        <w:t>e</w:t>
      </w:r>
      <w:r>
        <w:rPr>
          <w:rFonts w:hint="eastAsia" w:ascii="宋体" w:hAnsi="宋体" w:eastAsia="宋体" w:cs="宋体"/>
          <w:b/>
          <w:bCs/>
          <w:kern w:val="0"/>
          <w:sz w:val="24"/>
          <w:highlight w:val="none"/>
        </w:rPr>
        <w:t>两种以上不一致的，按上述规定的顺序修正），对于投标文件中含义不明确、同类问题表述不一致或者有明显文字和计算错误的内容，评标委员会应当以书面形式要求投标人作出必要的澄清、说明或者补正经</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确认后产生约束力，</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不确认的，其投标无效。</w:t>
      </w:r>
    </w:p>
    <w:p w14:paraId="44762DB4">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19DB54">
      <w:pPr>
        <w:keepNext w:val="0"/>
        <w:keepLines w:val="0"/>
        <w:pageBreakBefore w:val="0"/>
        <w:widowControl w:val="0"/>
        <w:kinsoku/>
        <w:wordWrap/>
        <w:overflowPunct/>
        <w:topLinePunct w:val="0"/>
        <w:autoSpaceDE/>
        <w:autoSpaceDN/>
        <w:bidi w:val="0"/>
        <w:adjustRightInd/>
        <w:snapToGrid/>
        <w:spacing w:line="372"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3.4评价（详评）</w:t>
      </w:r>
    </w:p>
    <w:p w14:paraId="607FBD45">
      <w:pPr>
        <w:keepNext w:val="0"/>
        <w:keepLines w:val="0"/>
        <w:pageBreakBefore w:val="0"/>
        <w:widowControl w:val="0"/>
        <w:kinsoku/>
        <w:wordWrap/>
        <w:overflowPunct/>
        <w:topLinePunct w:val="0"/>
        <w:autoSpaceDE/>
        <w:autoSpaceDN/>
        <w:bidi w:val="0"/>
        <w:adjustRightInd/>
        <w:snapToGrid/>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对初步审查合格的所有投标文件，由评标委员会各成员按照下列《评标因素及权重分值表》</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规定的内容独立进行综合评价、比较打分，然后汇总每个</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的平均总得分，按最终平均总得分由高到低依次排序，推荐</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w:t>
      </w:r>
    </w:p>
    <w:p w14:paraId="0B761A5B">
      <w:pPr>
        <w:spacing w:line="360" w:lineRule="auto"/>
        <w:ind w:firstLine="498" w:firstLineChars="200"/>
        <w:jc w:val="center"/>
        <w:rPr>
          <w:rFonts w:hint="eastAsia" w:ascii="宋体" w:hAnsi="宋体" w:eastAsia="宋体" w:cs="宋体"/>
          <w:b/>
          <w:spacing w:val="4"/>
          <w:szCs w:val="24"/>
          <w:highlight w:val="none"/>
        </w:rPr>
      </w:pPr>
      <w:r>
        <w:rPr>
          <w:rFonts w:hint="eastAsia" w:ascii="宋体" w:hAnsi="宋体" w:eastAsia="宋体" w:cs="宋体"/>
          <w:b/>
          <w:spacing w:val="4"/>
          <w:szCs w:val="24"/>
          <w:highlight w:val="none"/>
        </w:rPr>
        <w:t>评标因素及权重分值表</w:t>
      </w:r>
    </w:p>
    <w:tbl>
      <w:tblPr>
        <w:tblStyle w:val="2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6"/>
        <w:gridCol w:w="1179"/>
        <w:gridCol w:w="6575"/>
        <w:gridCol w:w="700"/>
      </w:tblGrid>
      <w:tr w14:paraId="43AF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jc w:val="center"/>
        </w:trPr>
        <w:tc>
          <w:tcPr>
            <w:tcW w:w="1036" w:type="dxa"/>
            <w:noWrap w:val="0"/>
            <w:vAlign w:val="center"/>
          </w:tcPr>
          <w:p w14:paraId="5C0D5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评审内容</w:t>
            </w:r>
          </w:p>
        </w:tc>
        <w:tc>
          <w:tcPr>
            <w:tcW w:w="1179" w:type="dxa"/>
            <w:noWrap w:val="0"/>
            <w:vAlign w:val="center"/>
          </w:tcPr>
          <w:p w14:paraId="36737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评审因素</w:t>
            </w:r>
          </w:p>
        </w:tc>
        <w:tc>
          <w:tcPr>
            <w:tcW w:w="6575" w:type="dxa"/>
            <w:noWrap w:val="0"/>
            <w:vAlign w:val="center"/>
          </w:tcPr>
          <w:p w14:paraId="129D4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评审标准</w:t>
            </w:r>
          </w:p>
        </w:tc>
        <w:tc>
          <w:tcPr>
            <w:tcW w:w="700" w:type="dxa"/>
            <w:noWrap w:val="0"/>
            <w:vAlign w:val="center"/>
          </w:tcPr>
          <w:p w14:paraId="2F530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分值</w:t>
            </w:r>
          </w:p>
        </w:tc>
      </w:tr>
      <w:tr w14:paraId="4EA5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2" w:hRule="atLeast"/>
          <w:jc w:val="center"/>
        </w:trPr>
        <w:tc>
          <w:tcPr>
            <w:tcW w:w="1036" w:type="dxa"/>
            <w:noWrap w:val="0"/>
            <w:vAlign w:val="center"/>
          </w:tcPr>
          <w:p w14:paraId="0D8EB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报价</w:t>
            </w:r>
          </w:p>
          <w:p w14:paraId="58FA6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25</w:t>
            </w:r>
            <w:r>
              <w:rPr>
                <w:rFonts w:hint="eastAsia" w:ascii="宋体" w:hAnsi="宋体" w:eastAsia="宋体" w:cs="宋体"/>
                <w:color w:val="000000"/>
                <w:kern w:val="0"/>
                <w:sz w:val="24"/>
                <w:szCs w:val="24"/>
                <w:highlight w:val="none"/>
                <w:lang w:bidi="ar"/>
              </w:rPr>
              <w:t>分）</w:t>
            </w:r>
          </w:p>
        </w:tc>
        <w:tc>
          <w:tcPr>
            <w:tcW w:w="1179" w:type="dxa"/>
            <w:noWrap w:val="0"/>
            <w:vAlign w:val="center"/>
          </w:tcPr>
          <w:p w14:paraId="2E885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投标报价</w:t>
            </w:r>
          </w:p>
        </w:tc>
        <w:tc>
          <w:tcPr>
            <w:tcW w:w="6575" w:type="dxa"/>
            <w:noWrap w:val="0"/>
            <w:vAlign w:val="center"/>
          </w:tcPr>
          <w:p w14:paraId="1D668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按照财政部《政府采购货物和服务招标投标管理办法》（财政部令第87号）的有关规定：价格分采用低价优先法计算，</w:t>
            </w:r>
            <w:r>
              <w:rPr>
                <w:rFonts w:hint="eastAsia" w:ascii="宋体" w:hAnsi="宋体" w:eastAsia="宋体" w:cs="宋体"/>
                <w:sz w:val="24"/>
                <w:szCs w:val="24"/>
                <w:highlight w:val="none"/>
                <w:lang w:eastAsia="zh-CN"/>
              </w:rPr>
              <w:t>将</w:t>
            </w:r>
            <w:r>
              <w:rPr>
                <w:rFonts w:hint="eastAsia" w:ascii="宋体" w:hAnsi="宋体" w:eastAsia="宋体" w:cs="宋体"/>
                <w:sz w:val="24"/>
                <w:szCs w:val="24"/>
                <w:highlight w:val="none"/>
              </w:rPr>
              <w:t>满足招标文件要求且投标</w:t>
            </w:r>
            <w:r>
              <w:rPr>
                <w:rFonts w:hint="eastAsia" w:ascii="宋体" w:hAnsi="宋体" w:eastAsia="宋体" w:cs="宋体"/>
                <w:sz w:val="24"/>
                <w:szCs w:val="24"/>
                <w:highlight w:val="none"/>
                <w:lang w:eastAsia="zh-CN"/>
              </w:rPr>
              <w:t>报</w:t>
            </w:r>
            <w:r>
              <w:rPr>
                <w:rFonts w:hint="eastAsia" w:ascii="宋体" w:hAnsi="宋体" w:eastAsia="宋体" w:cs="宋体"/>
                <w:sz w:val="24"/>
                <w:szCs w:val="24"/>
                <w:highlight w:val="none"/>
              </w:rPr>
              <w:t>价最低的投标报价作为评标基准价，其价格分为满分。其他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的价格分统一按照下列公式计算：</w:t>
            </w:r>
          </w:p>
          <w:p w14:paraId="025B1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投标报价得分=（评标基准价/投标报价）×价格权值×100</w:t>
            </w:r>
          </w:p>
          <w:p w14:paraId="3E6B1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注：</w:t>
            </w:r>
            <w:r>
              <w:rPr>
                <w:rFonts w:hint="eastAsia" w:ascii="宋体" w:hAnsi="宋体" w:eastAsia="宋体" w:cs="宋体"/>
                <w:b/>
                <w:bCs/>
                <w:kern w:val="0"/>
                <w:sz w:val="24"/>
                <w:highlight w:val="none"/>
                <w:lang w:eastAsia="zh-CN" w:bidi="ar"/>
              </w:rPr>
              <w:t>本项目为专门面向中小企业</w:t>
            </w:r>
            <w:r>
              <w:rPr>
                <w:rFonts w:hint="eastAsia" w:ascii="宋体" w:hAnsi="宋体" w:eastAsia="宋体" w:cs="宋体"/>
                <w:b/>
                <w:bCs/>
                <w:kern w:val="0"/>
                <w:sz w:val="24"/>
                <w:highlight w:val="none"/>
                <w:lang w:val="en-US" w:eastAsia="zh-CN" w:bidi="ar"/>
              </w:rPr>
              <w:t>采购</w:t>
            </w:r>
            <w:r>
              <w:rPr>
                <w:rFonts w:hint="eastAsia" w:ascii="宋体" w:hAnsi="宋体" w:eastAsia="宋体" w:cs="宋体"/>
                <w:b/>
                <w:bCs/>
                <w:kern w:val="0"/>
                <w:sz w:val="24"/>
                <w:highlight w:val="none"/>
                <w:lang w:eastAsia="zh-CN" w:bidi="ar"/>
              </w:rPr>
              <w:t>项目，专门面向中小企业采购的项目，不再执行价格评审优惠的扶持政策。</w:t>
            </w:r>
          </w:p>
        </w:tc>
        <w:tc>
          <w:tcPr>
            <w:tcW w:w="700" w:type="dxa"/>
            <w:noWrap w:val="0"/>
            <w:vAlign w:val="center"/>
          </w:tcPr>
          <w:p w14:paraId="74F23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25</w:t>
            </w:r>
          </w:p>
        </w:tc>
      </w:tr>
      <w:tr w14:paraId="2FD3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2" w:hRule="atLeast"/>
          <w:jc w:val="center"/>
        </w:trPr>
        <w:tc>
          <w:tcPr>
            <w:tcW w:w="1036" w:type="dxa"/>
            <w:vMerge w:val="restart"/>
            <w:noWrap w:val="0"/>
            <w:vAlign w:val="center"/>
          </w:tcPr>
          <w:p w14:paraId="50630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技术方案（</w:t>
            </w:r>
            <w:r>
              <w:rPr>
                <w:rFonts w:hint="eastAsia" w:ascii="宋体" w:hAnsi="宋体" w:eastAsia="宋体" w:cs="宋体"/>
                <w:color w:val="000000"/>
                <w:kern w:val="0"/>
                <w:sz w:val="24"/>
                <w:szCs w:val="24"/>
                <w:highlight w:val="none"/>
                <w:lang w:val="en-US" w:eastAsia="zh-CN" w:bidi="ar"/>
              </w:rPr>
              <w:t>50分</w:t>
            </w:r>
            <w:r>
              <w:rPr>
                <w:rFonts w:hint="eastAsia" w:ascii="宋体" w:hAnsi="宋体" w:eastAsia="宋体" w:cs="宋体"/>
                <w:color w:val="000000"/>
                <w:kern w:val="0"/>
                <w:sz w:val="24"/>
                <w:szCs w:val="24"/>
                <w:highlight w:val="none"/>
                <w:lang w:eastAsia="zh-CN" w:bidi="ar"/>
              </w:rPr>
              <w:t>）</w:t>
            </w:r>
          </w:p>
        </w:tc>
        <w:tc>
          <w:tcPr>
            <w:tcW w:w="1179" w:type="dxa"/>
            <w:noWrap w:val="0"/>
            <w:vAlign w:val="center"/>
          </w:tcPr>
          <w:p w14:paraId="4D9CFCC4">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kern w:val="0"/>
                <w:szCs w:val="21"/>
                <w:lang w:eastAsia="zh-CN"/>
              </w:rPr>
              <w:t>服务方案</w:t>
            </w:r>
          </w:p>
        </w:tc>
        <w:tc>
          <w:tcPr>
            <w:tcW w:w="6575" w:type="dxa"/>
            <w:noWrap w:val="0"/>
            <w:vAlign w:val="center"/>
          </w:tcPr>
          <w:p w14:paraId="452B5251">
            <w:pPr>
              <w:keepNext w:val="0"/>
              <w:keepLines w:val="0"/>
              <w:suppressLineNumbers w:val="0"/>
              <w:spacing w:before="0" w:beforeAutospacing="0" w:after="0" w:afterAutospacing="0" w:line="320" w:lineRule="exact"/>
              <w:ind w:left="0" w:right="0"/>
              <w:jc w:val="left"/>
              <w:rPr>
                <w:rFonts w:hint="eastAsia" w:asciiTheme="minorEastAsia" w:hAnsiTheme="minorEastAsia" w:cstheme="minorEastAsia"/>
                <w:kern w:val="0"/>
                <w:szCs w:val="21"/>
              </w:rPr>
            </w:pPr>
            <w:r>
              <w:rPr>
                <w:rFonts w:hint="eastAsia" w:ascii="仿宋_GB2312" w:eastAsia="宋体" w:cs="宋体"/>
                <w:color w:val="000000"/>
                <w:kern w:val="0"/>
                <w:szCs w:val="21"/>
                <w:highlight w:val="none"/>
                <w:lang w:eastAsia="zh-CN"/>
              </w:rPr>
              <w:t>根据本项目的采购内容及要求，投标人编制的</w:t>
            </w:r>
            <w:r>
              <w:rPr>
                <w:rFonts w:hint="eastAsia" w:ascii="宋体" w:hAnsi="宋体" w:eastAsia="宋体" w:cs="宋体"/>
                <w:kern w:val="0"/>
                <w:sz w:val="24"/>
                <w:szCs w:val="24"/>
                <w:highlight w:val="none"/>
                <w:lang w:eastAsia="zh-CN"/>
              </w:rPr>
              <w:t>绿化管护、卫生保洁及设施维护</w:t>
            </w:r>
            <w:r>
              <w:rPr>
                <w:rFonts w:hint="eastAsia" w:asciiTheme="minorEastAsia" w:hAnsiTheme="minorEastAsia" w:cstheme="minorEastAsia"/>
                <w:kern w:val="0"/>
                <w:szCs w:val="21"/>
              </w:rPr>
              <w:t>服务方案全面</w:t>
            </w:r>
            <w:r>
              <w:rPr>
                <w:rFonts w:hint="eastAsia" w:asciiTheme="minorEastAsia" w:hAnsiTheme="minorEastAsia" w:cstheme="minorEastAsia"/>
                <w:kern w:val="0"/>
                <w:szCs w:val="21"/>
                <w:lang w:eastAsia="zh-CN"/>
              </w:rPr>
              <w:t>完善</w:t>
            </w:r>
            <w:r>
              <w:rPr>
                <w:rFonts w:hint="eastAsia" w:asciiTheme="minorEastAsia" w:hAnsiTheme="minorEastAsia" w:cstheme="minorEastAsia"/>
                <w:kern w:val="0"/>
                <w:szCs w:val="21"/>
              </w:rPr>
              <w:t>、科学合理、规范、可操作性强得</w:t>
            </w:r>
            <w:r>
              <w:rPr>
                <w:rFonts w:hint="eastAsia" w:asciiTheme="minorEastAsia" w:hAnsiTheme="minorEastAsia" w:cstheme="minorEastAsia"/>
                <w:kern w:val="0"/>
                <w:szCs w:val="21"/>
                <w:lang w:val="en-US" w:eastAsia="zh-CN"/>
              </w:rPr>
              <w:t>15-20</w:t>
            </w:r>
            <w:r>
              <w:rPr>
                <w:rFonts w:hint="eastAsia" w:asciiTheme="minorEastAsia" w:hAnsiTheme="minorEastAsia" w:cstheme="minorEastAsia"/>
                <w:kern w:val="0"/>
                <w:szCs w:val="21"/>
              </w:rPr>
              <w:t>分；</w:t>
            </w:r>
          </w:p>
          <w:p w14:paraId="73259633">
            <w:pPr>
              <w:keepNext w:val="0"/>
              <w:keepLines w:val="0"/>
              <w:suppressLineNumbers w:val="0"/>
              <w:spacing w:before="0" w:beforeAutospacing="0" w:after="0" w:afterAutospacing="0" w:line="320" w:lineRule="exact"/>
              <w:ind w:left="0" w:right="0"/>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t>服务方案较为合理、规范、具有一定操作性得</w:t>
            </w:r>
            <w:r>
              <w:rPr>
                <w:rFonts w:hint="eastAsia" w:asciiTheme="minorEastAsia" w:hAnsiTheme="minorEastAsia" w:cstheme="minorEastAsia"/>
                <w:kern w:val="0"/>
                <w:szCs w:val="21"/>
                <w:lang w:val="en-US" w:eastAsia="zh-CN"/>
              </w:rPr>
              <w:t>10</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15</w:t>
            </w:r>
            <w:r>
              <w:rPr>
                <w:rFonts w:hint="eastAsia" w:asciiTheme="minorEastAsia" w:hAnsiTheme="minorEastAsia" w:cstheme="minorEastAsia"/>
                <w:kern w:val="0"/>
                <w:szCs w:val="21"/>
              </w:rPr>
              <w:t>分；</w:t>
            </w:r>
          </w:p>
          <w:p w14:paraId="14486118">
            <w:pPr>
              <w:keepNext w:val="0"/>
              <w:keepLines w:val="0"/>
              <w:suppressLineNumbers w:val="0"/>
              <w:spacing w:before="0" w:beforeAutospacing="0" w:after="0" w:afterAutospacing="0" w:line="320" w:lineRule="exact"/>
              <w:ind w:left="0" w:leftChars="0" w:right="0" w:rightChars="0"/>
              <w:jc w:val="left"/>
              <w:rPr>
                <w:rFonts w:hint="default"/>
                <w:lang w:val="en-US" w:eastAsia="zh-CN"/>
              </w:rPr>
            </w:pPr>
            <w:r>
              <w:rPr>
                <w:rFonts w:hint="eastAsia" w:asciiTheme="minorEastAsia" w:hAnsiTheme="minorEastAsia" w:cstheme="minorEastAsia"/>
                <w:kern w:val="0"/>
                <w:szCs w:val="21"/>
              </w:rPr>
              <w:t>服务方案简单，不具备操作性得</w:t>
            </w:r>
            <w:r>
              <w:rPr>
                <w:rFonts w:hint="eastAsia" w:asciiTheme="minorEastAsia" w:hAnsiTheme="minorEastAsia" w:cstheme="minorEastAsia"/>
                <w:kern w:val="0"/>
                <w:szCs w:val="21"/>
                <w:lang w:val="en-US" w:eastAsia="zh-CN"/>
              </w:rPr>
              <w:t>5</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10</w:t>
            </w:r>
            <w:r>
              <w:rPr>
                <w:rFonts w:hint="eastAsia" w:asciiTheme="minorEastAsia" w:hAnsiTheme="minorEastAsia" w:cstheme="minorEastAsia"/>
                <w:kern w:val="0"/>
                <w:szCs w:val="21"/>
              </w:rPr>
              <w:t>分；不提供不得分。</w:t>
            </w:r>
          </w:p>
        </w:tc>
        <w:tc>
          <w:tcPr>
            <w:tcW w:w="700" w:type="dxa"/>
            <w:noWrap w:val="0"/>
            <w:vAlign w:val="center"/>
          </w:tcPr>
          <w:p w14:paraId="1AC2CC32">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color w:val="000000"/>
                <w:kern w:val="0"/>
                <w:sz w:val="24"/>
                <w:szCs w:val="24"/>
                <w:highlight w:val="none"/>
                <w:lang w:val="en-US" w:eastAsia="zh-CN" w:bidi="ar"/>
              </w:rPr>
            </w:pPr>
            <w:r>
              <w:rPr>
                <w:rFonts w:hint="eastAsia" w:asciiTheme="minorEastAsia" w:hAnsiTheme="minorEastAsia" w:cstheme="minorEastAsia"/>
                <w:color w:val="000000"/>
                <w:kern w:val="0"/>
                <w:szCs w:val="21"/>
                <w:lang w:val="en-US" w:eastAsia="zh-CN" w:bidi="ar"/>
              </w:rPr>
              <w:t>20</w:t>
            </w:r>
          </w:p>
        </w:tc>
      </w:tr>
      <w:tr w14:paraId="6737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9" w:hRule="atLeast"/>
          <w:jc w:val="center"/>
        </w:trPr>
        <w:tc>
          <w:tcPr>
            <w:tcW w:w="1036" w:type="dxa"/>
            <w:vMerge w:val="continue"/>
            <w:noWrap w:val="0"/>
            <w:vAlign w:val="center"/>
          </w:tcPr>
          <w:p w14:paraId="311F8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eastAsia="zh-CN" w:bidi="ar"/>
              </w:rPr>
            </w:pPr>
          </w:p>
        </w:tc>
        <w:tc>
          <w:tcPr>
            <w:tcW w:w="1179" w:type="dxa"/>
            <w:noWrap w:val="0"/>
            <w:vAlign w:val="center"/>
          </w:tcPr>
          <w:p w14:paraId="64F5117F">
            <w:pPr>
              <w:keepNext w:val="0"/>
              <w:keepLines w:val="0"/>
              <w:suppressLineNumbers w:val="0"/>
              <w:spacing w:before="0" w:beforeAutospacing="0" w:after="0" w:afterAutospacing="0" w:line="320" w:lineRule="exact"/>
              <w:ind w:left="0" w:leftChars="0" w:right="0" w:rightChars="0"/>
              <w:jc w:val="center"/>
              <w:rPr>
                <w:rFonts w:hint="default" w:ascii="宋体" w:hAnsi="宋体" w:eastAsia="宋体" w:cs="宋体"/>
                <w:color w:val="000000"/>
                <w:kern w:val="0"/>
                <w:sz w:val="24"/>
                <w:szCs w:val="24"/>
                <w:highlight w:val="none"/>
                <w:lang w:val="en-US" w:eastAsia="zh-CN" w:bidi="ar"/>
              </w:rPr>
            </w:pPr>
            <w:r>
              <w:rPr>
                <w:rFonts w:hint="eastAsia"/>
                <w:lang w:val="en-US" w:eastAsia="zh-CN"/>
              </w:rPr>
              <w:t>质量保证措施</w:t>
            </w:r>
          </w:p>
        </w:tc>
        <w:tc>
          <w:tcPr>
            <w:tcW w:w="6575" w:type="dxa"/>
            <w:noWrap w:val="0"/>
            <w:vAlign w:val="center"/>
          </w:tcPr>
          <w:p w14:paraId="612B1EB6">
            <w:pPr>
              <w:keepNext w:val="0"/>
              <w:keepLines w:val="0"/>
              <w:suppressLineNumbers w:val="0"/>
              <w:spacing w:before="0" w:beforeAutospacing="0" w:after="0" w:afterAutospacing="0" w:line="320" w:lineRule="exact"/>
              <w:ind w:left="0" w:leftChars="0" w:right="0" w:rightChars="0"/>
              <w:jc w:val="left"/>
              <w:rPr>
                <w:rFonts w:hint="default"/>
                <w:lang w:val="en-US" w:eastAsia="zh-CN"/>
              </w:rPr>
            </w:pPr>
            <w:r>
              <w:rPr>
                <w:rFonts w:hint="eastAsia" w:asciiTheme="minorEastAsia" w:hAnsiTheme="minorEastAsia" w:cstheme="minorEastAsia"/>
                <w:kern w:val="0"/>
                <w:szCs w:val="21"/>
              </w:rPr>
              <w:t>质量目标明确，控制措施及制度完善，实施工艺、手段先进、可行的得</w:t>
            </w:r>
            <w:r>
              <w:rPr>
                <w:rFonts w:hint="eastAsia" w:asciiTheme="minorEastAsia" w:hAnsiTheme="minorEastAsia" w:cstheme="minorEastAsia"/>
                <w:kern w:val="0"/>
                <w:szCs w:val="21"/>
                <w:lang w:val="en-US" w:eastAsia="zh-CN"/>
              </w:rPr>
              <w:t>6-10</w:t>
            </w:r>
            <w:r>
              <w:rPr>
                <w:rFonts w:hint="eastAsia" w:asciiTheme="minorEastAsia" w:hAnsiTheme="minorEastAsia" w:cstheme="minorEastAsia"/>
                <w:kern w:val="0"/>
                <w:szCs w:val="21"/>
              </w:rPr>
              <w:t>分；质量目标基本明确，控制措施基本</w:t>
            </w:r>
            <w:r>
              <w:rPr>
                <w:rFonts w:hint="eastAsia" w:asciiTheme="minorEastAsia" w:hAnsiTheme="minorEastAsia" w:cstheme="minorEastAsia"/>
                <w:kern w:val="0"/>
                <w:szCs w:val="21"/>
                <w:lang w:eastAsia="zh-CN"/>
              </w:rPr>
              <w:t>完善、实施基本可行的</w:t>
            </w:r>
            <w:r>
              <w:rPr>
                <w:rFonts w:hint="eastAsia" w:asciiTheme="minorEastAsia" w:hAnsiTheme="minorEastAsia" w:cstheme="minorEastAsia"/>
                <w:kern w:val="0"/>
                <w:szCs w:val="21"/>
              </w:rPr>
              <w:t>得</w:t>
            </w:r>
            <w:r>
              <w:rPr>
                <w:rFonts w:hint="eastAsia" w:asciiTheme="minorEastAsia" w:hAnsiTheme="minorEastAsia" w:cstheme="minorEastAsia"/>
                <w:kern w:val="0"/>
                <w:szCs w:val="21"/>
                <w:lang w:val="en-US" w:eastAsia="zh-CN"/>
              </w:rPr>
              <w:t>3-6</w:t>
            </w:r>
            <w:r>
              <w:rPr>
                <w:rFonts w:hint="eastAsia" w:asciiTheme="minorEastAsia" w:hAnsiTheme="minorEastAsia" w:cstheme="minorEastAsia"/>
                <w:kern w:val="0"/>
                <w:szCs w:val="21"/>
              </w:rPr>
              <w:t>分；质量目标基本明确，控制措施不</w:t>
            </w:r>
            <w:r>
              <w:rPr>
                <w:rFonts w:hint="eastAsia" w:asciiTheme="minorEastAsia" w:hAnsiTheme="minorEastAsia" w:cstheme="minorEastAsia"/>
                <w:kern w:val="0"/>
                <w:szCs w:val="21"/>
                <w:lang w:eastAsia="zh-CN"/>
              </w:rPr>
              <w:t>完善的</w:t>
            </w:r>
            <w:r>
              <w:rPr>
                <w:rFonts w:hint="eastAsia" w:asciiTheme="minorEastAsia" w:hAnsiTheme="minorEastAsia" w:cstheme="minorEastAsia"/>
                <w:kern w:val="0"/>
                <w:szCs w:val="21"/>
              </w:rPr>
              <w:t>得0-</w:t>
            </w:r>
            <w:r>
              <w:rPr>
                <w:rFonts w:hint="eastAsia" w:asciiTheme="minorEastAsia" w:hAnsiTheme="minorEastAsia" w:cstheme="minorEastAsia"/>
                <w:kern w:val="0"/>
                <w:szCs w:val="21"/>
                <w:lang w:val="en-US" w:eastAsia="zh-CN"/>
              </w:rPr>
              <w:t>3</w:t>
            </w:r>
            <w:r>
              <w:rPr>
                <w:rFonts w:hint="eastAsia" w:asciiTheme="minorEastAsia" w:hAnsiTheme="minorEastAsia" w:cstheme="minorEastAsia"/>
                <w:kern w:val="0"/>
                <w:szCs w:val="21"/>
              </w:rPr>
              <w:t>分</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不提供不得分。</w:t>
            </w:r>
          </w:p>
        </w:tc>
        <w:tc>
          <w:tcPr>
            <w:tcW w:w="700" w:type="dxa"/>
            <w:noWrap w:val="0"/>
            <w:vAlign w:val="center"/>
          </w:tcPr>
          <w:p w14:paraId="65D1169C">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color w:val="000000"/>
                <w:kern w:val="0"/>
                <w:sz w:val="24"/>
                <w:szCs w:val="24"/>
                <w:highlight w:val="none"/>
                <w:lang w:val="en-US" w:eastAsia="zh-CN" w:bidi="ar"/>
              </w:rPr>
            </w:pPr>
            <w:r>
              <w:rPr>
                <w:rFonts w:hint="eastAsia" w:asciiTheme="minorEastAsia" w:hAnsiTheme="minorEastAsia" w:cstheme="minorEastAsia"/>
                <w:color w:val="000000"/>
                <w:kern w:val="0"/>
                <w:szCs w:val="21"/>
                <w:lang w:val="en-US" w:eastAsia="zh-CN" w:bidi="ar"/>
              </w:rPr>
              <w:t>10</w:t>
            </w:r>
          </w:p>
        </w:tc>
      </w:tr>
      <w:tr w14:paraId="77E5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6" w:hRule="atLeast"/>
          <w:jc w:val="center"/>
        </w:trPr>
        <w:tc>
          <w:tcPr>
            <w:tcW w:w="1036" w:type="dxa"/>
            <w:vMerge w:val="continue"/>
            <w:noWrap w:val="0"/>
            <w:vAlign w:val="center"/>
          </w:tcPr>
          <w:p w14:paraId="34B5B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bottom"/>
              <w:rPr>
                <w:rFonts w:hint="eastAsia" w:ascii="宋体" w:hAnsi="宋体" w:eastAsia="宋体" w:cs="宋体"/>
                <w:color w:val="000000"/>
                <w:kern w:val="0"/>
                <w:sz w:val="24"/>
                <w:szCs w:val="24"/>
                <w:highlight w:val="none"/>
                <w:lang w:eastAsia="zh-CN" w:bidi="ar"/>
              </w:rPr>
            </w:pPr>
          </w:p>
        </w:tc>
        <w:tc>
          <w:tcPr>
            <w:tcW w:w="1179" w:type="dxa"/>
            <w:noWrap w:val="0"/>
            <w:vAlign w:val="center"/>
          </w:tcPr>
          <w:p w14:paraId="3C62DDB1">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000000"/>
                <w:kern w:val="0"/>
                <w:sz w:val="24"/>
                <w:szCs w:val="24"/>
                <w:highlight w:val="none"/>
                <w:lang w:val="en-US" w:eastAsia="zh-CN" w:bidi="ar"/>
              </w:rPr>
            </w:pPr>
            <w:r>
              <w:rPr>
                <w:rFonts w:hint="eastAsia"/>
                <w:lang w:val="en-US" w:eastAsia="zh-CN"/>
              </w:rPr>
              <w:t>安全保证措施</w:t>
            </w:r>
          </w:p>
        </w:tc>
        <w:tc>
          <w:tcPr>
            <w:tcW w:w="6575" w:type="dxa"/>
            <w:noWrap w:val="0"/>
            <w:vAlign w:val="center"/>
          </w:tcPr>
          <w:p w14:paraId="419FA919">
            <w:pPr>
              <w:keepNext w:val="0"/>
              <w:keepLines w:val="0"/>
              <w:suppressLineNumbers w:val="0"/>
              <w:spacing w:before="0" w:beforeAutospacing="0" w:after="0" w:afterAutospacing="0" w:line="320" w:lineRule="exact"/>
              <w:ind w:left="0" w:leftChars="0" w:right="0" w:rightChars="0"/>
              <w:jc w:val="left"/>
              <w:rPr>
                <w:rFonts w:hint="eastAsia"/>
                <w:highlight w:val="none"/>
                <w:lang w:val="en-US" w:eastAsia="zh-CN"/>
              </w:rPr>
            </w:pPr>
            <w:r>
              <w:rPr>
                <w:rFonts w:hint="eastAsia" w:asciiTheme="minorEastAsia" w:hAnsiTheme="minorEastAsia" w:cstheme="minorEastAsia"/>
                <w:kern w:val="0"/>
                <w:szCs w:val="21"/>
                <w:lang w:eastAsia="zh-CN"/>
              </w:rPr>
              <w:t>安全保证措施及制度完整、到位，可行性强的得</w:t>
            </w:r>
            <w:r>
              <w:rPr>
                <w:rFonts w:hint="eastAsia" w:asciiTheme="minorEastAsia" w:hAnsiTheme="minorEastAsia" w:cstheme="minorEastAsia"/>
                <w:kern w:val="0"/>
                <w:szCs w:val="21"/>
                <w:lang w:val="en-US" w:eastAsia="zh-CN"/>
              </w:rPr>
              <w:t>6-10</w:t>
            </w:r>
            <w:r>
              <w:rPr>
                <w:rFonts w:hint="eastAsia" w:asciiTheme="minorEastAsia" w:hAnsiTheme="minorEastAsia" w:cstheme="minorEastAsia"/>
                <w:kern w:val="0"/>
                <w:szCs w:val="21"/>
                <w:lang w:eastAsia="zh-CN"/>
              </w:rPr>
              <w:t>分；安全保证措施及制度基本完整、基本可行的得</w:t>
            </w:r>
            <w:r>
              <w:rPr>
                <w:rFonts w:hint="eastAsia" w:asciiTheme="minorEastAsia" w:hAnsiTheme="minorEastAsia" w:cstheme="minorEastAsia"/>
                <w:kern w:val="0"/>
                <w:szCs w:val="21"/>
                <w:lang w:val="en-US" w:eastAsia="zh-CN"/>
              </w:rPr>
              <w:t>3-6</w:t>
            </w:r>
            <w:r>
              <w:rPr>
                <w:rFonts w:hint="eastAsia" w:asciiTheme="minorEastAsia" w:hAnsiTheme="minorEastAsia" w:cstheme="minorEastAsia"/>
                <w:kern w:val="0"/>
                <w:szCs w:val="21"/>
                <w:lang w:eastAsia="zh-CN"/>
              </w:rPr>
              <w:t>分；安全保证措施及制度基本完整、可行性差的得</w:t>
            </w:r>
            <w:r>
              <w:rPr>
                <w:rFonts w:hint="eastAsia" w:asciiTheme="minorEastAsia" w:hAnsiTheme="minorEastAsia" w:cstheme="minorEastAsia"/>
                <w:kern w:val="0"/>
                <w:szCs w:val="21"/>
                <w:lang w:val="en-US" w:eastAsia="zh-CN"/>
              </w:rPr>
              <w:t>0-3</w:t>
            </w:r>
            <w:r>
              <w:rPr>
                <w:rFonts w:hint="eastAsia" w:asciiTheme="minorEastAsia" w:hAnsiTheme="minorEastAsia" w:cstheme="minorEastAsia"/>
                <w:kern w:val="0"/>
                <w:szCs w:val="21"/>
                <w:lang w:eastAsia="zh-CN"/>
              </w:rPr>
              <w:t>分；</w:t>
            </w:r>
            <w:r>
              <w:rPr>
                <w:rFonts w:hint="eastAsia" w:asciiTheme="minorEastAsia" w:hAnsiTheme="minorEastAsia" w:cstheme="minorEastAsia"/>
                <w:kern w:val="0"/>
                <w:szCs w:val="21"/>
              </w:rPr>
              <w:t>不提供不得分。</w:t>
            </w:r>
          </w:p>
        </w:tc>
        <w:tc>
          <w:tcPr>
            <w:tcW w:w="700" w:type="dxa"/>
            <w:noWrap w:val="0"/>
            <w:vAlign w:val="center"/>
          </w:tcPr>
          <w:p w14:paraId="2D25FEB5">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color w:val="000000"/>
                <w:kern w:val="0"/>
                <w:sz w:val="24"/>
                <w:szCs w:val="24"/>
                <w:highlight w:val="none"/>
                <w:lang w:val="en-US" w:eastAsia="zh-CN" w:bidi="ar"/>
              </w:rPr>
            </w:pPr>
            <w:r>
              <w:rPr>
                <w:rFonts w:hint="eastAsia" w:asciiTheme="minorEastAsia" w:hAnsiTheme="minorEastAsia" w:cstheme="minorEastAsia"/>
                <w:color w:val="000000"/>
                <w:kern w:val="0"/>
                <w:szCs w:val="21"/>
                <w:lang w:val="en-US" w:eastAsia="zh-CN" w:bidi="ar"/>
              </w:rPr>
              <w:t>10</w:t>
            </w:r>
          </w:p>
        </w:tc>
      </w:tr>
      <w:tr w14:paraId="6001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jc w:val="center"/>
        </w:trPr>
        <w:tc>
          <w:tcPr>
            <w:tcW w:w="1036" w:type="dxa"/>
            <w:vMerge w:val="continue"/>
            <w:noWrap w:val="0"/>
            <w:vAlign w:val="center"/>
          </w:tcPr>
          <w:p w14:paraId="3BA2C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center"/>
              <w:rPr>
                <w:rFonts w:hint="eastAsia" w:ascii="宋体" w:hAnsi="宋体" w:eastAsia="宋体" w:cs="宋体"/>
                <w:color w:val="000000"/>
                <w:kern w:val="0"/>
                <w:sz w:val="24"/>
                <w:szCs w:val="24"/>
                <w:highlight w:val="none"/>
                <w:lang w:bidi="ar"/>
              </w:rPr>
            </w:pPr>
          </w:p>
        </w:tc>
        <w:tc>
          <w:tcPr>
            <w:tcW w:w="1179" w:type="dxa"/>
            <w:noWrap w:val="0"/>
            <w:vAlign w:val="center"/>
          </w:tcPr>
          <w:p w14:paraId="6D269C96">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val="en-US" w:eastAsia="zh-CN"/>
              </w:rPr>
              <w:t>应急预案</w:t>
            </w:r>
          </w:p>
        </w:tc>
        <w:tc>
          <w:tcPr>
            <w:tcW w:w="6575" w:type="dxa"/>
            <w:noWrap w:val="0"/>
            <w:vAlign w:val="center"/>
          </w:tcPr>
          <w:p w14:paraId="251DE420">
            <w:pPr>
              <w:keepNext w:val="0"/>
              <w:keepLines w:val="0"/>
              <w:suppressLineNumbers w:val="0"/>
              <w:spacing w:before="0" w:beforeAutospacing="0" w:after="0" w:afterAutospacing="0" w:line="320" w:lineRule="exact"/>
              <w:ind w:left="0" w:leftChars="0" w:right="0" w:right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投标人提供特殊时段（重大活动、重大节假日、</w:t>
            </w:r>
            <w:r>
              <w:rPr>
                <w:rFonts w:hint="eastAsia"/>
                <w:highlight w:val="none"/>
                <w:lang w:val="en-US" w:eastAsia="zh-CN"/>
              </w:rPr>
              <w:t>突发事故</w:t>
            </w:r>
            <w:r>
              <w:rPr>
                <w:rFonts w:hint="eastAsia" w:ascii="宋体" w:hAnsi="宋体" w:eastAsia="宋体" w:cs="宋体"/>
                <w:kern w:val="0"/>
                <w:sz w:val="24"/>
                <w:szCs w:val="24"/>
                <w:highlight w:val="none"/>
                <w:lang w:eastAsia="zh-CN"/>
              </w:rPr>
              <w:t>等）、特殊天气、高峰期及其他特殊情况的应急保障方案及措施，方案合理性且可操作性强，措施全面，根据响应程度计0-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分；</w:t>
            </w:r>
            <w:r>
              <w:rPr>
                <w:rFonts w:hint="eastAsia" w:asciiTheme="minorEastAsia" w:hAnsiTheme="minorEastAsia" w:cstheme="minorEastAsia"/>
                <w:kern w:val="0"/>
                <w:szCs w:val="21"/>
              </w:rPr>
              <w:t>不提供不得分。</w:t>
            </w:r>
          </w:p>
        </w:tc>
        <w:tc>
          <w:tcPr>
            <w:tcW w:w="700" w:type="dxa"/>
            <w:noWrap w:val="0"/>
            <w:vAlign w:val="center"/>
          </w:tcPr>
          <w:p w14:paraId="6E91ACA4">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color w:val="000000"/>
                <w:kern w:val="0"/>
                <w:sz w:val="24"/>
                <w:szCs w:val="24"/>
                <w:highlight w:val="none"/>
                <w:lang w:val="en-US" w:eastAsia="zh-CN" w:bidi="ar"/>
              </w:rPr>
            </w:pPr>
            <w:r>
              <w:rPr>
                <w:rFonts w:hint="eastAsia" w:asciiTheme="minorEastAsia" w:hAnsiTheme="minorEastAsia" w:cstheme="minorEastAsia"/>
                <w:color w:val="000000"/>
                <w:kern w:val="0"/>
                <w:szCs w:val="21"/>
                <w:lang w:val="en-US" w:eastAsia="zh-CN" w:bidi="ar"/>
              </w:rPr>
              <w:t>10</w:t>
            </w:r>
          </w:p>
        </w:tc>
      </w:tr>
      <w:tr w14:paraId="455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6" w:hRule="atLeast"/>
          <w:jc w:val="center"/>
        </w:trPr>
        <w:tc>
          <w:tcPr>
            <w:tcW w:w="1036" w:type="dxa"/>
            <w:vMerge w:val="restart"/>
            <w:noWrap w:val="0"/>
            <w:vAlign w:val="center"/>
          </w:tcPr>
          <w:p w14:paraId="2D370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Cs w:val="21"/>
                <w:lang w:bidi="ar"/>
              </w:rPr>
              <w:t>其他因素</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25分</w:t>
            </w:r>
            <w:r>
              <w:rPr>
                <w:rFonts w:hint="eastAsia" w:ascii="宋体" w:hAnsi="宋体" w:eastAsia="宋体" w:cs="宋体"/>
                <w:color w:val="000000"/>
                <w:kern w:val="0"/>
                <w:szCs w:val="21"/>
                <w:lang w:eastAsia="zh-CN" w:bidi="ar"/>
              </w:rPr>
              <w:t>）</w:t>
            </w:r>
          </w:p>
        </w:tc>
        <w:tc>
          <w:tcPr>
            <w:tcW w:w="1179" w:type="dxa"/>
            <w:noWrap w:val="0"/>
            <w:vAlign w:val="center"/>
          </w:tcPr>
          <w:p w14:paraId="2D2F9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近</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年完成的类似业绩情况</w:t>
            </w:r>
          </w:p>
        </w:tc>
        <w:tc>
          <w:tcPr>
            <w:tcW w:w="6575" w:type="dxa"/>
            <w:noWrap w:val="0"/>
            <w:vAlign w:val="center"/>
          </w:tcPr>
          <w:p w14:paraId="1F4B19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供应商近3年（2021年9月至今）完成过类似项目业绩1项者得2分。最高得8分。</w:t>
            </w:r>
          </w:p>
          <w:p w14:paraId="42F2C3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Calibri" w:hAnsi="Calibri" w:eastAsia="宋体" w:cs="Times New Roman"/>
                <w:kern w:val="2"/>
                <w:sz w:val="24"/>
                <w:szCs w:val="24"/>
                <w:highlight w:val="none"/>
                <w:lang w:val="zh-CN" w:eastAsia="zh-CN" w:bidi="ar-SA"/>
              </w:rPr>
            </w:pPr>
            <w:r>
              <w:rPr>
                <w:rFonts w:hint="eastAsia" w:ascii="宋体" w:hAnsi="宋体" w:eastAsia="宋体" w:cs="宋体"/>
                <w:b/>
                <w:bCs/>
                <w:kern w:val="0"/>
                <w:sz w:val="24"/>
                <w:szCs w:val="24"/>
                <w:highlight w:val="none"/>
                <w:lang w:val="en-US" w:eastAsia="zh-CN"/>
              </w:rPr>
              <w:t>注：投标文件中须附加盖供应商公章的合同协议书复印件，不符合要求的不予计分。（时间以合同签订时间为准）</w:t>
            </w:r>
          </w:p>
        </w:tc>
        <w:tc>
          <w:tcPr>
            <w:tcW w:w="700" w:type="dxa"/>
            <w:noWrap w:val="0"/>
            <w:vAlign w:val="center"/>
          </w:tcPr>
          <w:p w14:paraId="3D45D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p>
        </w:tc>
      </w:tr>
      <w:tr w14:paraId="5D9A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6" w:hRule="atLeast"/>
          <w:jc w:val="center"/>
        </w:trPr>
        <w:tc>
          <w:tcPr>
            <w:tcW w:w="1036" w:type="dxa"/>
            <w:vMerge w:val="continue"/>
            <w:noWrap w:val="0"/>
            <w:vAlign w:val="center"/>
          </w:tcPr>
          <w:p w14:paraId="08994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jc w:val="center"/>
              <w:textAlignment w:val="center"/>
              <w:rPr>
                <w:rFonts w:hint="eastAsia" w:ascii="宋体" w:hAnsi="宋体" w:eastAsia="宋体" w:cs="宋体"/>
                <w:color w:val="000000"/>
                <w:kern w:val="0"/>
                <w:sz w:val="24"/>
                <w:szCs w:val="24"/>
                <w:highlight w:val="none"/>
                <w:lang w:bidi="ar"/>
              </w:rPr>
            </w:pPr>
          </w:p>
        </w:tc>
        <w:tc>
          <w:tcPr>
            <w:tcW w:w="1179" w:type="dxa"/>
            <w:shd w:val="clear" w:color="auto" w:fill="auto"/>
            <w:noWrap w:val="0"/>
            <w:vAlign w:val="center"/>
          </w:tcPr>
          <w:p w14:paraId="1599F9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1"/>
                <w:highlight w:val="none"/>
                <w:lang w:val="en-US" w:eastAsia="zh-CN" w:bidi="ar-SA"/>
              </w:rPr>
            </w:pPr>
            <w:r>
              <w:rPr>
                <w:rFonts w:hint="eastAsia" w:ascii="宋体" w:hAnsi="宋体" w:cs="宋体"/>
                <w:sz w:val="24"/>
                <w:szCs w:val="24"/>
                <w:highlight w:val="none"/>
              </w:rPr>
              <w:t>拟投入人员及设备配置</w:t>
            </w:r>
          </w:p>
        </w:tc>
        <w:tc>
          <w:tcPr>
            <w:tcW w:w="6575" w:type="dxa"/>
            <w:shd w:val="clear" w:color="auto" w:fill="auto"/>
            <w:noWrap w:val="0"/>
            <w:vAlign w:val="center"/>
          </w:tcPr>
          <w:p w14:paraId="01BE7F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①投标人拟投入本次绿化管护、卫生保洁及设施维护项目的专用设备、工具等，满足本项目的实际需要，各类设备、工具数量、比例适当的，根据响应程度计0-</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zh-CN"/>
              </w:rPr>
              <w:t>分。</w:t>
            </w:r>
          </w:p>
          <w:p w14:paraId="690CBF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eastAsia="Times New Roman" w:asciiTheme="minorHAnsi" w:hAnsiTheme="minorHAnsi" w:cstheme="minorBidi"/>
                <w:kern w:val="2"/>
                <w:sz w:val="24"/>
                <w:szCs w:val="22"/>
                <w:highlight w:val="none"/>
                <w:lang w:val="en-US" w:eastAsia="zh-CN" w:bidi="ar-SA"/>
              </w:rPr>
            </w:pPr>
            <w:r>
              <w:rPr>
                <w:rFonts w:hint="eastAsia" w:ascii="宋体" w:hAnsi="宋体" w:cs="宋体"/>
                <w:sz w:val="24"/>
                <w:szCs w:val="24"/>
                <w:highlight w:val="none"/>
                <w:lang w:val="zh-CN"/>
              </w:rPr>
              <w:t>②投标人拟投入本次绿化管护、卫生保洁及设施维护项目的人员满足招标文件最低要求，项目管理机构基本健全，责任、分工基本明确的得</w:t>
            </w:r>
            <w:r>
              <w:rPr>
                <w:rFonts w:hint="eastAsia" w:ascii="宋体" w:hAnsi="宋体" w:eastAsia="宋体" w:cs="宋体"/>
                <w:sz w:val="24"/>
                <w:szCs w:val="24"/>
                <w:highlight w:val="none"/>
                <w:lang w:val="en-US" w:eastAsia="zh-CN"/>
              </w:rPr>
              <w:t>0-4分；</w:t>
            </w:r>
            <w:r>
              <w:rPr>
                <w:rFonts w:hint="eastAsia" w:ascii="宋体" w:hAnsi="宋体" w:cs="宋体"/>
                <w:sz w:val="24"/>
                <w:szCs w:val="24"/>
                <w:highlight w:val="none"/>
                <w:lang w:val="zh-CN"/>
              </w:rPr>
              <w:t>人员配备优于招标文件要求，项目管理机构健全，责任、分工详细明确的得</w:t>
            </w:r>
            <w:r>
              <w:rPr>
                <w:rFonts w:hint="eastAsia" w:ascii="宋体" w:hAnsi="宋体" w:eastAsia="宋体" w:cs="宋体"/>
                <w:sz w:val="24"/>
                <w:szCs w:val="24"/>
                <w:highlight w:val="none"/>
                <w:lang w:val="en-US" w:eastAsia="zh-CN"/>
              </w:rPr>
              <w:t>4-7分。</w:t>
            </w:r>
          </w:p>
        </w:tc>
        <w:tc>
          <w:tcPr>
            <w:tcW w:w="700" w:type="dxa"/>
            <w:shd w:val="clear" w:color="auto" w:fill="auto"/>
            <w:noWrap w:val="0"/>
            <w:vAlign w:val="center"/>
          </w:tcPr>
          <w:p w14:paraId="778144BA">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color w:val="000000"/>
                <w:kern w:val="0"/>
                <w:sz w:val="24"/>
                <w:szCs w:val="21"/>
                <w:highlight w:val="none"/>
                <w:lang w:val="en-US" w:eastAsia="zh-CN" w:bidi="ar"/>
              </w:rPr>
            </w:pPr>
            <w:r>
              <w:rPr>
                <w:rFonts w:hint="eastAsia" w:asciiTheme="minorEastAsia" w:hAnsiTheme="minorEastAsia" w:cstheme="minorEastAsia"/>
                <w:color w:val="000000"/>
                <w:kern w:val="0"/>
                <w:szCs w:val="21"/>
                <w:highlight w:val="none"/>
                <w:lang w:val="en-US" w:eastAsia="zh-CN" w:bidi="ar"/>
              </w:rPr>
              <w:t>12</w:t>
            </w:r>
          </w:p>
        </w:tc>
      </w:tr>
      <w:tr w14:paraId="25BD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1036" w:type="dxa"/>
            <w:vMerge w:val="continue"/>
            <w:noWrap w:val="0"/>
            <w:vAlign w:val="center"/>
          </w:tcPr>
          <w:p w14:paraId="141A2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leftChars="0" w:right="0" w:rightChars="0"/>
              <w:jc w:val="center"/>
              <w:textAlignment w:val="center"/>
              <w:rPr>
                <w:rFonts w:hint="eastAsia" w:ascii="宋体" w:hAnsi="宋体" w:eastAsia="宋体" w:cs="宋体"/>
                <w:color w:val="000000"/>
                <w:kern w:val="0"/>
                <w:sz w:val="24"/>
                <w:szCs w:val="24"/>
                <w:highlight w:val="none"/>
                <w:lang w:bidi="ar"/>
              </w:rPr>
            </w:pPr>
          </w:p>
        </w:tc>
        <w:tc>
          <w:tcPr>
            <w:tcW w:w="1179" w:type="dxa"/>
            <w:shd w:val="clear" w:color="auto" w:fill="auto"/>
            <w:noWrap w:val="0"/>
            <w:vAlign w:val="center"/>
          </w:tcPr>
          <w:p w14:paraId="102C0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eastAsia" w:ascii="宋体" w:hAnsi="宋体" w:eastAsia="宋体" w:cs="宋体"/>
                <w:color w:val="000000"/>
                <w:kern w:val="2"/>
                <w:sz w:val="24"/>
                <w:szCs w:val="21"/>
                <w:highlight w:val="none"/>
                <w:lang w:val="en-US" w:eastAsia="zh-CN" w:bidi="ar-SA"/>
              </w:rPr>
            </w:pPr>
            <w:r>
              <w:rPr>
                <w:rFonts w:hint="eastAsia" w:ascii="宋体" w:hAnsi="宋体" w:cs="宋体"/>
                <w:sz w:val="24"/>
                <w:szCs w:val="24"/>
                <w:highlight w:val="none"/>
              </w:rPr>
              <w:t>服务承诺</w:t>
            </w:r>
          </w:p>
        </w:tc>
        <w:tc>
          <w:tcPr>
            <w:tcW w:w="6575" w:type="dxa"/>
            <w:shd w:val="clear" w:color="auto" w:fill="auto"/>
            <w:noWrap w:val="0"/>
            <w:vAlign w:val="center"/>
          </w:tcPr>
          <w:p w14:paraId="525341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宋体" w:hAnsi="宋体" w:eastAsia="宋体" w:cs="宋体"/>
                <w:b/>
                <w:bCs/>
                <w:color w:val="000000"/>
                <w:kern w:val="0"/>
                <w:sz w:val="24"/>
                <w:szCs w:val="21"/>
                <w:highlight w:val="none"/>
                <w:lang w:val="zh-CN" w:eastAsia="zh-CN" w:bidi="ar"/>
              </w:rPr>
            </w:pPr>
            <w:r>
              <w:rPr>
                <w:rFonts w:hint="eastAsia" w:ascii="仿宋_GB2312" w:eastAsia="宋体" w:cs="宋体"/>
                <w:color w:val="000000"/>
                <w:kern w:val="0"/>
                <w:szCs w:val="21"/>
                <w:highlight w:val="none"/>
                <w:lang w:eastAsia="zh-CN"/>
              </w:rPr>
              <w:t>根</w:t>
            </w:r>
            <w:r>
              <w:rPr>
                <w:rFonts w:hint="eastAsia" w:ascii="宋体" w:hAnsi="宋体" w:eastAsia="宋体" w:cs="宋体"/>
                <w:color w:val="000000"/>
                <w:kern w:val="0"/>
                <w:szCs w:val="21"/>
                <w:highlight w:val="none"/>
                <w:lang w:eastAsia="zh-CN"/>
              </w:rPr>
              <w:t>据本项目的采购内容及要求，</w:t>
            </w:r>
            <w:r>
              <w:rPr>
                <w:rFonts w:hint="eastAsia" w:ascii="宋体" w:hAnsi="宋体" w:eastAsia="宋体" w:cs="宋体"/>
                <w:color w:val="000000"/>
                <w:kern w:val="0"/>
                <w:szCs w:val="21"/>
                <w:highlight w:val="none"/>
              </w:rPr>
              <w:t>向采购人提供各项服务承诺，根据承诺的全面性、合理性、完整</w:t>
            </w:r>
            <w:r>
              <w:rPr>
                <w:rFonts w:hint="eastAsia" w:ascii="宋体" w:hAnsi="宋体" w:eastAsia="宋体" w:cs="宋体"/>
                <w:color w:val="000000"/>
                <w:kern w:val="0"/>
                <w:szCs w:val="21"/>
                <w:highlight w:val="none"/>
                <w:lang w:eastAsia="zh-CN"/>
              </w:rPr>
              <w:t>性赋</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lang w:eastAsia="zh-CN"/>
              </w:rPr>
              <w:t>分；</w:t>
            </w:r>
            <w:r>
              <w:rPr>
                <w:rFonts w:hint="eastAsia" w:ascii="宋体" w:hAnsi="宋体" w:eastAsia="宋体" w:cs="宋体"/>
                <w:color w:val="000000"/>
                <w:kern w:val="0"/>
                <w:szCs w:val="21"/>
                <w:highlight w:val="none"/>
              </w:rPr>
              <w:t>不提供不得分。</w:t>
            </w:r>
          </w:p>
        </w:tc>
        <w:tc>
          <w:tcPr>
            <w:tcW w:w="700" w:type="dxa"/>
            <w:shd w:val="clear" w:color="auto" w:fill="auto"/>
            <w:noWrap w:val="0"/>
            <w:vAlign w:val="center"/>
          </w:tcPr>
          <w:p w14:paraId="5CD9D6CE">
            <w:pPr>
              <w:keepNext w:val="0"/>
              <w:keepLines w:val="0"/>
              <w:suppressLineNumbers w:val="0"/>
              <w:spacing w:before="0" w:beforeAutospacing="0" w:after="0" w:afterAutospacing="0"/>
              <w:ind w:left="0" w:leftChars="0" w:right="0" w:rightChars="0"/>
              <w:jc w:val="center"/>
              <w:rPr>
                <w:rFonts w:hint="default" w:asciiTheme="minorEastAsia" w:hAnsiTheme="minorEastAsia" w:cstheme="minorEastAsia"/>
                <w:color w:val="000000"/>
                <w:kern w:val="0"/>
                <w:szCs w:val="21"/>
                <w:highlight w:val="none"/>
                <w:lang w:val="en-US" w:eastAsia="zh-CN" w:bidi="ar"/>
              </w:rPr>
            </w:pPr>
            <w:r>
              <w:rPr>
                <w:rFonts w:hint="eastAsia" w:asciiTheme="minorEastAsia" w:hAnsiTheme="minorEastAsia" w:cstheme="minorEastAsia"/>
                <w:color w:val="000000"/>
                <w:kern w:val="0"/>
                <w:szCs w:val="21"/>
                <w:highlight w:val="none"/>
                <w:lang w:val="en-US" w:eastAsia="zh-CN" w:bidi="ar"/>
              </w:rPr>
              <w:t>5</w:t>
            </w:r>
          </w:p>
        </w:tc>
      </w:tr>
    </w:tbl>
    <w:p w14:paraId="4A72E3E9">
      <w:pPr>
        <w:keepNext w:val="0"/>
        <w:keepLines w:val="0"/>
        <w:pageBreakBefore w:val="0"/>
        <w:widowControl w:val="0"/>
        <w:kinsoku/>
        <w:wordWrap/>
        <w:overflowPunct/>
        <w:topLinePunct w:val="0"/>
        <w:autoSpaceDE/>
        <w:autoSpaceDN/>
        <w:bidi w:val="0"/>
        <w:adjustRightInd/>
        <w:snapToGrid/>
        <w:spacing w:before="164" w:beforeLines="50" w:line="37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注：1）评委打分超过得分界限或未按本方法赋分时，该评委的打分按废票处理。</w:t>
      </w:r>
    </w:p>
    <w:p w14:paraId="02DA76F3">
      <w:pPr>
        <w:keepNext w:val="0"/>
        <w:keepLines w:val="0"/>
        <w:pageBreakBefore w:val="0"/>
        <w:widowControl w:val="0"/>
        <w:kinsoku/>
        <w:wordWrap/>
        <w:overflowPunct/>
        <w:topLinePunct w:val="0"/>
        <w:bidi w:val="0"/>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2）各种计算数字均保留两位小数，第三位“四舍五入”。 </w:t>
      </w:r>
    </w:p>
    <w:p w14:paraId="42217885">
      <w:pPr>
        <w:keepNext w:val="0"/>
        <w:keepLines w:val="0"/>
        <w:pageBreakBefore w:val="0"/>
        <w:widowControl w:val="0"/>
        <w:kinsoku/>
        <w:wordWrap/>
        <w:overflowPunct/>
        <w:topLinePunct w:val="0"/>
        <w:bidi w:val="0"/>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3）特殊情况处理：</w:t>
      </w:r>
    </w:p>
    <w:p w14:paraId="1EDDD4E6">
      <w:pPr>
        <w:keepNext w:val="0"/>
        <w:keepLines w:val="0"/>
        <w:pageBreakBefore w:val="0"/>
        <w:widowControl w:val="0"/>
        <w:kinsoku/>
        <w:wordWrap/>
        <w:overflowPunct/>
        <w:topLinePunct w:val="0"/>
        <w:bidi w:val="0"/>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a、当</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某评分项出现未报、漏报时，该分项得零分；若某项有不合理报价（或零报价、漏报价）的，投标报价不参与评标基准价的计算。</w:t>
      </w:r>
    </w:p>
    <w:p w14:paraId="06B2DC03">
      <w:pPr>
        <w:keepNext w:val="0"/>
        <w:keepLines w:val="0"/>
        <w:pageBreakBefore w:val="0"/>
        <w:widowControl w:val="0"/>
        <w:kinsoku/>
        <w:wordWrap/>
        <w:overflowPunct/>
        <w:topLinePunct w:val="0"/>
        <w:bidi w:val="0"/>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b、若出现综合得分相同时，投标报价低的为第一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候选人，若投标报价得分相同，技术文件得分高者为第一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候选人，若上述两项得分相同，则由全体评标委员会成员无记名投票，得票高者为第一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w:t>
      </w:r>
    </w:p>
    <w:p w14:paraId="76263E1B">
      <w:pPr>
        <w:keepNext w:val="0"/>
        <w:keepLines w:val="0"/>
        <w:pageBreakBefore w:val="0"/>
        <w:widowControl w:val="0"/>
        <w:kinsoku/>
        <w:wordWrap/>
        <w:overflowPunct/>
        <w:topLinePunct w:val="0"/>
        <w:bidi w:val="0"/>
        <w:spacing w:line="372" w:lineRule="auto"/>
        <w:ind w:firstLine="436" w:firstLine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rPr>
        <w:t>评标过程中，若出现本评标方法以外的特殊情况时，将暂停评标，待评委会商议后再进行复会。</w:t>
      </w:r>
    </w:p>
    <w:p w14:paraId="548155E1">
      <w:pPr>
        <w:keepNext w:val="0"/>
        <w:keepLines w:val="0"/>
        <w:pageBreakBefore w:val="0"/>
        <w:widowControl w:val="0"/>
        <w:kinsoku/>
        <w:wordWrap/>
        <w:overflowPunct/>
        <w:topLinePunct w:val="0"/>
        <w:bidi w:val="0"/>
        <w:spacing w:line="372" w:lineRule="auto"/>
        <w:ind w:firstLine="498" w:firstLineChars="200"/>
        <w:textAlignment w:val="auto"/>
        <w:rPr>
          <w:rFonts w:hint="eastAsia" w:ascii="宋体" w:hAnsi="宋体" w:eastAsia="宋体" w:cs="宋体"/>
          <w:b/>
          <w:color w:val="000000" w:themeColor="text1"/>
          <w:spacing w:val="4"/>
          <w:sz w:val="24"/>
          <w:szCs w:val="24"/>
          <w:highlight w:val="none"/>
          <w:lang w:val="en-US" w:eastAsia="zh-CN"/>
        </w:rPr>
      </w:pPr>
      <w:r>
        <w:rPr>
          <w:rFonts w:hint="eastAsia" w:ascii="宋体" w:hAnsi="宋体" w:eastAsia="宋体" w:cs="宋体"/>
          <w:b/>
          <w:color w:val="000000" w:themeColor="text1"/>
          <w:spacing w:val="4"/>
          <w:sz w:val="24"/>
          <w:szCs w:val="24"/>
          <w:highlight w:val="none"/>
          <w:lang w:val="en-US" w:eastAsia="zh-CN"/>
        </w:rPr>
        <w:t>3.5无效投标的认定</w:t>
      </w:r>
    </w:p>
    <w:p w14:paraId="7CB81D8C">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3.5.1在评审过程中，出现下列情形之一的，作为无效投标文件：</w:t>
      </w:r>
    </w:p>
    <w:p w14:paraId="74C2B6DF">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未经过正常渠道</w:t>
      </w:r>
      <w:r>
        <w:rPr>
          <w:rFonts w:hint="eastAsia" w:ascii="宋体" w:hAnsi="宋体" w:eastAsia="宋体" w:cs="宋体"/>
          <w:color w:val="000000"/>
          <w:sz w:val="24"/>
          <w:szCs w:val="24"/>
          <w:highlight w:val="none"/>
          <w:lang w:eastAsia="zh-CN"/>
        </w:rPr>
        <w:t>下载招标</w:t>
      </w:r>
      <w:r>
        <w:rPr>
          <w:rFonts w:hint="eastAsia" w:ascii="宋体" w:hAnsi="宋体" w:eastAsia="宋体" w:cs="宋体"/>
          <w:color w:val="000000"/>
          <w:sz w:val="24"/>
          <w:szCs w:val="24"/>
          <w:highlight w:val="none"/>
        </w:rPr>
        <w:t>文件的；</w:t>
      </w:r>
    </w:p>
    <w:p w14:paraId="60AD455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）未按照</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w:t>
      </w:r>
      <w:r>
        <w:rPr>
          <w:rFonts w:hint="eastAsia" w:ascii="宋体" w:hAnsi="宋体" w:eastAsia="宋体" w:cs="宋体"/>
          <w:color w:val="000000"/>
          <w:sz w:val="24"/>
          <w:szCs w:val="24"/>
          <w:highlight w:val="none"/>
          <w:lang w:eastAsia="zh-CN"/>
        </w:rPr>
        <w:t>缴纳投标</w:t>
      </w:r>
      <w:r>
        <w:rPr>
          <w:rFonts w:hint="eastAsia" w:ascii="宋体" w:hAnsi="宋体" w:eastAsia="宋体" w:cs="宋体"/>
          <w:color w:val="000000"/>
          <w:sz w:val="24"/>
          <w:szCs w:val="24"/>
          <w:highlight w:val="none"/>
        </w:rPr>
        <w:t>保证金或提供保证金有瑕疵的；</w:t>
      </w:r>
    </w:p>
    <w:p w14:paraId="36989A04">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）未按照</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文件规定和要求签署、盖章的</w:t>
      </w:r>
      <w:r>
        <w:rPr>
          <w:rFonts w:hint="eastAsia" w:ascii="宋体" w:hAnsi="宋体" w:eastAsia="宋体" w:cs="宋体"/>
          <w:color w:val="000000"/>
          <w:sz w:val="24"/>
          <w:szCs w:val="24"/>
          <w:highlight w:val="none"/>
          <w:lang w:eastAsia="zh-CN"/>
        </w:rPr>
        <w:t>；</w:t>
      </w:r>
    </w:p>
    <w:p w14:paraId="784BD88A">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）不具备</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文件中规定的资格条件和要求的</w:t>
      </w:r>
      <w:r>
        <w:rPr>
          <w:rFonts w:hint="eastAsia" w:ascii="宋体" w:hAnsi="宋体" w:eastAsia="宋体" w:cs="宋体"/>
          <w:color w:val="000000"/>
          <w:sz w:val="24"/>
          <w:szCs w:val="24"/>
          <w:highlight w:val="none"/>
          <w:lang w:eastAsia="zh-CN"/>
        </w:rPr>
        <w:t>；</w:t>
      </w:r>
    </w:p>
    <w:p w14:paraId="711C912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）未按</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文件要求提交资格文件或提交资格文件有瑕疵的；</w:t>
      </w:r>
    </w:p>
    <w:p w14:paraId="44F132AC">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有效期、</w:t>
      </w:r>
      <w:r>
        <w:rPr>
          <w:rFonts w:hint="eastAsia" w:ascii="宋体" w:hAnsi="宋体"/>
          <w:color w:val="000000"/>
          <w:sz w:val="24"/>
          <w:szCs w:val="24"/>
        </w:rPr>
        <w:t>服务期限</w:t>
      </w:r>
      <w:r>
        <w:rPr>
          <w:rFonts w:hint="eastAsia" w:ascii="宋体" w:hAnsi="宋体" w:eastAsia="宋体" w:cs="宋体"/>
          <w:color w:val="000000"/>
          <w:sz w:val="24"/>
          <w:szCs w:val="24"/>
          <w:highlight w:val="none"/>
        </w:rPr>
        <w:t>等条款不能满足</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文件要求的；</w:t>
      </w:r>
    </w:p>
    <w:p w14:paraId="6D340C14">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的报价超过</w:t>
      </w:r>
      <w:r>
        <w:rPr>
          <w:rFonts w:hint="eastAsia" w:ascii="宋体" w:hAnsi="宋体" w:eastAsia="宋体" w:cs="宋体"/>
          <w:color w:val="000000"/>
          <w:sz w:val="24"/>
          <w:szCs w:val="24"/>
          <w:highlight w:val="none"/>
          <w:lang w:eastAsia="zh-CN"/>
        </w:rPr>
        <w:t>或等于采购最高</w:t>
      </w:r>
      <w:r>
        <w:rPr>
          <w:rFonts w:hint="eastAsia" w:ascii="宋体" w:hAnsi="宋体" w:eastAsia="宋体" w:cs="宋体"/>
          <w:color w:val="000000"/>
          <w:sz w:val="24"/>
          <w:szCs w:val="24"/>
          <w:highlight w:val="none"/>
        </w:rPr>
        <w:t>限价；</w:t>
      </w:r>
    </w:p>
    <w:p w14:paraId="53720085">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）响应文件中附有采购人不能接受的条件；</w:t>
      </w:r>
    </w:p>
    <w:p w14:paraId="6F9ED17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）投标文件不符合招标文件规定的其他情形的。</w:t>
      </w:r>
    </w:p>
    <w:p w14:paraId="63AE4BE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3.5.2</w:t>
      </w:r>
      <w:r>
        <w:rPr>
          <w:rFonts w:hint="eastAsia" w:ascii="宋体" w:hAnsi="宋体" w:eastAsia="宋体" w:cs="宋体"/>
          <w:color w:val="000000"/>
          <w:sz w:val="24"/>
          <w:szCs w:val="24"/>
          <w:highlight w:val="none"/>
        </w:rPr>
        <w:t>评标委员会应对在评标过程中发现的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之间、</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与招标人之间存在的串通投标的情形进行评审和认定。</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存在串通投标、弄虚作假、行贿等违法行为的，评标委员会应否决其投标。</w:t>
      </w:r>
    </w:p>
    <w:p w14:paraId="5591BD28">
      <w:pPr>
        <w:keepNext w:val="0"/>
        <w:keepLines w:val="0"/>
        <w:pageBreakBefore w:val="0"/>
        <w:widowControl w:val="0"/>
        <w:kinsoku/>
        <w:wordWrap/>
        <w:overflowPunct/>
        <w:topLinePunct w:val="0"/>
        <w:bidi w:val="0"/>
        <w:spacing w:line="372" w:lineRule="auto"/>
        <w:ind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（1）有下列情形之一的，属于</w:t>
      </w:r>
      <w:r>
        <w:rPr>
          <w:rFonts w:hint="eastAsia" w:ascii="宋体" w:hAnsi="宋体" w:eastAsia="宋体" w:cs="宋体"/>
          <w:color w:val="000000"/>
          <w:sz w:val="24"/>
          <w:szCs w:val="24"/>
          <w:highlight w:val="none"/>
          <w:lang w:eastAsia="zh-CN"/>
        </w:rPr>
        <w:t>供应商恶意</w:t>
      </w:r>
      <w:r>
        <w:rPr>
          <w:rFonts w:hint="eastAsia" w:ascii="宋体" w:hAnsi="宋体" w:eastAsia="宋体" w:cs="宋体"/>
          <w:color w:val="000000"/>
          <w:sz w:val="24"/>
          <w:szCs w:val="24"/>
          <w:highlight w:val="none"/>
        </w:rPr>
        <w:t xml:space="preserve">串通投标： </w:t>
      </w:r>
    </w:p>
    <w:p w14:paraId="4CB76F52">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之间协商投标报价</w:t>
      </w:r>
      <w:r>
        <w:rPr>
          <w:rFonts w:hint="eastAsia" w:ascii="宋体" w:hAnsi="宋体" w:eastAsia="宋体" w:cs="宋体"/>
          <w:color w:val="000000"/>
          <w:sz w:val="24"/>
          <w:szCs w:val="24"/>
          <w:highlight w:val="none"/>
          <w:lang w:eastAsia="zh-CN"/>
        </w:rPr>
        <w:t>、技术方案</w:t>
      </w:r>
      <w:r>
        <w:rPr>
          <w:rFonts w:hint="eastAsia" w:ascii="宋体" w:hAnsi="宋体" w:eastAsia="宋体" w:cs="宋体"/>
          <w:color w:val="000000"/>
          <w:sz w:val="24"/>
          <w:szCs w:val="24"/>
          <w:highlight w:val="none"/>
        </w:rPr>
        <w:t>等投标文件的实质性内容</w:t>
      </w:r>
      <w:r>
        <w:rPr>
          <w:rFonts w:hint="eastAsia" w:ascii="宋体" w:hAnsi="宋体" w:eastAsia="宋体" w:cs="宋体"/>
          <w:sz w:val="24"/>
          <w:szCs w:val="24"/>
          <w:highlight w:val="none"/>
        </w:rPr>
        <w:t xml:space="preserve">； </w:t>
      </w:r>
    </w:p>
    <w:p w14:paraId="1A289006">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之间</w:t>
      </w:r>
      <w:r>
        <w:rPr>
          <w:rFonts w:hint="eastAsia" w:ascii="宋体" w:hAnsi="宋体" w:eastAsia="宋体" w:cs="宋体"/>
          <w:sz w:val="24"/>
          <w:szCs w:val="24"/>
          <w:highlight w:val="none"/>
          <w:lang w:eastAsia="zh-CN"/>
        </w:rPr>
        <w:t>事先约定由某一特定供应商</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eastAsia="zh-CN"/>
        </w:rPr>
        <w:t>、成交的</w:t>
      </w:r>
      <w:r>
        <w:rPr>
          <w:rFonts w:hint="eastAsia" w:ascii="宋体" w:hAnsi="宋体" w:eastAsia="宋体" w:cs="宋体"/>
          <w:sz w:val="24"/>
          <w:szCs w:val="24"/>
          <w:highlight w:val="none"/>
        </w:rPr>
        <w:t xml:space="preserve">； </w:t>
      </w:r>
    </w:p>
    <w:p w14:paraId="7683C4F3">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eastAsia="zh-CN"/>
        </w:rPr>
        <w:t>供应商之间商定部分供应商放弃投标或成交；</w:t>
      </w:r>
    </w:p>
    <w:p w14:paraId="24F3A35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d.属于同一集团、协会、商会等组织成员的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按照该组织要求协同投标；</w:t>
      </w:r>
    </w:p>
    <w:p w14:paraId="30FE171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之间为谋取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或排斥特定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而采取的其他联合行动。</w:t>
      </w:r>
    </w:p>
    <w:p w14:paraId="3017CD1A">
      <w:pPr>
        <w:keepNext w:val="0"/>
        <w:keepLines w:val="0"/>
        <w:pageBreakBefore w:val="0"/>
        <w:widowControl w:val="0"/>
        <w:kinsoku/>
        <w:wordWrap/>
        <w:overflowPunct/>
        <w:topLinePunct w:val="0"/>
        <w:bidi w:val="0"/>
        <w:spacing w:line="372" w:lineRule="auto"/>
        <w:ind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（2）有下列情形之一的，视为</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相互串通投标： </w:t>
      </w:r>
    </w:p>
    <w:p w14:paraId="14B013A2">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的投标文件由同一单位或个人编制； </w:t>
      </w:r>
    </w:p>
    <w:p w14:paraId="58B5443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委托同一单位或个人办理投标事宜； </w:t>
      </w:r>
    </w:p>
    <w:p w14:paraId="5D688893">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的投标文件载明的项目管理成员</w:t>
      </w:r>
      <w:r>
        <w:rPr>
          <w:rFonts w:hint="eastAsia" w:ascii="宋体" w:hAnsi="宋体" w:eastAsia="宋体" w:cs="宋体"/>
          <w:sz w:val="24"/>
          <w:szCs w:val="24"/>
          <w:highlight w:val="none"/>
          <w:lang w:eastAsia="zh-CN"/>
        </w:rPr>
        <w:t>或联系人员</w:t>
      </w:r>
      <w:r>
        <w:rPr>
          <w:rFonts w:hint="eastAsia" w:ascii="宋体" w:hAnsi="宋体" w:eastAsia="宋体" w:cs="宋体"/>
          <w:sz w:val="24"/>
          <w:szCs w:val="24"/>
          <w:highlight w:val="none"/>
        </w:rPr>
        <w:t xml:space="preserve">为同一人； </w:t>
      </w:r>
    </w:p>
    <w:p w14:paraId="4ACBA378">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的投标文件异常一致或投标报价呈规律性差异； </w:t>
      </w:r>
    </w:p>
    <w:p w14:paraId="00214C2A">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“文件制作机器码”一致</w:t>
      </w:r>
      <w:r>
        <w:rPr>
          <w:rFonts w:hint="eastAsia" w:ascii="宋体" w:hAnsi="宋体" w:eastAsia="宋体" w:cs="宋体"/>
          <w:sz w:val="24"/>
          <w:szCs w:val="24"/>
          <w:highlight w:val="none"/>
        </w:rPr>
        <w:t xml:space="preserve">； </w:t>
      </w:r>
    </w:p>
    <w:p w14:paraId="2EA564B0">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的投标保证金从同一单位或个人的账户转出。</w:t>
      </w:r>
    </w:p>
    <w:p w14:paraId="7B34EEA9">
      <w:pPr>
        <w:keepNext w:val="0"/>
        <w:keepLines w:val="0"/>
        <w:pageBreakBefore w:val="0"/>
        <w:widowControl w:val="0"/>
        <w:kinsoku/>
        <w:wordWrap/>
        <w:overflowPunct/>
        <w:topLinePunct w:val="0"/>
        <w:bidi w:val="0"/>
        <w:spacing w:line="372" w:lineRule="auto"/>
        <w:ind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（3）有下列情形之一的，属于</w:t>
      </w:r>
      <w:r>
        <w:rPr>
          <w:rFonts w:hint="eastAsia" w:ascii="宋体" w:hAnsi="宋体" w:eastAsia="宋体" w:cs="宋体"/>
          <w:sz w:val="24"/>
          <w:szCs w:val="24"/>
          <w:highlight w:val="none"/>
          <w:lang w:eastAsia="zh-CN"/>
        </w:rPr>
        <w:t>采购人</w:t>
      </w:r>
      <w:r>
        <w:rPr>
          <w:rFonts w:hint="eastAsia" w:ascii="宋体" w:hAnsi="宋体" w:eastAsia="宋体" w:cs="宋体"/>
          <w:color w:val="000000"/>
          <w:sz w:val="24"/>
          <w:szCs w:val="24"/>
          <w:highlight w:val="none"/>
        </w:rPr>
        <w:t>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串通投标： </w:t>
      </w:r>
    </w:p>
    <w:p w14:paraId="1D33074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在开标前开启投标文件并将有关信息泄露给其他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 </w:t>
      </w:r>
    </w:p>
    <w:p w14:paraId="3FBFE92E">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直接或间接向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泄露标底、评标委员会成员等信息； </w:t>
      </w:r>
    </w:p>
    <w:p w14:paraId="63B65DE6">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明示或暗示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压低或抬高投标报价； </w:t>
      </w:r>
    </w:p>
    <w:p w14:paraId="1784DDD4">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授意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撤换、修改投标文件； </w:t>
      </w:r>
    </w:p>
    <w:p w14:paraId="3C622330">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明示或暗示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为特定</w:t>
      </w:r>
      <w:r>
        <w:rPr>
          <w:rFonts w:hint="eastAsia" w:ascii="宋体" w:hAnsi="宋体" w:eastAsia="宋体" w:cs="宋体"/>
          <w:sz w:val="24"/>
          <w:szCs w:val="24"/>
          <w:highlight w:val="none"/>
          <w:lang w:eastAsia="zh-CN"/>
        </w:rPr>
        <w:t>供应商成交</w:t>
      </w:r>
      <w:r>
        <w:rPr>
          <w:rFonts w:hint="eastAsia" w:ascii="宋体" w:hAnsi="宋体" w:eastAsia="宋体" w:cs="宋体"/>
          <w:sz w:val="24"/>
          <w:szCs w:val="24"/>
          <w:highlight w:val="none"/>
        </w:rPr>
        <w:t xml:space="preserve">提供方便； </w:t>
      </w:r>
    </w:p>
    <w:p w14:paraId="2EDC6B03">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为谋求特定</w:t>
      </w:r>
      <w:r>
        <w:rPr>
          <w:rFonts w:hint="eastAsia" w:ascii="宋体" w:hAnsi="宋体" w:eastAsia="宋体" w:cs="宋体"/>
          <w:sz w:val="24"/>
          <w:szCs w:val="24"/>
          <w:highlight w:val="none"/>
          <w:lang w:eastAsia="zh-CN"/>
        </w:rPr>
        <w:t>供应商成交</w:t>
      </w:r>
      <w:r>
        <w:rPr>
          <w:rFonts w:hint="eastAsia" w:ascii="宋体" w:hAnsi="宋体" w:eastAsia="宋体" w:cs="宋体"/>
          <w:sz w:val="24"/>
          <w:szCs w:val="24"/>
          <w:highlight w:val="none"/>
        </w:rPr>
        <w:t xml:space="preserve">而采取的其他串通行为。 </w:t>
      </w:r>
    </w:p>
    <w:p w14:paraId="655DE774">
      <w:pPr>
        <w:keepNext w:val="0"/>
        <w:keepLines w:val="0"/>
        <w:pageBreakBefore w:val="0"/>
        <w:widowControl w:val="0"/>
        <w:kinsoku/>
        <w:wordWrap/>
        <w:overflowPunct/>
        <w:topLinePunct w:val="0"/>
        <w:bidi w:val="0"/>
        <w:spacing w:line="372"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有下列情形之一的，属于弄虚作假的行为：</w:t>
      </w:r>
      <w:r>
        <w:rPr>
          <w:rFonts w:hint="eastAsia" w:ascii="宋体" w:hAnsi="宋体" w:eastAsia="宋体" w:cs="宋体"/>
          <w:sz w:val="24"/>
          <w:szCs w:val="24"/>
          <w:highlight w:val="none"/>
        </w:rPr>
        <w:t xml:space="preserve"> </w:t>
      </w:r>
    </w:p>
    <w:p w14:paraId="6426B94C">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a.使用通过受让或租借等方式获取的资格、资质证书投标； </w:t>
      </w:r>
    </w:p>
    <w:p w14:paraId="6DED2829">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b.使用伪造、变造的许可证件； </w:t>
      </w:r>
    </w:p>
    <w:p w14:paraId="0D5825C6">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c.提供虚假的财务状况或业绩； </w:t>
      </w:r>
    </w:p>
    <w:p w14:paraId="1B61417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 xml:space="preserve">.提供虚假的信用状况； </w:t>
      </w:r>
    </w:p>
    <w:p w14:paraId="2EB08337">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rPr>
        <w:t>.其他弄虚作假的行为。</w:t>
      </w:r>
    </w:p>
    <w:p w14:paraId="74357792">
      <w:pPr>
        <w:keepNext w:val="0"/>
        <w:keepLines w:val="0"/>
        <w:pageBreakBefore w:val="0"/>
        <w:widowControl w:val="0"/>
        <w:kinsoku/>
        <w:wordWrap/>
        <w:overflowPunct/>
        <w:topLinePunct w:val="0"/>
        <w:bidi w:val="0"/>
        <w:spacing w:line="372"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w:t>
      </w:r>
      <w:r>
        <w:rPr>
          <w:rFonts w:hint="eastAsia" w:ascii="宋体" w:hAnsi="宋体" w:eastAsia="宋体" w:cs="宋体"/>
          <w:b/>
          <w:color w:val="000000" w:themeColor="text1"/>
          <w:spacing w:val="4"/>
          <w:sz w:val="24"/>
          <w:szCs w:val="24"/>
          <w:highlight w:val="none"/>
          <w:lang w:val="en-US" w:eastAsia="zh-CN"/>
        </w:rPr>
        <w:t>6</w:t>
      </w:r>
      <w:r>
        <w:rPr>
          <w:rFonts w:hint="eastAsia" w:ascii="宋体" w:hAnsi="宋体" w:eastAsia="宋体" w:cs="宋体"/>
          <w:b/>
          <w:color w:val="000000" w:themeColor="text1"/>
          <w:spacing w:val="4"/>
          <w:sz w:val="24"/>
          <w:szCs w:val="24"/>
          <w:highlight w:val="none"/>
        </w:rPr>
        <w:t xml:space="preserve"> </w:t>
      </w:r>
      <w:r>
        <w:rPr>
          <w:rFonts w:hint="eastAsia" w:ascii="宋体" w:hAnsi="宋体" w:eastAsia="宋体" w:cs="宋体"/>
          <w:b/>
          <w:color w:val="000000" w:themeColor="text1"/>
          <w:spacing w:val="4"/>
          <w:sz w:val="24"/>
          <w:szCs w:val="24"/>
          <w:highlight w:val="none"/>
          <w:lang w:eastAsia="zh-CN"/>
        </w:rPr>
        <w:t>落实</w:t>
      </w:r>
      <w:r>
        <w:rPr>
          <w:rFonts w:hint="eastAsia" w:ascii="宋体" w:hAnsi="宋体" w:eastAsia="宋体" w:cs="宋体"/>
          <w:b/>
          <w:color w:val="000000" w:themeColor="text1"/>
          <w:spacing w:val="4"/>
          <w:sz w:val="24"/>
          <w:szCs w:val="24"/>
          <w:highlight w:val="none"/>
        </w:rPr>
        <w:t>政府采购政策评分标准</w:t>
      </w:r>
    </w:p>
    <w:p w14:paraId="217C4152">
      <w:pPr>
        <w:keepNext w:val="0"/>
        <w:keepLines w:val="0"/>
        <w:pageBreakBefore w:val="0"/>
        <w:widowControl w:val="0"/>
        <w:kinsoku/>
        <w:wordWrap/>
        <w:overflowPunct/>
        <w:topLinePunct w:val="0"/>
        <w:bidi w:val="0"/>
        <w:spacing w:line="372" w:lineRule="auto"/>
        <w:ind w:firstLine="498" w:firstLineChars="200"/>
        <w:textAlignment w:val="auto"/>
        <w:rPr>
          <w:rFonts w:hint="eastAsia" w:ascii="宋体" w:hAnsi="宋体" w:eastAsia="宋体" w:cs="宋体"/>
          <w:b/>
          <w:spacing w:val="4"/>
          <w:sz w:val="24"/>
          <w:szCs w:val="24"/>
          <w:highlight w:val="none"/>
          <w:lang w:val="en-US" w:eastAsia="zh-CN"/>
        </w:rPr>
      </w:pPr>
      <w:r>
        <w:rPr>
          <w:rFonts w:hint="eastAsia" w:ascii="宋体" w:hAnsi="宋体" w:eastAsia="宋体" w:cs="宋体"/>
          <w:b/>
          <w:spacing w:val="4"/>
          <w:sz w:val="24"/>
          <w:szCs w:val="24"/>
          <w:highlight w:val="none"/>
        </w:rPr>
        <w:t>1、政策性扣减范围</w:t>
      </w:r>
      <w:r>
        <w:rPr>
          <w:rFonts w:hint="eastAsia" w:ascii="宋体" w:hAnsi="宋体" w:eastAsia="宋体" w:cs="宋体"/>
          <w:b/>
          <w:spacing w:val="4"/>
          <w:sz w:val="24"/>
          <w:szCs w:val="24"/>
          <w:highlight w:val="none"/>
          <w:lang w:val="en-US" w:eastAsia="zh-CN"/>
        </w:rPr>
        <w:t xml:space="preserve">   </w:t>
      </w:r>
    </w:p>
    <w:p w14:paraId="30308543">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1.1供应商符合小型、微型企业或监狱企业、残疾人福利性单位条件的，其报价评审时将按相应比例进行扣减。</w:t>
      </w:r>
    </w:p>
    <w:p w14:paraId="40EA1462">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1.2根据《政府采购促进中小企业发展管理办法》（财库﹝2020﹞46号）的规定，小型、微型企业应当同时符合以下条件：</w:t>
      </w:r>
    </w:p>
    <w:p w14:paraId="191C207B">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1.2.1在货物采购项目中，货物由中小企业制造，即货物由中小企业生产且使用该中小企业商号或者注册商标；</w:t>
      </w:r>
    </w:p>
    <w:p w14:paraId="62A5D983">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1.2.2在工程采购项目中，工程由中小企业承建，即工程施工单位为中小企业；</w:t>
      </w:r>
    </w:p>
    <w:p w14:paraId="4A121D36">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1.2.3在服务采购项目中，服务由中小企业承接，即提供服务的人员为中小企业依照《中华人民共和国劳动合同法》订立劳动合同的从业人员。</w:t>
      </w:r>
    </w:p>
    <w:p w14:paraId="05956A61">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在货物采购项目中，供应商提供的货物既有中小企业制造货物，也有大型企业制造货物的，不享受本办法规定的中小企业扶持政策。</w:t>
      </w:r>
    </w:p>
    <w:p w14:paraId="65724F6A">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以联合体形式参加政府采购活动，联合体各方均为中小企业的，联</w:t>
      </w:r>
      <w:r>
        <w:rPr>
          <w:rFonts w:hint="eastAsia" w:ascii="宋体" w:hAnsi="宋体" w:eastAsia="宋体" w:cs="宋体"/>
          <w:sz w:val="24"/>
          <w:szCs w:val="24"/>
          <w:highlight w:val="none"/>
          <w:lang w:val="en-US" w:eastAsia="zh-CN"/>
        </w:rPr>
        <w:t>合体视同中小企业。其中，联合体各方均为小微企业的，联合体视同小微企业。</w:t>
      </w:r>
    </w:p>
    <w:p w14:paraId="74E26A6A">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采购人拟采购产品属于品目清单范围内的，采购人及其委托的采购代理机构应当依据国家确定的认证机构出具的、处于有效期之内的节能产品、环境标志产品认证证书，对获得证书的产品实施政府优先采购或强制采购。</w:t>
      </w:r>
    </w:p>
    <w:p w14:paraId="4FE38B38">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14:paraId="6BB8E0C3">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204DF6F">
      <w:pPr>
        <w:keepNext w:val="0"/>
        <w:keepLines w:val="0"/>
        <w:pageBreakBefore w:val="0"/>
        <w:widowControl w:val="0"/>
        <w:kinsoku/>
        <w:wordWrap/>
        <w:overflowPunct/>
        <w:topLinePunct w:val="0"/>
        <w:autoSpaceDE/>
        <w:autoSpaceDN/>
        <w:bidi w:val="0"/>
        <w:adjustRightInd/>
        <w:snapToGrid/>
        <w:spacing w:line="372"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2、政策性扣减方式：</w:t>
      </w:r>
    </w:p>
    <w:p w14:paraId="2EE2C388">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bookmarkStart w:id="372" w:name="_Toc40896065"/>
      <w:bookmarkStart w:id="373" w:name="_Toc18916"/>
      <w:bookmarkStart w:id="374" w:name="_Toc18518"/>
      <w:bookmarkStart w:id="375" w:name="_Toc19413"/>
      <w:bookmarkStart w:id="376" w:name="_Toc32174"/>
      <w:r>
        <w:rPr>
          <w:rFonts w:hint="eastAsia" w:ascii="宋体" w:hAnsi="宋体" w:eastAsia="宋体" w:cs="宋体"/>
          <w:kern w:val="2"/>
          <w:sz w:val="24"/>
          <w:szCs w:val="24"/>
          <w:highlight w:val="none"/>
          <w:lang w:val="en-US" w:eastAsia="zh-CN" w:bidi="ar-SA"/>
        </w:rPr>
        <w:t>在政府采购活动中，供应商提供的货物、工程或者服务</w:t>
      </w:r>
      <w:r>
        <w:rPr>
          <w:rFonts w:hint="eastAsia" w:ascii="宋体" w:hAnsi="宋体" w:eastAsia="宋体" w:cs="宋体"/>
          <w:sz w:val="24"/>
          <w:szCs w:val="24"/>
          <w:highlight w:val="none"/>
          <w:lang w:val="en-US" w:eastAsia="zh-CN"/>
        </w:rPr>
        <w:t>符合下列情形的，享受中小企业扶持政策：</w:t>
      </w:r>
    </w:p>
    <w:p w14:paraId="7AFE1A47">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符合《政府采购促进中小企业发展管理办法》（财库〔2020〕46号）、《关于进一步加大政府采购支持中小企业力度的通知》（财库〔2022〕19号）、《陕西省财政厅关于进一步落实政府采购支持中小企业相关政策的通知》（陕财办采〔2023〕3号）规定的对于非专门面向中小企业的货物、服务采购项目的</w:t>
      </w:r>
      <w:r>
        <w:rPr>
          <w:rFonts w:hint="eastAsia" w:ascii="宋体" w:hAnsi="宋体" w:eastAsia="宋体" w:cs="宋体"/>
          <w:b w:val="0"/>
          <w:bCs/>
          <w:color w:val="000000"/>
          <w:spacing w:val="0"/>
          <w:kern w:val="0"/>
          <w:sz w:val="24"/>
          <w:szCs w:val="24"/>
          <w:highlight w:val="none"/>
          <w:lang w:val="en-US" w:eastAsia="zh-CN"/>
        </w:rPr>
        <w:t>小微企业报价给予10%（工程项目为3%）的扣除，</w:t>
      </w:r>
      <w:r>
        <w:rPr>
          <w:rFonts w:hint="eastAsia" w:ascii="宋体" w:hAnsi="宋体" w:eastAsia="宋体" w:cs="宋体"/>
          <w:sz w:val="24"/>
          <w:szCs w:val="24"/>
          <w:highlight w:val="none"/>
          <w:lang w:val="en-US" w:eastAsia="zh-CN"/>
        </w:rPr>
        <w:t>用扣除后的价格参加评审。适用招标投标法的政府采购工程建设项目，采用综合评估法但未采用低价优先法计算价格分的，评标时应当在采用原报价进行评分的基础上增加其价格得分的3%作为其价格分。</w:t>
      </w:r>
    </w:p>
    <w:p w14:paraId="5F6ED598">
      <w:pPr>
        <w:keepNext w:val="0"/>
        <w:keepLines w:val="0"/>
        <w:pageBreakBefore w:val="0"/>
        <w:widowControl w:val="0"/>
        <w:kinsoku/>
        <w:wordWrap/>
        <w:overflowPunct/>
        <w:topLinePunct w:val="0"/>
        <w:autoSpaceDE w:val="0"/>
        <w:autoSpaceDN w:val="0"/>
        <w:bidi w:val="0"/>
        <w:adjustRightInd w:val="0"/>
        <w:snapToGrid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1467F42">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2-1、中小企业的价格评分标准</w:t>
      </w:r>
    </w:p>
    <w:p w14:paraId="23504F81">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（1）非专门面向中小企业的货物、服务采购项目，对符合招标文件规定的小微企业、监狱企业、残疾人福利性单位优惠条件的供应商价格给予10%的扣除，用扣除后的价格参与评审，其评标价=投标报价*（1-10%）。</w:t>
      </w:r>
    </w:p>
    <w:p w14:paraId="3A8405D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14:paraId="472CC670">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（3）参加政府采购活动的中小企业须提供《中小企业声明函》，不提供或提供有瑕疵的，在评审时不享受政府采购优惠政策。供应商须做出承诺，保证真实性，如有虚假，将依法承担相应责任。</w:t>
      </w:r>
    </w:p>
    <w:p w14:paraId="245B115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小企业按《政府采购促进中小企业发展管理办法》（财库【2020】46号）、《关于进一步加大政府采购支持中小企业力度的通知》（财库〔2022〕19号）、《陕西省财政厅关于进一步落实政府采购支持中小企业相关政策的通知》（陕财办采〔2023〕3号）、</w:t>
      </w:r>
      <w:r>
        <w:rPr>
          <w:rFonts w:hint="eastAsia" w:ascii="宋体" w:hAnsi="宋体" w:eastAsia="宋体" w:cs="华文楷体"/>
          <w:sz w:val="24"/>
          <w:szCs w:val="24"/>
          <w:highlight w:val="none"/>
          <w:lang w:val="en-US" w:eastAsia="zh-CN"/>
        </w:rPr>
        <w:t>宝鸡市财政局关于中、省《进一步加大政府采购支持中小企业力度的通知》落实措施的通知（宝市财办采（2022）9号）</w:t>
      </w:r>
      <w:r>
        <w:rPr>
          <w:rFonts w:hint="eastAsia" w:ascii="宋体" w:hAnsi="宋体" w:eastAsia="宋体" w:cs="宋体"/>
          <w:sz w:val="24"/>
          <w:szCs w:val="24"/>
          <w:highlight w:val="none"/>
          <w:lang w:val="en-US" w:eastAsia="zh-CN"/>
        </w:rPr>
        <w:t>和《工业和信息化部、国家统计局、国家发展和改革委员会、财政部关于印发&lt;中小企业划型标准规定&gt;的通知》（工信部联企业【2011】300号）文件规定标准确认。</w:t>
      </w:r>
    </w:p>
    <w:p w14:paraId="6982CB5E">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2-2、监狱企业的价格评分标准</w:t>
      </w:r>
    </w:p>
    <w:p w14:paraId="4725772B">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政府采购活动中，监狱企业视同小型、微型企业，享受预留份额、评审价格扣除等政府采购促进中小企业发展的政府采购政策。对监狱企业产品的价格给予10%的扣除，用扣除后的价格参与评审，其评标价=投标报价*（1-10%）。</w:t>
      </w:r>
    </w:p>
    <w:p w14:paraId="384BB80F">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（2）监狱企业属于小型、微型企业的，不重复享受政策。 </w:t>
      </w:r>
    </w:p>
    <w:p w14:paraId="72BBD224">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符合条件的监狱企业参加政府采购活动时，应当提供由省级以上监狱管理局、戒毒管理局（含新疆生产建设兵团）出具的属于监狱企业的证明文件。不提供或提供有瑕疵的不视为监狱企业，在评审时不享受政府采购优惠政策。</w:t>
      </w:r>
    </w:p>
    <w:p w14:paraId="31CD5D93">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（4）监狱企业按《财政部、司法部关于政府采购支持监狱企业发展有关问题的通知》（财库〔2014〕68号）文件规定标准执行。</w:t>
      </w:r>
    </w:p>
    <w:p w14:paraId="6B104CA4">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2-3、残疾人福利性单位的价格评分标准</w:t>
      </w:r>
    </w:p>
    <w:p w14:paraId="5937370D">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14:paraId="185C37BE">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（2）残疾人福利性单位属于小型、微型企业的，不重复享受政策。</w:t>
      </w:r>
    </w:p>
    <w:p w14:paraId="24F2CF57">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（3）符合条件的残疾人福利性单位在参加政府采购活动时，应当提供《残疾人福利性单位声明函》（见附件），并对声明的真实性负责。未提供的不视为残疾人福利性单位，在评审时不享受政府采购优惠政策。</w:t>
      </w:r>
    </w:p>
    <w:p w14:paraId="091B252B">
      <w:pPr>
        <w:keepNext w:val="0"/>
        <w:keepLines w:val="0"/>
        <w:pageBreakBefore w:val="0"/>
        <w:widowControl w:val="0"/>
        <w:kinsoku/>
        <w:wordWrap/>
        <w:overflowPunct/>
        <w:topLinePunct w:val="0"/>
        <w:bidi w:val="0"/>
        <w:spacing w:line="372"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2-4、拟采购产品属于品目清单范围的价格评分标准</w:t>
      </w:r>
    </w:p>
    <w:p w14:paraId="03967C5C">
      <w:pPr>
        <w:keepNext w:val="0"/>
        <w:keepLines w:val="0"/>
        <w:pageBreakBefore w:val="0"/>
        <w:widowControl w:val="0"/>
        <w:kinsoku/>
        <w:wordWrap/>
        <w:overflowPunct/>
        <w:topLinePunct w:val="0"/>
        <w:bidi w:val="0"/>
        <w:spacing w:line="372"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（1）投标人享受支持中小型企业发展政策优惠的，可以同时享受节能、环境标志产品优先采购政策。</w:t>
      </w:r>
    </w:p>
    <w:p w14:paraId="0F8696C8">
      <w:pPr>
        <w:keepNext w:val="0"/>
        <w:keepLines w:val="0"/>
        <w:pageBreakBefore w:val="0"/>
        <w:widowControl w:val="0"/>
        <w:kinsoku/>
        <w:wordWrap/>
        <w:overflowPunct/>
        <w:topLinePunct w:val="0"/>
        <w:bidi w:val="0"/>
        <w:spacing w:line="372"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（2）单个合同项为单一产品的，所投产品为节能、环境标志产品的在投标报价的基础上，按“投标报价×10%”进行扣减。</w:t>
      </w:r>
    </w:p>
    <w:p w14:paraId="47B4EC28">
      <w:pPr>
        <w:keepNext w:val="0"/>
        <w:keepLines w:val="0"/>
        <w:pageBreakBefore w:val="0"/>
        <w:widowControl w:val="0"/>
        <w:kinsoku/>
        <w:wordWrap/>
        <w:overflowPunct/>
        <w:topLinePunct w:val="0"/>
        <w:bidi w:val="0"/>
        <w:spacing w:line="372"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单个合同项为多种产品的，所投产品为节能、环境标志产品报价占到总报价30％以上的，在投标报价的基础上，按“投标报价×10%”进行扣减；在报价时须对此类产品单独分项报价，计算出小计及占总价的百分比。未提供节能、环境标志产品报价明细表及本章第3.6项第1条</w:t>
      </w:r>
      <w:r>
        <w:rPr>
          <w:rFonts w:hint="eastAsia" w:ascii="宋体" w:hAnsi="宋体" w:eastAsia="宋体" w:cs="宋体"/>
          <w:sz w:val="24"/>
          <w:szCs w:val="24"/>
          <w:highlight w:val="none"/>
          <w:lang w:val="en-US" w:eastAsia="zh-CN"/>
        </w:rPr>
        <w:t>第</w:t>
      </w:r>
      <w:r>
        <w:rPr>
          <w:rFonts w:hint="default" w:ascii="宋体" w:hAnsi="宋体" w:eastAsia="宋体" w:cs="宋体"/>
          <w:sz w:val="24"/>
          <w:szCs w:val="24"/>
          <w:highlight w:val="none"/>
          <w:lang w:val="en-US" w:eastAsia="zh-CN"/>
        </w:rPr>
        <w:t>1.3条规定的证明材料，在评审时不享受政府采购优惠政策。</w:t>
      </w:r>
    </w:p>
    <w:p w14:paraId="7454AFBB">
      <w:pPr>
        <w:keepNext w:val="0"/>
        <w:keepLines w:val="0"/>
        <w:pageBreakBefore w:val="0"/>
        <w:widowControl w:val="0"/>
        <w:kinsoku/>
        <w:wordWrap/>
        <w:overflowPunct/>
        <w:topLinePunct w:val="0"/>
        <w:bidi w:val="0"/>
        <w:spacing w:line="372" w:lineRule="auto"/>
        <w:textAlignment w:val="auto"/>
        <w:outlineLvl w:val="1"/>
        <w:rPr>
          <w:rFonts w:hint="eastAsia" w:ascii="宋体" w:hAnsi="宋体" w:eastAsia="宋体" w:cs="宋体"/>
          <w:b/>
          <w:bCs/>
          <w:sz w:val="24"/>
          <w:szCs w:val="24"/>
          <w:highlight w:val="none"/>
        </w:rPr>
      </w:pPr>
      <w:bookmarkStart w:id="377" w:name="_Toc28350"/>
      <w:bookmarkStart w:id="378" w:name="_Toc18817"/>
      <w:bookmarkStart w:id="379" w:name="_Toc5790"/>
      <w:bookmarkStart w:id="380" w:name="_Toc32628"/>
      <w:bookmarkStart w:id="381" w:name="_Toc25011"/>
      <w:bookmarkStart w:id="382" w:name="_Toc22256"/>
      <w:bookmarkStart w:id="383" w:name="_Toc10493"/>
      <w:bookmarkStart w:id="384" w:name="_Toc17234"/>
      <w:bookmarkStart w:id="385" w:name="_Toc15659"/>
      <w:r>
        <w:rPr>
          <w:rFonts w:hint="eastAsia" w:ascii="宋体" w:hAnsi="宋体" w:eastAsia="宋体" w:cs="宋体"/>
          <w:b/>
          <w:bCs/>
          <w:sz w:val="24"/>
          <w:szCs w:val="24"/>
          <w:highlight w:val="none"/>
        </w:rPr>
        <w:t>四、评标结果</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7C765BC">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4.1评标委员会依据本章规定的评分标准进行评分，按供应商最终得分由高到低的顺序推荐3名成交候选人，并标明推荐顺序。</w:t>
      </w:r>
    </w:p>
    <w:p w14:paraId="485F25F7">
      <w:pPr>
        <w:keepNext w:val="0"/>
        <w:keepLines w:val="0"/>
        <w:pageBreakBefore w:val="0"/>
        <w:widowControl w:val="0"/>
        <w:kinsoku/>
        <w:wordWrap/>
        <w:overflowPunct/>
        <w:topLinePunct w:val="0"/>
        <w:bidi w:val="0"/>
        <w:spacing w:line="372" w:lineRule="auto"/>
        <w:ind w:firstLine="480" w:firstLineChars="200"/>
        <w:textAlignment w:val="auto"/>
        <w:rPr>
          <w:rFonts w:hint="eastAsia" w:ascii="宋体" w:hAnsi="宋体" w:eastAsia="宋体" w:cs="宋体"/>
          <w:sz w:val="24"/>
          <w:szCs w:val="24"/>
          <w:highlight w:val="none"/>
          <w:lang w:val="en-US" w:eastAsia="zh-CN"/>
        </w:rPr>
        <w:sectPr>
          <w:footerReference r:id="rId13" w:type="first"/>
          <w:headerReference r:id="rId11" w:type="default"/>
          <w:footerReference r:id="rId12" w:type="default"/>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sz w:val="24"/>
          <w:szCs w:val="24"/>
          <w:highlight w:val="none"/>
          <w:lang w:val="en-US" w:eastAsia="zh-CN"/>
        </w:rPr>
        <w:t>4.2评标结果由全体评标委员会成员签字确认。</w:t>
      </w:r>
    </w:p>
    <w:p w14:paraId="22451C9F">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0"/>
        <w:rPr>
          <w:rFonts w:hint="eastAsia"/>
          <w:sz w:val="30"/>
          <w:szCs w:val="30"/>
          <w:highlight w:val="none"/>
          <w:lang w:val="en-US" w:eastAsia="zh-CN"/>
        </w:rPr>
      </w:pPr>
      <w:bookmarkStart w:id="386" w:name="_Toc13808"/>
      <w:bookmarkStart w:id="387" w:name="_Toc7369"/>
      <w:r>
        <w:rPr>
          <w:rFonts w:hint="eastAsia" w:ascii="宋体" w:hAnsi="宋体" w:eastAsia="宋体" w:cs="宋体"/>
          <w:b/>
          <w:bCs/>
          <w:sz w:val="30"/>
          <w:szCs w:val="30"/>
          <w:highlight w:val="none"/>
          <w:lang w:val="en-US" w:eastAsia="zh-CN"/>
        </w:rPr>
        <w:t>第四章 采购内容及要求</w:t>
      </w:r>
      <w:bookmarkEnd w:id="386"/>
      <w:bookmarkEnd w:id="387"/>
    </w:p>
    <w:p w14:paraId="0D6C2F0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14:paraId="520C4974">
      <w:pPr>
        <w:pStyle w:val="3"/>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bookmarkStart w:id="388" w:name="_Toc371"/>
      <w:bookmarkStart w:id="389" w:name="_Toc18248"/>
      <w:bookmarkStart w:id="390" w:name="_Toc2169"/>
      <w:r>
        <w:rPr>
          <w:rFonts w:hint="eastAsia" w:ascii="宋体" w:hAnsi="宋体" w:eastAsia="宋体" w:cs="宋体"/>
          <w:b w:val="0"/>
          <w:bCs w:val="0"/>
          <w:sz w:val="24"/>
          <w:szCs w:val="24"/>
          <w:lang w:eastAsia="zh-CN"/>
        </w:rPr>
        <w:t>宝鸡市陈仓区</w:t>
      </w:r>
      <w:r>
        <w:rPr>
          <w:rFonts w:hint="eastAsia" w:ascii="宋体" w:hAnsi="宋体" w:eastAsia="宋体" w:cs="宋体"/>
          <w:b w:val="0"/>
          <w:bCs w:val="0"/>
          <w:sz w:val="24"/>
          <w:szCs w:val="24"/>
          <w:highlight w:val="none"/>
          <w:lang w:eastAsia="zh-CN"/>
        </w:rPr>
        <w:t>渭河中游段绿化管护卫生保洁及设施管理项目</w:t>
      </w:r>
      <w:r>
        <w:rPr>
          <w:rFonts w:hint="eastAsia" w:ascii="宋体" w:hAnsi="宋体" w:eastAsia="宋体" w:cs="宋体"/>
          <w:b w:val="0"/>
          <w:bCs w:val="0"/>
          <w:sz w:val="24"/>
          <w:szCs w:val="24"/>
          <w:highlight w:val="none"/>
        </w:rPr>
        <w:t>由绿化管护</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卫生保洁</w:t>
      </w:r>
      <w:r>
        <w:rPr>
          <w:rFonts w:hint="eastAsia" w:ascii="宋体" w:hAnsi="宋体" w:eastAsia="宋体" w:cs="宋体"/>
          <w:b w:val="0"/>
          <w:bCs w:val="0"/>
          <w:sz w:val="24"/>
          <w:szCs w:val="24"/>
          <w:highlight w:val="none"/>
          <w:lang w:eastAsia="zh-CN"/>
        </w:rPr>
        <w:t>和设施管理三</w:t>
      </w:r>
      <w:r>
        <w:rPr>
          <w:rFonts w:hint="eastAsia" w:ascii="宋体" w:hAnsi="宋体" w:eastAsia="宋体" w:cs="宋体"/>
          <w:b w:val="0"/>
          <w:bCs w:val="0"/>
          <w:sz w:val="24"/>
          <w:szCs w:val="24"/>
          <w:highlight w:val="none"/>
        </w:rPr>
        <w:t>部分组成，其中绿化管护</w:t>
      </w:r>
      <w:r>
        <w:rPr>
          <w:rFonts w:hint="eastAsia" w:ascii="宋体" w:hAnsi="宋体" w:eastAsia="宋体" w:cs="宋体"/>
          <w:b w:val="0"/>
          <w:bCs w:val="0"/>
          <w:sz w:val="24"/>
          <w:szCs w:val="24"/>
          <w:highlight w:val="none"/>
          <w:lang w:eastAsia="zh-CN"/>
        </w:rPr>
        <w:t>包括</w:t>
      </w:r>
      <w:r>
        <w:rPr>
          <w:rFonts w:hint="eastAsia" w:ascii="宋体" w:hAnsi="宋体" w:eastAsia="宋体" w:cs="宋体"/>
          <w:b w:val="0"/>
          <w:bCs w:val="0"/>
          <w:sz w:val="24"/>
          <w:szCs w:val="24"/>
          <w:highlight w:val="none"/>
        </w:rPr>
        <w:t>堤顶绿化管护、渭河生态运动公园绿化管护</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中水湿地绿化管护</w:t>
      </w:r>
      <w:r>
        <w:rPr>
          <w:rFonts w:hint="eastAsia" w:ascii="宋体" w:hAnsi="宋体" w:eastAsia="宋体" w:cs="宋体"/>
          <w:b w:val="0"/>
          <w:bCs w:val="0"/>
          <w:sz w:val="24"/>
          <w:szCs w:val="24"/>
          <w:highlight w:val="none"/>
          <w:lang w:eastAsia="zh-CN"/>
        </w:rPr>
        <w:t>及苗圃绿化管护</w:t>
      </w:r>
      <w:r>
        <w:rPr>
          <w:rFonts w:hint="eastAsia" w:ascii="宋体" w:hAnsi="宋体" w:eastAsia="宋体" w:cs="宋体"/>
          <w:b w:val="0"/>
          <w:bCs w:val="0"/>
          <w:sz w:val="24"/>
          <w:szCs w:val="24"/>
          <w:highlight w:val="none"/>
        </w:rPr>
        <w:t>；卫生保洁</w:t>
      </w:r>
      <w:r>
        <w:rPr>
          <w:rFonts w:hint="eastAsia" w:ascii="宋体" w:hAnsi="宋体" w:eastAsia="宋体" w:cs="宋体"/>
          <w:b w:val="0"/>
          <w:bCs w:val="0"/>
          <w:sz w:val="24"/>
          <w:szCs w:val="24"/>
          <w:highlight w:val="none"/>
          <w:lang w:eastAsia="zh-CN"/>
        </w:rPr>
        <w:t>包括</w:t>
      </w:r>
      <w:r>
        <w:rPr>
          <w:rFonts w:hint="eastAsia" w:ascii="宋体" w:hAnsi="宋体" w:eastAsia="宋体" w:cs="宋体"/>
          <w:b w:val="0"/>
          <w:bCs w:val="0"/>
          <w:sz w:val="24"/>
          <w:szCs w:val="24"/>
          <w:highlight w:val="none"/>
        </w:rPr>
        <w:t>堤顶卫生保洁、渭河生态运动公园卫生保洁及中水湿地卫生保洁</w:t>
      </w:r>
      <w:r>
        <w:rPr>
          <w:rFonts w:hint="eastAsia" w:ascii="宋体" w:hAnsi="宋体" w:eastAsia="宋体" w:cs="宋体"/>
          <w:b w:val="0"/>
          <w:bCs w:val="0"/>
          <w:sz w:val="24"/>
          <w:szCs w:val="24"/>
          <w:highlight w:val="none"/>
          <w:lang w:eastAsia="zh-CN"/>
        </w:rPr>
        <w:t>；设施管理包括管护区内水利及公用基础设施管理</w:t>
      </w:r>
      <w:r>
        <w:rPr>
          <w:rFonts w:hint="eastAsia" w:ascii="宋体" w:hAnsi="宋体" w:eastAsia="宋体" w:cs="宋体"/>
          <w:b w:val="0"/>
          <w:bCs w:val="0"/>
          <w:sz w:val="24"/>
          <w:szCs w:val="24"/>
          <w:highlight w:val="none"/>
        </w:rPr>
        <w:t>。</w:t>
      </w:r>
      <w:bookmarkEnd w:id="388"/>
      <w:bookmarkEnd w:id="389"/>
      <w:bookmarkEnd w:id="390"/>
    </w:p>
    <w:p w14:paraId="02DBAB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二、服务期限</w:t>
      </w:r>
    </w:p>
    <w:p w14:paraId="4866986B">
      <w:pPr>
        <w:pStyle w:val="3"/>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eastAsia="zh-CN"/>
        </w:rPr>
      </w:pPr>
      <w:bookmarkStart w:id="391" w:name="_Toc1812"/>
      <w:r>
        <w:rPr>
          <w:rFonts w:hint="eastAsia" w:ascii="宋体" w:hAnsi="宋体" w:eastAsia="宋体" w:cs="宋体"/>
          <w:b w:val="0"/>
          <w:bCs w:val="0"/>
          <w:sz w:val="24"/>
          <w:szCs w:val="24"/>
          <w:highlight w:val="none"/>
        </w:rPr>
        <w:t>服务期限</w:t>
      </w:r>
      <w:r>
        <w:rPr>
          <w:rFonts w:hint="eastAsia" w:ascii="宋体" w:hAnsi="宋体" w:eastAsia="宋体" w:cs="宋体"/>
          <w:b w:val="0"/>
          <w:bCs w:val="0"/>
          <w:sz w:val="24"/>
          <w:szCs w:val="24"/>
          <w:highlight w:val="none"/>
          <w:lang w:eastAsia="zh-CN"/>
        </w:rPr>
        <w:t>：</w:t>
      </w:r>
      <w:bookmarkEnd w:id="391"/>
      <w:r>
        <w:rPr>
          <w:rFonts w:hint="eastAsia" w:ascii="宋体" w:hAnsi="宋体" w:eastAsia="宋体" w:cs="宋体"/>
          <w:b w:val="0"/>
          <w:bCs w:val="0"/>
          <w:sz w:val="24"/>
          <w:szCs w:val="24"/>
          <w:highlight w:val="none"/>
          <w:lang w:eastAsia="zh-CN"/>
        </w:rPr>
        <w:t>合同签订之日起一年，可连续三年。</w:t>
      </w:r>
    </w:p>
    <w:p w14:paraId="3455790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三、绿化管护、卫生保洁范围及内容</w:t>
      </w:r>
    </w:p>
    <w:p w14:paraId="670A89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1绿化管护</w:t>
      </w:r>
    </w:p>
    <w:p w14:paraId="5318E6BE">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rPr>
        <w:t>、堤顶绿化管护</w:t>
      </w:r>
      <w:r>
        <w:rPr>
          <w:rFonts w:hint="eastAsia" w:ascii="宋体" w:hAnsi="宋体" w:eastAsia="宋体" w:cs="宋体"/>
          <w:sz w:val="24"/>
          <w:szCs w:val="24"/>
        </w:rPr>
        <w:br w:type="textWrapping"/>
      </w:r>
      <w:r>
        <w:rPr>
          <w:rFonts w:hint="eastAsia" w:ascii="宋体" w:hAnsi="宋体" w:eastAsia="宋体" w:cs="宋体"/>
          <w:sz w:val="24"/>
          <w:szCs w:val="24"/>
        </w:rPr>
        <w:t xml:space="preserve">     宝鸡市陈仓区渭河中游段堤顶西起凤凰大桥，东至法士特大桥</w:t>
      </w:r>
      <w:r>
        <w:rPr>
          <w:rFonts w:hint="eastAsia" w:ascii="宋体" w:hAnsi="宋体" w:eastAsia="宋体" w:cs="宋体"/>
          <w:sz w:val="24"/>
          <w:szCs w:val="24"/>
          <w:highlight w:val="none"/>
        </w:rPr>
        <w:t>，全长</w:t>
      </w:r>
      <w:r>
        <w:rPr>
          <w:rFonts w:hint="eastAsia" w:ascii="宋体" w:hAnsi="宋体" w:eastAsia="宋体" w:cs="宋体"/>
          <w:b w:val="0"/>
          <w:bCs w:val="0"/>
          <w:sz w:val="24"/>
          <w:szCs w:val="24"/>
          <w:highlight w:val="none"/>
          <w:vertAlign w:val="baseline"/>
          <w:lang w:val="en-US" w:eastAsia="zh-CN"/>
        </w:rPr>
        <w:t>24.95</w:t>
      </w:r>
      <w:r>
        <w:rPr>
          <w:rFonts w:hint="eastAsia" w:ascii="宋体" w:hAnsi="宋体" w:eastAsia="宋体" w:cs="宋体"/>
          <w:sz w:val="24"/>
          <w:szCs w:val="24"/>
          <w:highlight w:val="none"/>
        </w:rPr>
        <w:t>公里。</w:t>
      </w:r>
      <w:r>
        <w:rPr>
          <w:rFonts w:hint="eastAsia" w:ascii="宋体" w:hAnsi="宋体" w:eastAsia="宋体" w:cs="宋体"/>
          <w:sz w:val="24"/>
          <w:szCs w:val="24"/>
        </w:rPr>
        <w:t>分城防段和农防段两部分。</w:t>
      </w:r>
      <w:r>
        <w:rPr>
          <w:rFonts w:hint="eastAsia" w:ascii="宋体" w:hAnsi="宋体" w:eastAsia="宋体" w:cs="宋体"/>
          <w:sz w:val="24"/>
          <w:szCs w:val="24"/>
        </w:rPr>
        <w:br w:type="textWrapping"/>
      </w:r>
      <w:r>
        <w:rPr>
          <w:rFonts w:hint="eastAsia" w:ascii="宋体" w:hAnsi="宋体" w:eastAsia="宋体" w:cs="宋体"/>
          <w:sz w:val="24"/>
          <w:szCs w:val="24"/>
        </w:rPr>
        <w:t xml:space="preserve">     1、城防段。西起凤凰大桥，东至西秦村，全长8.343公里。绿化管护范围：</w:t>
      </w:r>
      <w:r>
        <w:rPr>
          <w:rFonts w:hint="eastAsia" w:ascii="宋体" w:hAnsi="宋体" w:eastAsia="宋体" w:cs="宋体"/>
          <w:sz w:val="24"/>
          <w:szCs w:val="24"/>
        </w:rPr>
        <w:br w:type="textWrapping"/>
      </w:r>
      <w:r>
        <w:rPr>
          <w:rFonts w:hint="eastAsia" w:ascii="宋体" w:hAnsi="宋体" w:eastAsia="宋体" w:cs="宋体"/>
          <w:sz w:val="24"/>
          <w:szCs w:val="24"/>
        </w:rPr>
        <w:t xml:space="preserve">    (1)、堤顶中间2.5米绿化隔离带；</w:t>
      </w:r>
      <w:r>
        <w:rPr>
          <w:rFonts w:hint="eastAsia" w:ascii="宋体" w:hAnsi="宋体" w:eastAsia="宋体" w:cs="宋体"/>
          <w:sz w:val="24"/>
          <w:szCs w:val="24"/>
        </w:rPr>
        <w:br w:type="textWrapping"/>
      </w:r>
      <w:r>
        <w:rPr>
          <w:rFonts w:hint="eastAsia" w:ascii="宋体" w:hAnsi="宋体" w:eastAsia="宋体" w:cs="宋体"/>
          <w:sz w:val="24"/>
          <w:szCs w:val="24"/>
        </w:rPr>
        <w:t xml:space="preserve">    (2)、堤顶南侧1.0米绿化带；</w:t>
      </w:r>
      <w:r>
        <w:rPr>
          <w:rFonts w:hint="eastAsia" w:ascii="宋体" w:hAnsi="宋体" w:eastAsia="宋体" w:cs="宋体"/>
          <w:sz w:val="24"/>
          <w:szCs w:val="24"/>
        </w:rPr>
        <w:br w:type="textWrapping"/>
      </w: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南北两侧堤肩行道树及行道树之间绿篱</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xml:space="preserve">    (4)、迎水坡、背水坡各约18米草；</w:t>
      </w:r>
      <w:r>
        <w:rPr>
          <w:rFonts w:hint="eastAsia" w:ascii="宋体" w:hAnsi="宋体" w:eastAsia="宋体" w:cs="宋体"/>
          <w:sz w:val="24"/>
          <w:szCs w:val="24"/>
        </w:rPr>
        <w:br w:type="textWrapping"/>
      </w:r>
      <w:r>
        <w:rPr>
          <w:rFonts w:hint="eastAsia" w:ascii="宋体" w:hAnsi="宋体" w:eastAsia="宋体" w:cs="宋体"/>
          <w:sz w:val="24"/>
          <w:szCs w:val="24"/>
        </w:rPr>
        <w:t xml:space="preserve">    (5)、迎水坡13处踏步两侧绿篱及坡面造型绿化。</w:t>
      </w:r>
      <w:r>
        <w:rPr>
          <w:rFonts w:hint="eastAsia" w:ascii="宋体" w:hAnsi="宋体" w:eastAsia="宋体" w:cs="宋体"/>
          <w:sz w:val="24"/>
          <w:szCs w:val="24"/>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vertAlign w:val="baseline"/>
          <w:lang w:val="en-US" w:eastAsia="zh-CN"/>
        </w:rPr>
        <w:t>城防段（背水坡坡脚至滨河路人行道），</w:t>
      </w:r>
      <w:r>
        <w:rPr>
          <w:rFonts w:hint="eastAsia" w:ascii="宋体" w:hAnsi="宋体" w:eastAsia="宋体" w:cs="宋体"/>
          <w:sz w:val="24"/>
          <w:szCs w:val="24"/>
          <w:highlight w:val="none"/>
        </w:rPr>
        <w:t>全长</w:t>
      </w:r>
      <w:r>
        <w:rPr>
          <w:rFonts w:hint="eastAsia" w:ascii="宋体" w:hAnsi="宋体" w:eastAsia="宋体" w:cs="宋体"/>
          <w:sz w:val="24"/>
          <w:szCs w:val="24"/>
          <w:highlight w:val="none"/>
          <w:vertAlign w:val="baseline"/>
          <w:lang w:val="en-US" w:eastAsia="zh-CN"/>
        </w:rPr>
        <w:t>7.06</w:t>
      </w:r>
      <w:r>
        <w:rPr>
          <w:rFonts w:hint="eastAsia" w:ascii="宋体" w:hAnsi="宋体" w:eastAsia="宋体" w:cs="宋体"/>
          <w:sz w:val="24"/>
          <w:szCs w:val="24"/>
          <w:highlight w:val="none"/>
        </w:rPr>
        <w:t>公里。绿化管护范围：</w:t>
      </w:r>
    </w:p>
    <w:p w14:paraId="121DFE4C">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(1)、杂草清理</w:t>
      </w:r>
    </w:p>
    <w:p w14:paraId="0F5141BE">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、农防段。西起西秦村，东至法士特大桥，全长16.607公里。绿化管护范围：</w:t>
      </w:r>
      <w:r>
        <w:rPr>
          <w:rFonts w:hint="eastAsia" w:ascii="宋体" w:hAnsi="宋体" w:eastAsia="宋体" w:cs="宋体"/>
          <w:sz w:val="24"/>
          <w:szCs w:val="24"/>
          <w:highlight w:val="none"/>
        </w:rPr>
        <w:br w:type="textWrapping"/>
      </w:r>
      <w:r>
        <w:rPr>
          <w:rFonts w:hint="eastAsia" w:ascii="宋体" w:hAnsi="宋体" w:eastAsia="宋体" w:cs="宋体"/>
          <w:sz w:val="24"/>
          <w:szCs w:val="24"/>
        </w:rPr>
        <w:t xml:space="preserve">    (1)、堤顶中间2.5米绿化隔离带；</w:t>
      </w:r>
      <w:r>
        <w:rPr>
          <w:rFonts w:hint="eastAsia" w:ascii="宋体" w:hAnsi="宋体" w:eastAsia="宋体" w:cs="宋体"/>
          <w:sz w:val="24"/>
          <w:szCs w:val="24"/>
        </w:rPr>
        <w:br w:type="textWrapping"/>
      </w:r>
      <w:r>
        <w:rPr>
          <w:rFonts w:hint="eastAsia" w:ascii="宋体" w:hAnsi="宋体" w:eastAsia="宋体" w:cs="宋体"/>
          <w:sz w:val="24"/>
          <w:szCs w:val="24"/>
        </w:rPr>
        <w:t xml:space="preserve">    (2)、北侧1.0米绿化带；</w:t>
      </w:r>
      <w:r>
        <w:rPr>
          <w:rFonts w:hint="eastAsia" w:ascii="宋体" w:hAnsi="宋体" w:eastAsia="宋体" w:cs="宋体"/>
          <w:sz w:val="24"/>
          <w:szCs w:val="24"/>
        </w:rPr>
        <w:br w:type="textWrapping"/>
      </w:r>
      <w:r>
        <w:rPr>
          <w:rFonts w:hint="eastAsia" w:ascii="宋体" w:hAnsi="宋体" w:eastAsia="宋体" w:cs="宋体"/>
          <w:sz w:val="24"/>
          <w:szCs w:val="24"/>
        </w:rPr>
        <w:t xml:space="preserve">    (3)、南北两侧堤肩行道树及行道树之间绿篱；</w:t>
      </w:r>
      <w:r>
        <w:rPr>
          <w:rFonts w:hint="eastAsia" w:ascii="宋体" w:hAnsi="宋体" w:eastAsia="宋体" w:cs="宋体"/>
          <w:sz w:val="24"/>
          <w:szCs w:val="24"/>
        </w:rPr>
        <w:br w:type="textWrapping"/>
      </w:r>
      <w:r>
        <w:rPr>
          <w:rFonts w:hint="eastAsia" w:ascii="宋体" w:hAnsi="宋体" w:eastAsia="宋体" w:cs="宋体"/>
          <w:sz w:val="24"/>
          <w:szCs w:val="24"/>
        </w:rPr>
        <w:t xml:space="preserve">   （4)、迎水坡、背水坡各约18米草。</w:t>
      </w:r>
    </w:p>
    <w:p w14:paraId="46D8AC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（二）、渭河生态运动公园绿化管护</w:t>
      </w:r>
      <w:r>
        <w:rPr>
          <w:rFonts w:hint="eastAsia" w:ascii="宋体" w:hAnsi="宋体" w:eastAsia="宋体" w:cs="宋体"/>
          <w:color w:val="000000"/>
          <w:sz w:val="24"/>
          <w:szCs w:val="24"/>
          <w:highlight w:val="none"/>
          <w:shd w:val="clear" w:color="auto" w:fill="FFFFFF"/>
        </w:rPr>
        <w:br w:type="textWrapping"/>
      </w: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绿化</w:t>
      </w:r>
      <w:r>
        <w:rPr>
          <w:rFonts w:hint="eastAsia" w:ascii="宋体" w:hAnsi="宋体" w:eastAsia="宋体" w:cs="宋体"/>
          <w:sz w:val="24"/>
          <w:szCs w:val="24"/>
          <w:highlight w:val="none"/>
        </w:rPr>
        <w:t>管护范围：西起凤凰大桥，东至虢镇大桥下游400米处，全长7.06公里；北起大堤迎水坡堤脚，南至子堤迎水坡坡脚。</w:t>
      </w:r>
    </w:p>
    <w:p w14:paraId="42A9FB37">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（三）、中</w:t>
      </w:r>
      <w:r>
        <w:rPr>
          <w:rFonts w:hint="eastAsia" w:ascii="宋体" w:hAnsi="宋体" w:eastAsia="宋体" w:cs="宋体"/>
          <w:sz w:val="24"/>
          <w:szCs w:val="24"/>
        </w:rPr>
        <w:t>水湿地绿化管护</w:t>
      </w:r>
    </w:p>
    <w:p w14:paraId="2663F56B">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1、管护范围：东西长2.3公里，南北宽约100米。</w:t>
      </w:r>
    </w:p>
    <w:p w14:paraId="1698D3C8">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（四）、苗圃绿化管护</w:t>
      </w:r>
    </w:p>
    <w:p w14:paraId="58AD5E1B">
      <w:pPr>
        <w:pStyle w:val="18"/>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1、管护范围：东西长100米，南北宽约100米。</w:t>
      </w:r>
    </w:p>
    <w:p w14:paraId="43BC64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.2卫生保洁</w:t>
      </w:r>
    </w:p>
    <w:p w14:paraId="0AD1CBE3">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堤顶卫生保洁</w:t>
      </w:r>
    </w:p>
    <w:p w14:paraId="0A24288A">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堤顶卫生保洁西起凤凰大桥，东至法士</w:t>
      </w:r>
      <w:r>
        <w:rPr>
          <w:rFonts w:hint="eastAsia" w:ascii="宋体" w:hAnsi="宋体" w:eastAsia="宋体" w:cs="宋体"/>
          <w:sz w:val="24"/>
          <w:szCs w:val="24"/>
          <w:highlight w:val="none"/>
        </w:rPr>
        <w:t>特大桥，全长</w:t>
      </w:r>
      <w:r>
        <w:rPr>
          <w:rFonts w:hint="eastAsia" w:ascii="宋体" w:hAnsi="宋体" w:eastAsia="宋体" w:cs="宋体"/>
          <w:b w:val="0"/>
          <w:bCs w:val="0"/>
          <w:sz w:val="24"/>
          <w:szCs w:val="24"/>
          <w:highlight w:val="none"/>
          <w:vertAlign w:val="baseline"/>
          <w:lang w:val="en-US" w:eastAsia="zh-CN"/>
        </w:rPr>
        <w:t>24.95</w:t>
      </w:r>
      <w:r>
        <w:rPr>
          <w:rFonts w:hint="eastAsia" w:ascii="宋体" w:hAnsi="宋体" w:eastAsia="宋体" w:cs="宋体"/>
          <w:sz w:val="24"/>
          <w:szCs w:val="24"/>
          <w:highlight w:val="none"/>
        </w:rPr>
        <w:t>公里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w:t>
      </w:r>
      <w:r>
        <w:rPr>
          <w:rFonts w:hint="eastAsia" w:ascii="宋体" w:hAnsi="宋体" w:eastAsia="宋体" w:cs="宋体"/>
          <w:sz w:val="24"/>
          <w:szCs w:val="24"/>
        </w:rPr>
        <w:t>城市核心区和</w:t>
      </w:r>
    </w:p>
    <w:p w14:paraId="7D6C4AB0">
      <w:pPr>
        <w:pStyle w:val="18"/>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农防段:</w:t>
      </w:r>
      <w:r>
        <w:rPr>
          <w:rFonts w:hint="eastAsia" w:ascii="宋体" w:hAnsi="宋体" w:eastAsia="宋体" w:cs="宋体"/>
          <w:sz w:val="24"/>
          <w:szCs w:val="24"/>
        </w:rPr>
        <w:br w:type="textWrapping"/>
      </w:r>
      <w:r>
        <w:rPr>
          <w:rFonts w:hint="eastAsia" w:ascii="宋体" w:hAnsi="宋体" w:eastAsia="宋体" w:cs="宋体"/>
          <w:sz w:val="24"/>
          <w:szCs w:val="24"/>
        </w:rPr>
        <w:t xml:space="preserve">    (1)、城市核心区:西起凤凰大桥，东至陆港大桥的堤顶和坡面每天坚持保洁，保持干净卫生。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(2)、农防段:西起陆港大桥，东至法士特大桥的堤顶和坡面每周保洁2至3次，保持干净卫生。</w:t>
      </w:r>
    </w:p>
    <w:p w14:paraId="1B72677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渭河生态运动公园卫生保洁</w:t>
      </w:r>
      <w:r>
        <w:rPr>
          <w:rFonts w:hint="eastAsia" w:ascii="宋体" w:hAnsi="宋体" w:eastAsia="宋体" w:cs="宋体"/>
          <w:sz w:val="24"/>
          <w:szCs w:val="24"/>
        </w:rPr>
        <w:br w:type="textWrapping"/>
      </w:r>
      <w:r>
        <w:rPr>
          <w:rFonts w:hint="eastAsia" w:ascii="宋体" w:hAnsi="宋体" w:eastAsia="宋体" w:cs="宋体"/>
          <w:sz w:val="24"/>
          <w:szCs w:val="24"/>
        </w:rPr>
        <w:t xml:space="preserve">    (1)、保洁范围：西起凤凰大桥，东至虢镇大桥下游400米处，全长7.06公里；北起大堤迎水坡堤脚，南至子堤迎水坡坡脚。</w:t>
      </w:r>
      <w:r>
        <w:rPr>
          <w:rFonts w:hint="eastAsia" w:ascii="宋体" w:hAnsi="宋体" w:eastAsia="宋体" w:cs="宋体"/>
          <w:sz w:val="24"/>
          <w:szCs w:val="24"/>
        </w:rPr>
        <w:br w:type="textWrapping"/>
      </w:r>
      <w:r>
        <w:rPr>
          <w:rFonts w:hint="eastAsia" w:ascii="宋体" w:hAnsi="宋体" w:eastAsia="宋体" w:cs="宋体"/>
          <w:sz w:val="24"/>
          <w:szCs w:val="24"/>
        </w:rPr>
        <w:t xml:space="preserve">    (2)、范围内的道路、园路、栈道、亭阁等设施、每天坚持保洁，保持干净卫生。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(3)、7个公厕的管理，包括卫生、水电等设施，每天坚持保洁，保持干净卫生。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(4)、运动设施及场地的管理，包括卫生、电灯、体育设施，保证干净卫生。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(5)、陈仓印象塔管理，包括卫生、电灯、管理房等设施，保证干净卫生。</w:t>
      </w:r>
    </w:p>
    <w:p w14:paraId="2AC49DF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（三）、中水</w:t>
      </w:r>
      <w:r>
        <w:rPr>
          <w:rFonts w:hint="eastAsia" w:ascii="宋体" w:hAnsi="宋体" w:eastAsia="宋体" w:cs="宋体"/>
          <w:sz w:val="24"/>
          <w:szCs w:val="24"/>
          <w:lang w:val="en-US" w:eastAsia="zh-CN"/>
        </w:rPr>
        <w:t>湿地卫生</w:t>
      </w:r>
      <w:r>
        <w:rPr>
          <w:rFonts w:hint="eastAsia" w:ascii="宋体" w:hAnsi="宋体" w:eastAsia="宋体" w:cs="宋体"/>
          <w:kern w:val="2"/>
          <w:sz w:val="24"/>
          <w:szCs w:val="24"/>
          <w:lang w:val="en-US" w:eastAsia="zh-CN" w:bidi="ar-SA"/>
        </w:rPr>
        <w:t>保洁</w:t>
      </w:r>
      <w:r>
        <w:rPr>
          <w:rFonts w:hint="eastAsia" w:ascii="宋体" w:hAnsi="宋体" w:eastAsia="宋体" w:cs="宋体"/>
          <w:color w:val="000000"/>
          <w:sz w:val="24"/>
          <w:szCs w:val="24"/>
          <w:shd w:val="clear" w:color="auto" w:fill="FFFFFF"/>
        </w:rPr>
        <w:br w:type="textWrapping"/>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 xml:space="preserve"> </w:t>
      </w:r>
      <w:r>
        <w:rPr>
          <w:rFonts w:hint="eastAsia" w:ascii="宋体" w:hAnsi="宋体" w:eastAsia="宋体" w:cs="宋体"/>
          <w:sz w:val="24"/>
          <w:szCs w:val="24"/>
        </w:rPr>
        <w:t>(1)、保洁范围：东西长2.3公里，南北宽约100米。</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(2)、保洁范围内每周保洁2至3次，保持干净卫生。</w:t>
      </w:r>
    </w:p>
    <w:p w14:paraId="2B2440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3.3工作内容</w:t>
      </w:r>
    </w:p>
    <w:p w14:paraId="7DD3425C">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园林绿化中的乔木、灌木、地被、草坪以及水生带等植物的养护管理。包括浇水、整型、修剪枯枝败叶、草坪除杂草、施肥、修剪和滚压草坪、防治病虫害、苗木补种、树木涂白等植物养护工作、要求范围内的卫生保洁工作及设施管理工作。</w:t>
      </w:r>
    </w:p>
    <w:p w14:paraId="284EAE9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四、服务标准要求</w:t>
      </w:r>
    </w:p>
    <w:p w14:paraId="0EC90A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4.1绿化管护标准要求</w:t>
      </w:r>
    </w:p>
    <w:p w14:paraId="2E9662A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4.1.1</w:t>
      </w:r>
      <w:r>
        <w:rPr>
          <w:rFonts w:hint="eastAsia" w:ascii="宋体" w:hAnsi="宋体" w:eastAsia="宋体" w:cs="宋体"/>
          <w:b/>
          <w:bCs/>
          <w:sz w:val="24"/>
          <w:szCs w:val="24"/>
        </w:rPr>
        <w:t>堤顶绿化管护</w:t>
      </w:r>
      <w:r>
        <w:rPr>
          <w:rFonts w:hint="eastAsia" w:ascii="宋体" w:hAnsi="宋体" w:eastAsia="宋体" w:cs="宋体"/>
          <w:b/>
          <w:bCs/>
          <w:sz w:val="24"/>
          <w:szCs w:val="24"/>
          <w:lang w:eastAsia="zh-CN"/>
        </w:rPr>
        <w:t>标准要求：</w:t>
      </w:r>
    </w:p>
    <w:p w14:paraId="7C3C2C3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（1）灌木、绿篱每年修剪2至3次；</w:t>
      </w:r>
    </w:p>
    <w:p w14:paraId="2885503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（2）迎水坡、背水坡坡面每年修剪1次；</w:t>
      </w:r>
    </w:p>
    <w:p w14:paraId="64BBBB3A">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（3）行道树视情况局部修剪；</w:t>
      </w:r>
    </w:p>
    <w:p w14:paraId="48B5B05C">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（4）所有绿化苗木病虫害、行道树涂白每年一次；</w:t>
      </w:r>
    </w:p>
    <w:p w14:paraId="042AE90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（5）所有绿化苗木浇水每年3至4次；</w:t>
      </w:r>
    </w:p>
    <w:p w14:paraId="4BE4B49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（6）堤顶及坡面的杂草随时清理；</w:t>
      </w:r>
    </w:p>
    <w:p w14:paraId="552A54D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（7）绿化苗木补植有缺随时补植；</w:t>
      </w:r>
    </w:p>
    <w:p w14:paraId="1ACA7409">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（8）执行《园林绿化养护标准》（CJJ/T287-2018）标准。中华人民共和国住房城</w:t>
      </w:r>
    </w:p>
    <w:p w14:paraId="5615A95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乡部（一级）。</w:t>
      </w:r>
    </w:p>
    <w:p w14:paraId="67BE3864">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4.1.2</w:t>
      </w:r>
      <w:r>
        <w:rPr>
          <w:rFonts w:hint="eastAsia" w:ascii="宋体" w:hAnsi="宋体" w:eastAsia="宋体" w:cs="宋体"/>
          <w:b/>
          <w:bCs/>
          <w:sz w:val="24"/>
          <w:szCs w:val="24"/>
        </w:rPr>
        <w:t>渭河生态运动公园</w:t>
      </w:r>
      <w:r>
        <w:rPr>
          <w:rFonts w:hint="eastAsia" w:ascii="宋体" w:hAnsi="宋体" w:eastAsia="宋体" w:cs="宋体"/>
          <w:b/>
          <w:bCs/>
          <w:sz w:val="24"/>
          <w:szCs w:val="24"/>
          <w:lang w:eastAsia="zh-CN"/>
        </w:rPr>
        <w:t>绿化管护标准要求：</w:t>
      </w:r>
    </w:p>
    <w:p w14:paraId="46A388EA">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）打造草每年3至4次；</w:t>
      </w:r>
    </w:p>
    <w:p w14:paraId="073276D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）花海管护随时养护；</w:t>
      </w:r>
    </w:p>
    <w:p w14:paraId="079BDA14">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）灌木、绿篱每年修剪2至3次；</w:t>
      </w:r>
    </w:p>
    <w:p w14:paraId="52F5A111">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乔木随时修剪</w:t>
      </w:r>
      <w:r>
        <w:rPr>
          <w:rFonts w:hint="eastAsia" w:ascii="宋体" w:hAnsi="宋体" w:eastAsia="宋体" w:cs="宋体"/>
          <w:sz w:val="24"/>
          <w:szCs w:val="24"/>
        </w:rPr>
        <w:t>；</w:t>
      </w:r>
    </w:p>
    <w:p w14:paraId="106C3BB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）所有绿化苗木病虫害</w:t>
      </w:r>
      <w:r>
        <w:rPr>
          <w:rFonts w:hint="eastAsia" w:ascii="宋体" w:hAnsi="宋体" w:eastAsia="宋体" w:cs="宋体"/>
          <w:sz w:val="24"/>
          <w:szCs w:val="24"/>
          <w:lang w:eastAsia="zh-CN"/>
        </w:rPr>
        <w:t>防治</w:t>
      </w:r>
      <w:r>
        <w:rPr>
          <w:rFonts w:hint="eastAsia" w:ascii="宋体" w:hAnsi="宋体" w:eastAsia="宋体" w:cs="宋体"/>
          <w:sz w:val="24"/>
          <w:szCs w:val="24"/>
        </w:rPr>
        <w:t>、</w:t>
      </w:r>
      <w:r>
        <w:rPr>
          <w:rFonts w:hint="eastAsia" w:ascii="宋体" w:hAnsi="宋体" w:eastAsia="宋体" w:cs="宋体"/>
          <w:sz w:val="24"/>
          <w:szCs w:val="24"/>
          <w:lang w:eastAsia="zh-CN"/>
        </w:rPr>
        <w:t>乔木</w:t>
      </w:r>
      <w:r>
        <w:rPr>
          <w:rFonts w:hint="eastAsia" w:ascii="宋体" w:hAnsi="宋体" w:eastAsia="宋体" w:cs="宋体"/>
          <w:sz w:val="24"/>
          <w:szCs w:val="24"/>
        </w:rPr>
        <w:t>涂白每年</w:t>
      </w:r>
      <w:r>
        <w:rPr>
          <w:rFonts w:hint="eastAsia" w:ascii="宋体" w:hAnsi="宋体" w:eastAsia="宋体" w:cs="宋体"/>
          <w:sz w:val="24"/>
          <w:szCs w:val="24"/>
          <w:lang w:val="en-US" w:eastAsia="zh-CN"/>
        </w:rPr>
        <w:t>1</w:t>
      </w:r>
      <w:r>
        <w:rPr>
          <w:rFonts w:hint="eastAsia" w:ascii="宋体" w:hAnsi="宋体" w:eastAsia="宋体" w:cs="宋体"/>
          <w:sz w:val="24"/>
          <w:szCs w:val="24"/>
        </w:rPr>
        <w:t>次。</w:t>
      </w:r>
    </w:p>
    <w:p w14:paraId="36741A99">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所有绿化苗木浇水每年3至4次</w:t>
      </w:r>
      <w:r>
        <w:rPr>
          <w:rFonts w:hint="eastAsia" w:ascii="宋体" w:hAnsi="宋体" w:eastAsia="宋体" w:cs="宋体"/>
          <w:sz w:val="24"/>
          <w:szCs w:val="24"/>
          <w:lang w:eastAsia="zh-CN"/>
        </w:rPr>
        <w:t>；</w:t>
      </w:r>
    </w:p>
    <w:p w14:paraId="2468865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（7）水道水生植物管护适时管护；</w:t>
      </w:r>
    </w:p>
    <w:p w14:paraId="1EA0C57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（8）绿化苗木补植有缺随时补植；</w:t>
      </w:r>
    </w:p>
    <w:p w14:paraId="4DD2C347">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（9）执行《园林绿化养护标准》（CJJ/T287-2018）标准。中华人民共和国住房城</w:t>
      </w:r>
    </w:p>
    <w:p w14:paraId="4D95027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乡部（一级）。</w:t>
      </w:r>
    </w:p>
    <w:p w14:paraId="181BCF30">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4.1.3中水湿地</w:t>
      </w:r>
      <w:r>
        <w:rPr>
          <w:rFonts w:hint="eastAsia" w:ascii="宋体" w:hAnsi="宋体" w:eastAsia="宋体" w:cs="宋体"/>
          <w:b/>
          <w:bCs/>
          <w:sz w:val="24"/>
          <w:szCs w:val="24"/>
          <w:lang w:eastAsia="zh-CN"/>
        </w:rPr>
        <w:t>绿化管护标准要求：</w:t>
      </w:r>
    </w:p>
    <w:p w14:paraId="6068ECE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）灌木、绿篱每年修剪2至3次；</w:t>
      </w:r>
    </w:p>
    <w:p w14:paraId="4BAA903B">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杂草清理每年清理2至3次</w:t>
      </w:r>
      <w:r>
        <w:rPr>
          <w:rFonts w:hint="eastAsia" w:ascii="宋体" w:hAnsi="宋体" w:eastAsia="宋体" w:cs="宋体"/>
          <w:sz w:val="24"/>
          <w:szCs w:val="24"/>
          <w:lang w:eastAsia="zh-CN"/>
        </w:rPr>
        <w:t>；</w:t>
      </w:r>
    </w:p>
    <w:p w14:paraId="79A1B85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）乔木随时修剪</w:t>
      </w:r>
      <w:r>
        <w:rPr>
          <w:rFonts w:hint="eastAsia" w:ascii="宋体" w:hAnsi="宋体" w:eastAsia="宋体" w:cs="宋体"/>
          <w:sz w:val="24"/>
          <w:szCs w:val="24"/>
        </w:rPr>
        <w:t>；</w:t>
      </w:r>
    </w:p>
    <w:p w14:paraId="26B8B51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所有绿化苗木病虫害</w:t>
      </w:r>
      <w:r>
        <w:rPr>
          <w:rFonts w:hint="eastAsia" w:ascii="宋体" w:hAnsi="宋体" w:eastAsia="宋体" w:cs="宋体"/>
          <w:sz w:val="24"/>
          <w:szCs w:val="24"/>
          <w:lang w:eastAsia="zh-CN"/>
        </w:rPr>
        <w:t>防治</w:t>
      </w:r>
      <w:r>
        <w:rPr>
          <w:rFonts w:hint="eastAsia" w:ascii="宋体" w:hAnsi="宋体" w:eastAsia="宋体" w:cs="宋体"/>
          <w:sz w:val="24"/>
          <w:szCs w:val="24"/>
        </w:rPr>
        <w:t>、</w:t>
      </w:r>
      <w:r>
        <w:rPr>
          <w:rFonts w:hint="eastAsia" w:ascii="宋体" w:hAnsi="宋体" w:eastAsia="宋体" w:cs="宋体"/>
          <w:sz w:val="24"/>
          <w:szCs w:val="24"/>
          <w:lang w:eastAsia="zh-CN"/>
        </w:rPr>
        <w:t>乔木</w:t>
      </w:r>
      <w:r>
        <w:rPr>
          <w:rFonts w:hint="eastAsia" w:ascii="宋体" w:hAnsi="宋体" w:eastAsia="宋体" w:cs="宋体"/>
          <w:sz w:val="24"/>
          <w:szCs w:val="24"/>
        </w:rPr>
        <w:t>涂白每年</w:t>
      </w:r>
      <w:r>
        <w:rPr>
          <w:rFonts w:hint="eastAsia" w:ascii="宋体" w:hAnsi="宋体" w:eastAsia="宋体" w:cs="宋体"/>
          <w:sz w:val="24"/>
          <w:szCs w:val="24"/>
          <w:lang w:val="en-US" w:eastAsia="zh-CN"/>
        </w:rPr>
        <w:t>1</w:t>
      </w:r>
      <w:r>
        <w:rPr>
          <w:rFonts w:hint="eastAsia" w:ascii="宋体" w:hAnsi="宋体" w:eastAsia="宋体" w:cs="宋体"/>
          <w:sz w:val="24"/>
          <w:szCs w:val="24"/>
        </w:rPr>
        <w:t>次</w:t>
      </w:r>
      <w:r>
        <w:rPr>
          <w:rFonts w:hint="eastAsia" w:ascii="宋体" w:hAnsi="宋体" w:eastAsia="宋体" w:cs="宋体"/>
          <w:sz w:val="24"/>
          <w:szCs w:val="24"/>
          <w:lang w:eastAsia="zh-CN"/>
        </w:rPr>
        <w:t>；</w:t>
      </w:r>
    </w:p>
    <w:p w14:paraId="5FACE798">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所有绿化苗木浇水每年</w:t>
      </w:r>
      <w:r>
        <w:rPr>
          <w:rFonts w:hint="eastAsia" w:ascii="宋体" w:hAnsi="宋体" w:eastAsia="宋体" w:cs="宋体"/>
          <w:sz w:val="24"/>
          <w:szCs w:val="24"/>
          <w:lang w:val="en-US" w:eastAsia="zh-CN"/>
        </w:rPr>
        <w:t>2</w:t>
      </w:r>
      <w:r>
        <w:rPr>
          <w:rFonts w:hint="eastAsia" w:ascii="宋体" w:hAnsi="宋体" w:eastAsia="宋体" w:cs="宋体"/>
          <w:sz w:val="24"/>
          <w:szCs w:val="24"/>
        </w:rPr>
        <w:t>至</w:t>
      </w:r>
      <w:r>
        <w:rPr>
          <w:rFonts w:hint="eastAsia" w:ascii="宋体" w:hAnsi="宋体" w:eastAsia="宋体" w:cs="宋体"/>
          <w:sz w:val="24"/>
          <w:szCs w:val="24"/>
          <w:lang w:val="en-US" w:eastAsia="zh-CN"/>
        </w:rPr>
        <w:t>3</w:t>
      </w:r>
      <w:r>
        <w:rPr>
          <w:rFonts w:hint="eastAsia" w:ascii="宋体" w:hAnsi="宋体" w:eastAsia="宋体" w:cs="宋体"/>
          <w:sz w:val="24"/>
          <w:szCs w:val="24"/>
        </w:rPr>
        <w:t>次</w:t>
      </w:r>
      <w:r>
        <w:rPr>
          <w:rFonts w:hint="eastAsia" w:ascii="宋体" w:hAnsi="宋体" w:eastAsia="宋体" w:cs="宋体"/>
          <w:sz w:val="24"/>
          <w:szCs w:val="24"/>
          <w:lang w:eastAsia="zh-CN"/>
        </w:rPr>
        <w:t>；</w:t>
      </w:r>
    </w:p>
    <w:p w14:paraId="63C2559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（6）绿化苗木补植有缺随时补植；</w:t>
      </w:r>
    </w:p>
    <w:p w14:paraId="2132842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（7）执行《园林绿化养护标准》（CJJ/T287-2018）标准。中华人民共和国住房城</w:t>
      </w:r>
    </w:p>
    <w:p w14:paraId="0069976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乡部（一级）。</w:t>
      </w:r>
    </w:p>
    <w:p w14:paraId="5EA9DF63">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4.1.4苗圃绿化管护标准要求：</w:t>
      </w:r>
    </w:p>
    <w:p w14:paraId="58E2CA18">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lang w:val="en-US" w:eastAsia="zh-CN"/>
        </w:rPr>
        <w:t>（1）</w:t>
      </w:r>
      <w:r>
        <w:rPr>
          <w:rFonts w:hint="eastAsia" w:ascii="宋体" w:hAnsi="宋体" w:eastAsia="宋体" w:cs="宋体"/>
          <w:sz w:val="24"/>
          <w:szCs w:val="24"/>
        </w:rPr>
        <w:t>杂草清理每年清理2至3次</w:t>
      </w:r>
      <w:r>
        <w:rPr>
          <w:rFonts w:hint="eastAsia" w:ascii="宋体" w:hAnsi="宋体" w:eastAsia="宋体" w:cs="宋体"/>
          <w:sz w:val="24"/>
          <w:szCs w:val="24"/>
          <w:lang w:eastAsia="zh-CN"/>
        </w:rPr>
        <w:t>；</w:t>
      </w:r>
    </w:p>
    <w:p w14:paraId="05582F0B">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乔木随时修剪</w:t>
      </w:r>
      <w:r>
        <w:rPr>
          <w:rFonts w:hint="eastAsia" w:ascii="宋体" w:hAnsi="宋体" w:eastAsia="宋体" w:cs="宋体"/>
          <w:sz w:val="24"/>
          <w:szCs w:val="24"/>
        </w:rPr>
        <w:t>；</w:t>
      </w:r>
    </w:p>
    <w:p w14:paraId="50E3755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lang w:val="en-US" w:eastAsia="zh-CN"/>
        </w:rPr>
        <w:t>（3）</w:t>
      </w:r>
      <w:r>
        <w:rPr>
          <w:rFonts w:hint="eastAsia" w:ascii="宋体" w:hAnsi="宋体" w:eastAsia="宋体" w:cs="宋体"/>
          <w:sz w:val="24"/>
          <w:szCs w:val="24"/>
        </w:rPr>
        <w:t>所有绿化苗木病虫害</w:t>
      </w:r>
      <w:r>
        <w:rPr>
          <w:rFonts w:hint="eastAsia" w:ascii="宋体" w:hAnsi="宋体" w:eastAsia="宋体" w:cs="宋体"/>
          <w:sz w:val="24"/>
          <w:szCs w:val="24"/>
          <w:lang w:eastAsia="zh-CN"/>
        </w:rPr>
        <w:t>防治</w:t>
      </w:r>
      <w:r>
        <w:rPr>
          <w:rFonts w:hint="eastAsia" w:ascii="宋体" w:hAnsi="宋体" w:eastAsia="宋体" w:cs="宋体"/>
          <w:sz w:val="24"/>
          <w:szCs w:val="24"/>
        </w:rPr>
        <w:t>、</w:t>
      </w:r>
      <w:r>
        <w:rPr>
          <w:rFonts w:hint="eastAsia" w:ascii="宋体" w:hAnsi="宋体" w:eastAsia="宋体" w:cs="宋体"/>
          <w:sz w:val="24"/>
          <w:szCs w:val="24"/>
          <w:lang w:eastAsia="zh-CN"/>
        </w:rPr>
        <w:t>乔木</w:t>
      </w:r>
      <w:r>
        <w:rPr>
          <w:rFonts w:hint="eastAsia" w:ascii="宋体" w:hAnsi="宋体" w:eastAsia="宋体" w:cs="宋体"/>
          <w:sz w:val="24"/>
          <w:szCs w:val="24"/>
        </w:rPr>
        <w:t>涂白每年</w:t>
      </w:r>
      <w:r>
        <w:rPr>
          <w:rFonts w:hint="eastAsia" w:ascii="宋体" w:hAnsi="宋体" w:eastAsia="宋体" w:cs="宋体"/>
          <w:sz w:val="24"/>
          <w:szCs w:val="24"/>
          <w:lang w:val="en-US" w:eastAsia="zh-CN"/>
        </w:rPr>
        <w:t>1</w:t>
      </w:r>
      <w:r>
        <w:rPr>
          <w:rFonts w:hint="eastAsia" w:ascii="宋体" w:hAnsi="宋体" w:eastAsia="宋体" w:cs="宋体"/>
          <w:sz w:val="24"/>
          <w:szCs w:val="24"/>
        </w:rPr>
        <w:t>次。</w:t>
      </w:r>
    </w:p>
    <w:p w14:paraId="129AA367">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所有绿化苗木浇水每年3至4次</w:t>
      </w:r>
      <w:r>
        <w:rPr>
          <w:rFonts w:hint="eastAsia" w:ascii="宋体" w:hAnsi="宋体" w:eastAsia="宋体" w:cs="宋体"/>
          <w:sz w:val="24"/>
          <w:szCs w:val="24"/>
          <w:lang w:eastAsia="zh-CN"/>
        </w:rPr>
        <w:t>；</w:t>
      </w:r>
    </w:p>
    <w:p w14:paraId="0525A96E">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（5）绿化苗木补植有缺随时补植；</w:t>
      </w:r>
    </w:p>
    <w:p w14:paraId="17897800">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（6）执行《园林绿化养护标准》（CJJ/T287-2018）标准。中华人民共和国住房城</w:t>
      </w:r>
    </w:p>
    <w:p w14:paraId="4FCDF08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乡部（一级）。</w:t>
      </w:r>
    </w:p>
    <w:p w14:paraId="0DD549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4.2卫生保洁标准要求</w:t>
      </w:r>
    </w:p>
    <w:p w14:paraId="199D100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（1）城市核心区：堤顶和坡面每天坚持保洁，保持干净卫生。</w:t>
      </w:r>
    </w:p>
    <w:p w14:paraId="163B4D37">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（2）农防段：堤顶和坡面每周保洁2至3次，保持干净卫生。</w:t>
      </w:r>
    </w:p>
    <w:p w14:paraId="4728A203">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（3）渭河生态运动公园卫生保洁：每天坚持保洁，保持干净卫生</w:t>
      </w:r>
    </w:p>
    <w:p w14:paraId="79113357">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（4）中水湿地卫生保洁：每周保洁2至3次，保持干净卫生。</w:t>
      </w:r>
    </w:p>
    <w:p w14:paraId="6DC80E7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4.3人员配备要求</w:t>
      </w:r>
    </w:p>
    <w:p w14:paraId="2B93AD99">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200" w:hanging="480" w:hanging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管理人员4人，经常性、随时性对项目区的人员进行管理，对项目区卫生进</w:t>
      </w:r>
    </w:p>
    <w:p w14:paraId="3AD3E04D">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sz w:val="24"/>
          <w:szCs w:val="24"/>
        </w:rPr>
      </w:pPr>
      <w:r>
        <w:rPr>
          <w:rFonts w:hint="eastAsia" w:ascii="宋体" w:hAnsi="宋体" w:eastAsia="宋体" w:cs="宋体"/>
          <w:sz w:val="24"/>
          <w:szCs w:val="24"/>
        </w:rPr>
        <w:t>行检查、抽查，确保项目区干净卫生。</w:t>
      </w:r>
    </w:p>
    <w:p w14:paraId="1DA65C79">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200" w:hanging="480" w:hanging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绿化管护人员不少于17人，保证管护工作保质保量</w:t>
      </w:r>
      <w:r>
        <w:rPr>
          <w:rFonts w:hint="eastAsia" w:ascii="宋体" w:hAnsi="宋体" w:eastAsia="宋体" w:cs="宋体"/>
          <w:sz w:val="24"/>
          <w:szCs w:val="24"/>
          <w:lang w:eastAsia="zh-CN"/>
        </w:rPr>
        <w:t>地</w:t>
      </w:r>
      <w:r>
        <w:rPr>
          <w:rFonts w:hint="eastAsia" w:ascii="宋体" w:hAnsi="宋体" w:eastAsia="宋体" w:cs="宋体"/>
          <w:sz w:val="24"/>
          <w:szCs w:val="24"/>
        </w:rPr>
        <w:t>完成。</w:t>
      </w:r>
    </w:p>
    <w:p w14:paraId="05AC32C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）卫生保洁人员暂按 46人计（中标单位也可自行配备清扫车，在保证服务质量前提下减少人员配备）。中标人优先聘用现有人员，其余人员自行配备。</w:t>
      </w:r>
    </w:p>
    <w:p w14:paraId="6A929FB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（4）管理人员、绿化管护及卫生保洁人员，男不超过60岁。</w:t>
      </w:r>
    </w:p>
    <w:p w14:paraId="375F5C9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4.4设备配置要求</w:t>
      </w:r>
    </w:p>
    <w:p w14:paraId="74DAC2D0">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投标人根据本项目的采购内容及要求须配置各种机械、设备、工具、材料等，以保证服务质量。</w:t>
      </w:r>
    </w:p>
    <w:p w14:paraId="7D74CBEA">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五、质量要求</w:t>
      </w:r>
    </w:p>
    <w:p w14:paraId="7BA68B91">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维护养护质量标准按照《园林绿化管养规范》、《木本植物修剪规范》及国家、省、市有关规程、规范执行</w:t>
      </w:r>
      <w:r>
        <w:rPr>
          <w:rFonts w:hint="eastAsia" w:ascii="宋体" w:hAnsi="宋体" w:eastAsia="宋体" w:cs="宋体"/>
          <w:sz w:val="24"/>
          <w:szCs w:val="24"/>
          <w:highlight w:val="none"/>
          <w:lang w:eastAsia="zh-CN"/>
        </w:rPr>
        <w:t>；卫生保洁工作质量达到公共卫生管理规范要求。</w:t>
      </w:r>
    </w:p>
    <w:p w14:paraId="59AA193A">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（一）绿化养护要求</w:t>
      </w:r>
    </w:p>
    <w:p w14:paraId="6EED2B9A">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保证植物生长健壮、旺盛，观叶植物颜色鲜艳：无病虫害、无死树、无枯枝、</w:t>
      </w:r>
    </w:p>
    <w:p w14:paraId="77A72DC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无残花、无败叶、无野生藤萝缠生、无缺株、无杂草；枯危和倒伏的乔、灌木及时处理。</w:t>
      </w:r>
    </w:p>
    <w:p w14:paraId="03CC8D3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浇水：确保植物</w:t>
      </w:r>
      <w:r>
        <w:rPr>
          <w:rFonts w:hint="eastAsia" w:ascii="宋体" w:hAnsi="宋体" w:eastAsia="宋体" w:cs="宋体"/>
          <w:sz w:val="24"/>
          <w:szCs w:val="24"/>
          <w:lang w:eastAsia="zh-CN"/>
        </w:rPr>
        <w:t>生长所必需的</w:t>
      </w:r>
      <w:r>
        <w:rPr>
          <w:rFonts w:hint="eastAsia" w:ascii="宋体" w:hAnsi="宋体" w:eastAsia="宋体" w:cs="宋体"/>
          <w:sz w:val="24"/>
          <w:szCs w:val="24"/>
        </w:rPr>
        <w:t>水分。春季雨水多，视天气而定，灵活掌握浇水</w:t>
      </w:r>
    </w:p>
    <w:p w14:paraId="551F1B74">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量；夏、秋二季，每月不少于二次；</w:t>
      </w:r>
    </w:p>
    <w:p w14:paraId="684FFB4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喷药：如发现有病虫害必须采取措施，有针对性地使用不同的农药对症下药。预防病虫害方面：在植物生长期内每十天例行喷药。喷药时，应尽量降低对游人的影响。</w:t>
      </w:r>
    </w:p>
    <w:p w14:paraId="7FD0E77F">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修剪：主要修剪时间是春、夏二季。乔木主要是修剪枯枝、徒长枝，应保持主干道行道树定干高度一致，主干的分枝点以下不应有萌芽和枝条；灌木按不同的造型进行修剪，要求每季度修剪1次；地被四季均要修剪，按要求控制高度和造型，不能出现空脚现象；</w:t>
      </w:r>
    </w:p>
    <w:p w14:paraId="5BEBF684">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5、草坪的管理：草坪要求整齐雅观，草种生长良好，</w:t>
      </w:r>
      <w:r>
        <w:rPr>
          <w:rFonts w:hint="eastAsia" w:ascii="宋体" w:hAnsi="宋体" w:eastAsia="宋体" w:cs="宋体"/>
          <w:sz w:val="24"/>
          <w:szCs w:val="24"/>
          <w:lang w:eastAsia="zh-CN"/>
        </w:rPr>
        <w:t>四季常绿</w:t>
      </w:r>
      <w:r>
        <w:rPr>
          <w:rFonts w:hint="eastAsia" w:ascii="宋体" w:hAnsi="宋体" w:eastAsia="宋体" w:cs="宋体"/>
          <w:sz w:val="24"/>
          <w:szCs w:val="24"/>
        </w:rPr>
        <w:t>，覆盖率达95%以上，</w:t>
      </w:r>
    </w:p>
    <w:p w14:paraId="67E5227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杂草率低于5%，无坑洼积水，无</w:t>
      </w:r>
      <w:r>
        <w:rPr>
          <w:rFonts w:hint="eastAsia" w:ascii="宋体" w:hAnsi="宋体" w:eastAsia="宋体" w:cs="宋体"/>
          <w:sz w:val="24"/>
          <w:szCs w:val="24"/>
          <w:lang w:eastAsia="zh-CN"/>
        </w:rPr>
        <w:t>裸露</w:t>
      </w:r>
      <w:r>
        <w:rPr>
          <w:rFonts w:hint="eastAsia" w:ascii="宋体" w:hAnsi="宋体" w:eastAsia="宋体" w:cs="宋体"/>
          <w:sz w:val="24"/>
          <w:szCs w:val="24"/>
        </w:rPr>
        <w:t>地。边缘草要修剪整齐、草坪高度保持在4-5cm并及时疏草，以确保草坪外观平整。经常除杂草，保持草坪内无杂草及病虫害，绿地要求半年内达到要求。缺株及时补种，使草地保持完整，无裸露地，补植后加强保养</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5D463E8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6、栽植物成活达98%以上。绿化地段无多余的石头砖块花盆等杂物，需及时清理。</w:t>
      </w:r>
    </w:p>
    <w:p w14:paraId="6C1A6FC3">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（二）修剪技术要求</w:t>
      </w:r>
    </w:p>
    <w:p w14:paraId="2D0A3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1、原则</w:t>
      </w:r>
    </w:p>
    <w:p w14:paraId="1B5F7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修剪时应遵循“从整体到局部，由下到上，由内到外，去弱留强，去老留新”的操作原则。</w:t>
      </w:r>
    </w:p>
    <w:p w14:paraId="7B360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2、一般要求</w:t>
      </w:r>
    </w:p>
    <w:p w14:paraId="1ACE2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剪口平滑、整齐，不积水，不留残桩。</w:t>
      </w:r>
    </w:p>
    <w:p w14:paraId="57370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大枝修剪应防止</w:t>
      </w:r>
      <w:r>
        <w:rPr>
          <w:rFonts w:hint="eastAsia" w:ascii="宋体" w:hAnsi="宋体" w:eastAsia="宋体" w:cs="宋体"/>
          <w:sz w:val="24"/>
          <w:szCs w:val="24"/>
          <w:lang w:eastAsia="zh-CN"/>
        </w:rPr>
        <w:t>枝干</w:t>
      </w:r>
      <w:r>
        <w:rPr>
          <w:rFonts w:hint="eastAsia" w:ascii="宋体" w:hAnsi="宋体" w:eastAsia="宋体" w:cs="宋体"/>
          <w:sz w:val="24"/>
          <w:szCs w:val="24"/>
        </w:rPr>
        <w:t>下落，撕裂树皮。</w:t>
      </w:r>
    </w:p>
    <w:p w14:paraId="1744D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及时剪除病虫枝、干枯枝、徒长枝、倒生枝、阴生枝。</w:t>
      </w:r>
    </w:p>
    <w:p w14:paraId="33A61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及时修剪偏冠或过密的树枝，保持均衡、通透的树冠，预防和减少台风损失。</w:t>
      </w:r>
    </w:p>
    <w:p w14:paraId="7A424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3、乔木</w:t>
      </w:r>
    </w:p>
    <w:p w14:paraId="1333F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保持行道树下缘线整齐，并控制下缘线高度在机动车高度以上，一般以3.0~4.5米为宜。</w:t>
      </w:r>
    </w:p>
    <w:p w14:paraId="1B5401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保持行列树下缘线整齐，并控制下缘线高度在行人及非机动车高度以上，一般以2.5~3.5米为宜。</w:t>
      </w:r>
    </w:p>
    <w:p w14:paraId="35D4D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疏剪过多的花序及果实，保持旺盛的营养生长。</w:t>
      </w:r>
    </w:p>
    <w:p w14:paraId="13490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纠正偏冠的树冠，保持路段树冠冠形的一致与整齐。</w:t>
      </w:r>
    </w:p>
    <w:p w14:paraId="090BD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疏剪过密的枝丛，使植物分枝均衡，通风透光。</w:t>
      </w:r>
    </w:p>
    <w:p w14:paraId="1F9D4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孤植树要根据观赏要求或与周围环境相协调，修剪以自然树形为主。</w:t>
      </w:r>
    </w:p>
    <w:p w14:paraId="4D60D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片植乔木修剪以自然树形为主。</w:t>
      </w:r>
    </w:p>
    <w:p w14:paraId="5EC5A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4、灌木</w:t>
      </w:r>
    </w:p>
    <w:p w14:paraId="2E778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孤植灌木、造型灌木：修剪应维持原设计的造型。</w:t>
      </w:r>
    </w:p>
    <w:p w14:paraId="200CF2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自然形灌木：按自然形态进行疏剪，促进灌木健康生长及开花结实。</w:t>
      </w:r>
    </w:p>
    <w:p w14:paraId="33494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丛植灌木：萌蘖枝过多时，应及时疏剪、除蘖。丛内出现过于高大粗壮的枝条，应进行短截。灌木老化或为了促进新枝开花及萌发新枝条时，应进行重短截或极重短截。</w:t>
      </w:r>
    </w:p>
    <w:p w14:paraId="79C78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绿篱灌木：修剪规则式绿篱时，应保持绿篱顶部和基部的水平，做到无断层、无缺口、无光秃。修剪自然式绿篱时，幼年应以定干整形为主；成型后应以促进开花和结实为主。</w:t>
      </w:r>
    </w:p>
    <w:p w14:paraId="00CE9C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花坛灌木：在花芽分化前进行修剪，以促进短枝生长和花芽分化。及时剪去花谢后残花、残枝，保障植株生长整齐。轮廓线应流畅、柔和。两个以上品种花坛灌木连片种植，修剪时应注意相互之间的衔接，保持平顺和缓过渡。</w:t>
      </w:r>
    </w:p>
    <w:p w14:paraId="08121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5、木质藤本植物</w:t>
      </w:r>
    </w:p>
    <w:p w14:paraId="623F3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修剪以加速覆盖和攀缘速度为目的，定期翻蔓，修剪过密的侧枝，使其覆盖均匀。</w:t>
      </w:r>
    </w:p>
    <w:p w14:paraId="48C7D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6、棕榈科植物</w:t>
      </w:r>
    </w:p>
    <w:p w14:paraId="626A3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修剪以自然树形为主。</w:t>
      </w:r>
    </w:p>
    <w:p w14:paraId="14D33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（三）卫生清洁要求</w:t>
      </w:r>
    </w:p>
    <w:p w14:paraId="10117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宋体" w:hAnsi="宋体" w:eastAsia="宋体" w:cs="宋体"/>
          <w:sz w:val="24"/>
          <w:szCs w:val="24"/>
        </w:rPr>
        <w:t>1、宝鸡市陈仓区渭河中游段卫生保洁要保持整洁、干净，做到无垃圾，无积沙虫现象，无卫生死角。主干道要求无杂草。</w:t>
      </w:r>
    </w:p>
    <w:p w14:paraId="062A0AD5">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六、付款方式</w:t>
      </w:r>
    </w:p>
    <w:p w14:paraId="5593042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合同签订生效后，甲方根据每月考核情况</w:t>
      </w:r>
      <w:r>
        <w:rPr>
          <w:rFonts w:hint="eastAsia" w:ascii="宋体" w:hAnsi="宋体" w:eastAsia="宋体" w:cs="宋体"/>
          <w:sz w:val="24"/>
          <w:szCs w:val="24"/>
          <w:highlight w:val="none"/>
          <w:lang w:eastAsia="zh-CN"/>
        </w:rPr>
        <w:t>进行支付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付款前</w:t>
      </w:r>
      <w:r>
        <w:rPr>
          <w:rFonts w:hint="eastAsia" w:ascii="宋体" w:hAnsi="宋体" w:eastAsia="宋体" w:cs="宋体"/>
          <w:sz w:val="24"/>
          <w:szCs w:val="24"/>
          <w:highlight w:val="none"/>
        </w:rPr>
        <w:t>乙方须</w:t>
      </w:r>
      <w:r>
        <w:rPr>
          <w:rFonts w:hint="eastAsia" w:ascii="宋体" w:hAnsi="宋体" w:eastAsia="宋体" w:cs="宋体"/>
          <w:sz w:val="24"/>
          <w:szCs w:val="24"/>
          <w:highlight w:val="none"/>
          <w:lang w:eastAsia="zh-CN"/>
        </w:rPr>
        <w:t>向甲方</w:t>
      </w:r>
      <w:r>
        <w:rPr>
          <w:rFonts w:hint="eastAsia" w:ascii="宋体" w:hAnsi="宋体" w:eastAsia="宋体" w:cs="宋体"/>
          <w:sz w:val="24"/>
          <w:szCs w:val="24"/>
          <w:highlight w:val="none"/>
        </w:rPr>
        <w:t>出具</w:t>
      </w:r>
      <w:r>
        <w:rPr>
          <w:rFonts w:hint="eastAsia" w:ascii="宋体" w:hAnsi="宋体" w:eastAsia="宋体" w:cs="宋体"/>
          <w:sz w:val="24"/>
          <w:szCs w:val="24"/>
          <w:highlight w:val="none"/>
          <w:lang w:eastAsia="zh-CN"/>
        </w:rPr>
        <w:t>足额</w:t>
      </w:r>
    </w:p>
    <w:p w14:paraId="4AF25D89">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的税务发票，甲方于次月底前向乙方支付上月服务费。绿化养护、卫生保洁质量检查考核评定表详见附件1。</w:t>
      </w:r>
    </w:p>
    <w:p w14:paraId="42B9A73A">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七、其他要求：</w:t>
      </w:r>
    </w:p>
    <w:p w14:paraId="5BA373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（1）投标人若中标，须按照《劳动法》要求，为员工购买工伤保险或商业保险。</w:t>
      </w:r>
    </w:p>
    <w:p w14:paraId="15111843">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（2）严格要求工作人员做好各种防护，加强管理，明确责任，安全生产。员工在工作期间（包括上下班途中）发生人员伤亡及其它事故，由投标人自行承担全部责任及赔偿。</w:t>
      </w:r>
    </w:p>
    <w:p w14:paraId="03A71278">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（3）定期组织绿化管护人员及保洁人员进行培训和教育，不断完善各项规章制度。提高绿化管护人员及保洁人员水平及综合素质，共同维护区域内环境，爱护区域内设施。</w:t>
      </w:r>
    </w:p>
    <w:p w14:paraId="64EED7C6">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（4）投标人必须具有合法的经营手续和各种用工手续，如因用工不当造成的损失，由投标人承担相应法律责任及全部赔偿。</w:t>
      </w:r>
    </w:p>
    <w:p w14:paraId="1D6BBF2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（5）在日常工作中致使甲方设施设备、人员、物品损失或责任事故的，由投标人承担相应法律责任及全部赔偿。</w:t>
      </w:r>
    </w:p>
    <w:p w14:paraId="66DE78BD">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在服务期内，所有人员、车辆及设备的安全责任及安全费用，全部由</w:t>
      </w:r>
      <w:r>
        <w:rPr>
          <w:rFonts w:hint="eastAsia" w:ascii="宋体" w:hAnsi="宋体" w:eastAsia="宋体" w:cs="宋体"/>
          <w:sz w:val="24"/>
          <w:szCs w:val="24"/>
          <w:lang w:eastAsia="zh-CN"/>
        </w:rPr>
        <w:t>中标人</w:t>
      </w:r>
      <w:r>
        <w:rPr>
          <w:rFonts w:hint="eastAsia" w:ascii="宋体" w:hAnsi="宋体" w:eastAsia="宋体" w:cs="宋体"/>
          <w:sz w:val="24"/>
          <w:szCs w:val="24"/>
        </w:rPr>
        <w:t>承担</w:t>
      </w:r>
      <w:r>
        <w:rPr>
          <w:rFonts w:hint="eastAsia" w:ascii="宋体" w:hAnsi="宋体" w:eastAsia="宋体" w:cs="宋体"/>
          <w:sz w:val="24"/>
          <w:szCs w:val="24"/>
          <w:lang w:eastAsia="zh-CN"/>
        </w:rPr>
        <w:t>。招标人不承担任何责任。</w:t>
      </w:r>
    </w:p>
    <w:p w14:paraId="312F9357">
      <w:pPr>
        <w:pStyle w:val="2"/>
        <w:rPr>
          <w:rFonts w:cs="华文楷体" w:asciiTheme="minorEastAsia" w:hAnsiTheme="minorEastAsia" w:eastAsiaTheme="minorEastAsia"/>
          <w:bCs w:val="0"/>
          <w:color w:val="000000" w:themeColor="text1"/>
          <w:sz w:val="24"/>
          <w:szCs w:val="24"/>
        </w:rPr>
      </w:pPr>
      <w:bookmarkStart w:id="392" w:name="_Toc20882"/>
      <w:bookmarkStart w:id="393" w:name="_Toc25506"/>
      <w:bookmarkStart w:id="394" w:name="_Toc29396"/>
      <w:r>
        <w:rPr>
          <w:rFonts w:hint="eastAsia" w:cs="华文楷体" w:asciiTheme="minorEastAsia" w:hAnsiTheme="minorEastAsia" w:eastAsiaTheme="minorEastAsia"/>
          <w:bCs w:val="0"/>
          <w:color w:val="000000" w:themeColor="text1"/>
          <w:sz w:val="24"/>
          <w:szCs w:val="24"/>
          <w:lang w:eastAsia="zh-CN"/>
        </w:rPr>
        <w:t>八</w:t>
      </w:r>
      <w:r>
        <w:rPr>
          <w:rFonts w:hint="eastAsia" w:cs="华文楷体" w:asciiTheme="minorEastAsia" w:hAnsiTheme="minorEastAsia" w:eastAsiaTheme="minorEastAsia"/>
          <w:bCs w:val="0"/>
          <w:color w:val="000000" w:themeColor="text1"/>
          <w:sz w:val="24"/>
          <w:szCs w:val="24"/>
        </w:rPr>
        <w:t>、违约责任：</w:t>
      </w:r>
      <w:bookmarkEnd w:id="392"/>
      <w:bookmarkEnd w:id="393"/>
      <w:bookmarkEnd w:id="394"/>
    </w:p>
    <w:p w14:paraId="18B744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华文楷体" w:asciiTheme="minorEastAsia" w:hAnsiTheme="minorEastAsia"/>
          <w:szCs w:val="24"/>
        </w:rPr>
      </w:pPr>
      <w:r>
        <w:rPr>
          <w:rFonts w:hint="eastAsia" w:cs="华文楷体" w:asciiTheme="minorEastAsia" w:hAnsiTheme="minorEastAsia"/>
          <w:szCs w:val="24"/>
        </w:rPr>
        <w:t>1、按《中华人民共和国</w:t>
      </w:r>
      <w:r>
        <w:rPr>
          <w:rFonts w:hint="eastAsia" w:cs="华文楷体" w:asciiTheme="minorEastAsia" w:hAnsiTheme="minorEastAsia"/>
          <w:szCs w:val="24"/>
          <w:lang w:eastAsia="zh-CN"/>
        </w:rPr>
        <w:t>民</w:t>
      </w:r>
      <w:r>
        <w:rPr>
          <w:rFonts w:hint="eastAsia" w:cs="华文楷体" w:asciiTheme="minorEastAsia" w:hAnsiTheme="minorEastAsia"/>
          <w:szCs w:val="24"/>
        </w:rPr>
        <w:t>法</w:t>
      </w:r>
      <w:r>
        <w:rPr>
          <w:rFonts w:hint="eastAsia" w:cs="华文楷体" w:asciiTheme="minorEastAsia" w:hAnsiTheme="minorEastAsia"/>
          <w:szCs w:val="24"/>
          <w:lang w:eastAsia="zh-CN"/>
        </w:rPr>
        <w:t>典</w:t>
      </w:r>
      <w:r>
        <w:rPr>
          <w:rFonts w:hint="eastAsia" w:cs="华文楷体" w:asciiTheme="minorEastAsia" w:hAnsiTheme="minorEastAsia"/>
          <w:szCs w:val="24"/>
        </w:rPr>
        <w:t>》中的相关条款执行。</w:t>
      </w:r>
    </w:p>
    <w:p w14:paraId="39E8BF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highlight w:val="none"/>
          <w:lang w:val="en-US"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cs="华文楷体" w:asciiTheme="minorEastAsia" w:hAnsiTheme="minorEastAsia"/>
          <w:szCs w:val="24"/>
          <w:lang w:val="en-US" w:eastAsia="zh-CN"/>
        </w:rPr>
        <w:t>2、未按合同要求的标准提供服务或质量检查考核评定为不合格的，甲方有权终止合同，给招标人造成的损失由中标人赔偿损失，并承担相应的法律责任。</w:t>
      </w:r>
    </w:p>
    <w:p w14:paraId="34CC7C94">
      <w:pPr>
        <w:pStyle w:val="3"/>
        <w:numPr>
          <w:ilvl w:val="0"/>
          <w:numId w:val="0"/>
        </w:numPr>
        <w:jc w:val="center"/>
        <w:rPr>
          <w:rFonts w:hint="eastAsia" w:ascii="宋体" w:hAnsi="宋体" w:eastAsia="宋体" w:cs="宋体"/>
          <w:sz w:val="30"/>
          <w:szCs w:val="30"/>
          <w:highlight w:val="none"/>
          <w:lang w:eastAsia="zh-CN"/>
        </w:rPr>
      </w:pPr>
      <w:bookmarkStart w:id="395" w:name="_Toc20399"/>
      <w:bookmarkStart w:id="396" w:name="_Toc7953"/>
      <w:bookmarkStart w:id="397" w:name="_Toc25690"/>
      <w:r>
        <w:rPr>
          <w:rFonts w:hint="eastAsia" w:ascii="宋体" w:hAnsi="宋体" w:eastAsia="宋体" w:cs="宋体"/>
          <w:sz w:val="30"/>
          <w:szCs w:val="30"/>
          <w:highlight w:val="none"/>
          <w:lang w:eastAsia="zh-CN"/>
        </w:rPr>
        <w:t>第五章</w:t>
      </w:r>
      <w:bookmarkEnd w:id="395"/>
      <w:bookmarkEnd w:id="396"/>
      <w:bookmarkStart w:id="398" w:name="_Toc458617469"/>
      <w:bookmarkStart w:id="399" w:name="_Toc458617746"/>
      <w:bookmarkStart w:id="400" w:name="_Toc6419"/>
      <w:bookmarkStart w:id="401" w:name="_Toc28148"/>
      <w:bookmarkStart w:id="402" w:name="_Toc7532"/>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lang w:eastAsia="zh-CN"/>
        </w:rPr>
        <w:t>合同条款</w:t>
      </w:r>
      <w:bookmarkEnd w:id="398"/>
      <w:bookmarkEnd w:id="399"/>
      <w:r>
        <w:rPr>
          <w:rFonts w:hint="eastAsia" w:ascii="宋体" w:hAnsi="宋体" w:eastAsia="宋体" w:cs="宋体"/>
          <w:sz w:val="30"/>
          <w:szCs w:val="30"/>
          <w:highlight w:val="none"/>
          <w:lang w:eastAsia="zh-CN"/>
        </w:rPr>
        <w:t>及格式</w:t>
      </w:r>
      <w:bookmarkEnd w:id="397"/>
      <w:bookmarkEnd w:id="400"/>
      <w:bookmarkEnd w:id="401"/>
      <w:bookmarkEnd w:id="402"/>
      <w:bookmarkStart w:id="403" w:name="_Toc14436"/>
      <w:bookmarkStart w:id="404" w:name="_Toc10643224"/>
    </w:p>
    <w:bookmarkEnd w:id="403"/>
    <w:bookmarkEnd w:id="404"/>
    <w:p w14:paraId="5F3DDAC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szCs w:val="24"/>
        </w:rPr>
      </w:pPr>
      <w:bookmarkStart w:id="405" w:name="_Toc188808831"/>
      <w:bookmarkStart w:id="406" w:name="_Toc194663916"/>
      <w:bookmarkStart w:id="407" w:name="_Toc193126879"/>
      <w:bookmarkStart w:id="408" w:name="_Toc193187095"/>
      <w:r>
        <w:rPr>
          <w:rFonts w:hint="eastAsia" w:ascii="宋体" w:hAnsi="宋体" w:eastAsia="宋体" w:cs="宋体"/>
          <w:bCs/>
          <w:sz w:val="24"/>
          <w:szCs w:val="24"/>
        </w:rPr>
        <w:t>甲方（</w:t>
      </w:r>
      <w:r>
        <w:rPr>
          <w:rFonts w:hint="eastAsia" w:ascii="宋体" w:hAnsi="宋体" w:eastAsia="宋体" w:cs="宋体"/>
          <w:bCs/>
          <w:sz w:val="24"/>
          <w:szCs w:val="24"/>
          <w:lang w:eastAsia="zh-CN"/>
        </w:rPr>
        <w:t>招标</w:t>
      </w:r>
      <w:r>
        <w:rPr>
          <w:rFonts w:hint="eastAsia" w:ascii="宋体" w:hAnsi="宋体" w:eastAsia="宋体" w:cs="宋体"/>
          <w:bCs/>
          <w:sz w:val="24"/>
          <w:szCs w:val="24"/>
        </w:rPr>
        <w:t>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p>
    <w:p w14:paraId="7DF536E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乙方（中标人）：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p>
    <w:p w14:paraId="4966D0C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none"/>
          <w:lang w:val="en-US" w:eastAsia="zh-CN"/>
        </w:rPr>
        <w:t>宝鸡市陈仓区渭河中游段绿化管护卫生保洁及设施管理项目</w:t>
      </w:r>
      <w:r>
        <w:rPr>
          <w:rFonts w:hint="eastAsia" w:ascii="宋体" w:hAnsi="宋体" w:eastAsia="宋体" w:cs="宋体"/>
          <w:bCs/>
          <w:sz w:val="24"/>
          <w:szCs w:val="24"/>
          <w:u w:val="none"/>
        </w:rPr>
        <w:t>，由</w:t>
      </w:r>
      <w:r>
        <w:rPr>
          <w:rFonts w:hint="eastAsia" w:ascii="宋体" w:hAnsi="宋体" w:eastAsia="宋体" w:cs="宋体"/>
          <w:bCs/>
          <w:sz w:val="24"/>
          <w:szCs w:val="24"/>
          <w:u w:val="none"/>
          <w:lang w:eastAsia="zh-CN"/>
        </w:rPr>
        <w:t>陕西中耀昌项目管理有限公司</w:t>
      </w:r>
      <w:r>
        <w:rPr>
          <w:rFonts w:hint="eastAsia" w:ascii="宋体" w:hAnsi="宋体" w:eastAsia="宋体" w:cs="宋体"/>
          <w:bCs/>
          <w:sz w:val="24"/>
          <w:szCs w:val="24"/>
        </w:rPr>
        <w:t>组织公开招标，</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(以下简称“甲方”)确定</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（以下简称“乙方”）为该项目的中标人。</w:t>
      </w:r>
    </w:p>
    <w:p w14:paraId="2DDE780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依据《中华人民共和国</w:t>
      </w:r>
      <w:r>
        <w:rPr>
          <w:rFonts w:hint="eastAsia" w:ascii="宋体" w:hAnsi="宋体" w:eastAsia="宋体" w:cs="宋体"/>
          <w:bCs/>
          <w:sz w:val="24"/>
          <w:szCs w:val="24"/>
          <w:lang w:eastAsia="zh-CN"/>
        </w:rPr>
        <w:t>民</w:t>
      </w:r>
      <w:r>
        <w:rPr>
          <w:rFonts w:hint="eastAsia" w:ascii="宋体" w:hAnsi="宋体" w:eastAsia="宋体" w:cs="宋体"/>
          <w:bCs/>
          <w:sz w:val="24"/>
          <w:szCs w:val="24"/>
        </w:rPr>
        <w:t>法</w:t>
      </w:r>
      <w:r>
        <w:rPr>
          <w:rFonts w:hint="eastAsia" w:ascii="宋体" w:hAnsi="宋体" w:eastAsia="宋体" w:cs="宋体"/>
          <w:bCs/>
          <w:sz w:val="24"/>
          <w:szCs w:val="24"/>
          <w:lang w:eastAsia="zh-CN"/>
        </w:rPr>
        <w:t>典</w:t>
      </w:r>
      <w:r>
        <w:rPr>
          <w:rFonts w:hint="eastAsia" w:ascii="宋体" w:hAnsi="宋体" w:eastAsia="宋体" w:cs="宋体"/>
          <w:bCs/>
          <w:sz w:val="24"/>
          <w:szCs w:val="24"/>
        </w:rPr>
        <w:t>》和《中华人民共和国政府采购法》</w:t>
      </w:r>
      <w:r>
        <w:rPr>
          <w:rFonts w:hint="eastAsia" w:ascii="宋体" w:hAnsi="宋体" w:eastAsia="宋体" w:cs="宋体"/>
          <w:sz w:val="24"/>
          <w:szCs w:val="24"/>
        </w:rPr>
        <w:t>之规定</w:t>
      </w:r>
      <w:r>
        <w:rPr>
          <w:rFonts w:hint="eastAsia" w:ascii="宋体" w:hAnsi="宋体" w:eastAsia="宋体" w:cs="宋体"/>
          <w:bCs/>
          <w:sz w:val="24"/>
          <w:szCs w:val="24"/>
        </w:rPr>
        <w:t>，</w:t>
      </w:r>
      <w:r>
        <w:rPr>
          <w:rFonts w:hint="eastAsia" w:ascii="宋体" w:hAnsi="宋体" w:eastAsia="宋体" w:cs="宋体"/>
          <w:sz w:val="24"/>
          <w:szCs w:val="24"/>
        </w:rPr>
        <w:t>经双方在平等、自愿、互利的基础上，签订本合同，共同信守。</w:t>
      </w:r>
    </w:p>
    <w:p w14:paraId="3F739B4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、合同价款</w:t>
      </w:r>
    </w:p>
    <w:p w14:paraId="2523536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1、合同总价款为人民币</w:t>
      </w:r>
      <w:r>
        <w:rPr>
          <w:rFonts w:hint="eastAsia" w:ascii="宋体" w:hAnsi="宋体" w:eastAsia="宋体" w:cs="宋体"/>
          <w:sz w:val="24"/>
          <w:szCs w:val="24"/>
          <w:u w:val="none"/>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0FE8F97">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2、合同总价包括</w:t>
      </w:r>
      <w:r>
        <w:rPr>
          <w:rFonts w:hint="eastAsia" w:ascii="宋体" w:hAnsi="宋体" w:eastAsia="宋体" w:cs="宋体"/>
          <w:sz w:val="24"/>
          <w:szCs w:val="24"/>
          <w:lang w:val="zh-CN"/>
        </w:rPr>
        <w:t>但不</w:t>
      </w:r>
      <w:r>
        <w:rPr>
          <w:rFonts w:hint="eastAsia" w:ascii="宋体" w:hAnsi="宋体" w:eastAsia="宋体" w:cs="宋体"/>
          <w:bCs/>
          <w:sz w:val="24"/>
          <w:szCs w:val="24"/>
          <w:lang w:val="zh-CN" w:eastAsia="zh-CN"/>
        </w:rPr>
        <w:t>限于</w:t>
      </w:r>
      <w:r>
        <w:rPr>
          <w:rFonts w:hint="eastAsia" w:ascii="宋体" w:hAnsi="宋体" w:eastAsia="宋体" w:cs="宋体"/>
          <w:bCs/>
          <w:sz w:val="24"/>
          <w:szCs w:val="24"/>
        </w:rPr>
        <w:t>人工费、材料费、</w:t>
      </w:r>
      <w:r>
        <w:rPr>
          <w:rFonts w:hint="eastAsia" w:ascii="宋体" w:hAnsi="宋体" w:eastAsia="宋体" w:cs="宋体"/>
          <w:bCs/>
          <w:sz w:val="24"/>
          <w:szCs w:val="24"/>
          <w:lang w:eastAsia="zh-CN"/>
        </w:rPr>
        <w:t>设备</w:t>
      </w:r>
      <w:r>
        <w:rPr>
          <w:rFonts w:hint="eastAsia" w:ascii="宋体" w:hAnsi="宋体" w:eastAsia="宋体" w:cs="宋体"/>
          <w:bCs/>
          <w:sz w:val="24"/>
          <w:szCs w:val="24"/>
        </w:rPr>
        <w:t>购置费</w:t>
      </w:r>
      <w:r>
        <w:rPr>
          <w:rFonts w:hint="eastAsia" w:ascii="宋体" w:hAnsi="宋体" w:eastAsia="宋体" w:cs="宋体"/>
          <w:bCs/>
          <w:sz w:val="24"/>
          <w:szCs w:val="24"/>
          <w:lang w:eastAsia="zh-CN"/>
        </w:rPr>
        <w:t>、机械</w:t>
      </w:r>
      <w:r>
        <w:rPr>
          <w:rFonts w:hint="eastAsia" w:ascii="宋体" w:hAnsi="宋体" w:eastAsia="宋体" w:cs="宋体"/>
          <w:bCs/>
          <w:sz w:val="24"/>
          <w:szCs w:val="24"/>
        </w:rPr>
        <w:t>费、管理费、保险费、利润、税金</w:t>
      </w:r>
      <w:r>
        <w:rPr>
          <w:rFonts w:hint="eastAsia" w:ascii="宋体" w:hAnsi="宋体" w:eastAsia="宋体" w:cs="宋体"/>
          <w:bCs/>
          <w:sz w:val="24"/>
          <w:szCs w:val="24"/>
          <w:lang w:eastAsia="zh-CN"/>
        </w:rPr>
        <w:t>和</w:t>
      </w:r>
      <w:r>
        <w:rPr>
          <w:rFonts w:hint="eastAsia" w:ascii="宋体" w:hAnsi="宋体" w:eastAsia="宋体" w:cs="宋体"/>
          <w:bCs/>
          <w:sz w:val="24"/>
          <w:szCs w:val="24"/>
        </w:rPr>
        <w:t>风险费等全部费用。</w:t>
      </w:r>
    </w:p>
    <w:p w14:paraId="0AC8DC7F">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3、合同总价一次性包死，在服务期限内不做任何调整。</w:t>
      </w:r>
    </w:p>
    <w:p w14:paraId="0DD806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二、绿化管护、卫生保洁范围及内容</w:t>
      </w:r>
    </w:p>
    <w:p w14:paraId="064CA1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1绿化管护</w:t>
      </w:r>
    </w:p>
    <w:p w14:paraId="3E1F9D47">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(一)</w:t>
      </w:r>
      <w:r>
        <w:rPr>
          <w:rFonts w:hint="eastAsia" w:ascii="宋体" w:hAnsi="宋体" w:eastAsia="宋体" w:cs="宋体"/>
          <w:sz w:val="24"/>
          <w:szCs w:val="24"/>
          <w:highlight w:val="none"/>
        </w:rPr>
        <w:t>、堤顶绿化管护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宝鸡市陈仓区渭河中游段堤顶西起凤凰大桥，东至法士特大桥，全长</w:t>
      </w:r>
      <w:r>
        <w:rPr>
          <w:rFonts w:hint="eastAsia" w:ascii="宋体" w:hAnsi="宋体" w:eastAsia="宋体" w:cs="宋体"/>
          <w:b w:val="0"/>
          <w:bCs w:val="0"/>
          <w:sz w:val="24"/>
          <w:szCs w:val="24"/>
          <w:highlight w:val="none"/>
          <w:vertAlign w:val="baseline"/>
          <w:lang w:val="en-US" w:eastAsia="zh-CN"/>
        </w:rPr>
        <w:t>24.95</w:t>
      </w:r>
      <w:r>
        <w:rPr>
          <w:rFonts w:hint="eastAsia" w:ascii="宋体" w:hAnsi="宋体" w:eastAsia="宋体" w:cs="宋体"/>
          <w:sz w:val="24"/>
          <w:szCs w:val="24"/>
          <w:highlight w:val="none"/>
        </w:rPr>
        <w:t>公里。分城防段和农防段两部分。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1、城防段。西起凤凰大桥，东至西秦村，全长8.343公里。绿化管护范围：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(1)、堤顶中间2.5米绿化隔离带；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(2)、堤顶南侧1.0米绿化带；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(3)、</w:t>
      </w:r>
      <w:r>
        <w:rPr>
          <w:rFonts w:hint="eastAsia" w:ascii="宋体" w:hAnsi="宋体" w:eastAsia="宋体" w:cs="宋体"/>
          <w:sz w:val="24"/>
          <w:szCs w:val="24"/>
          <w:highlight w:val="none"/>
          <w:lang w:val="en-US" w:eastAsia="zh-CN"/>
        </w:rPr>
        <w:t>南北两侧堤肩行道树及行道树之间绿篱</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(4)、迎水坡、背水坡各约18米草；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(5)、迎水坡13处踏步两侧绿篱及坡面造型绿化。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vertAlign w:val="baseline"/>
          <w:lang w:val="en-US" w:eastAsia="zh-CN"/>
        </w:rPr>
        <w:t>城防段（背水坡坡脚至滨河路人行道），</w:t>
      </w:r>
      <w:r>
        <w:rPr>
          <w:rFonts w:hint="eastAsia" w:ascii="宋体" w:hAnsi="宋体" w:eastAsia="宋体" w:cs="宋体"/>
          <w:sz w:val="24"/>
          <w:szCs w:val="24"/>
          <w:highlight w:val="none"/>
        </w:rPr>
        <w:t>全长</w:t>
      </w:r>
      <w:r>
        <w:rPr>
          <w:rFonts w:hint="eastAsia" w:ascii="宋体" w:hAnsi="宋体" w:eastAsia="宋体" w:cs="宋体"/>
          <w:sz w:val="24"/>
          <w:szCs w:val="24"/>
          <w:highlight w:val="none"/>
          <w:vertAlign w:val="baseline"/>
          <w:lang w:val="en-US" w:eastAsia="zh-CN"/>
        </w:rPr>
        <w:t>7.06</w:t>
      </w:r>
      <w:r>
        <w:rPr>
          <w:rFonts w:hint="eastAsia" w:ascii="宋体" w:hAnsi="宋体" w:eastAsia="宋体" w:cs="宋体"/>
          <w:sz w:val="24"/>
          <w:szCs w:val="24"/>
          <w:highlight w:val="none"/>
        </w:rPr>
        <w:t>公里。绿化管护范围：</w:t>
      </w:r>
    </w:p>
    <w:p w14:paraId="265EC879">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(1)、杂草清理</w:t>
      </w:r>
    </w:p>
    <w:p w14:paraId="54A72877">
      <w:pPr>
        <w:pStyle w:val="18"/>
        <w:pageBreakBefore w:val="0"/>
        <w:widowControl w:val="0"/>
        <w:numPr>
          <w:ilvl w:val="0"/>
          <w:numId w:val="0"/>
        </w:numPr>
        <w:kinsoku/>
        <w:wordWrap/>
        <w:overflowPunct/>
        <w:topLinePunct w:val="0"/>
        <w:autoSpaceDE/>
        <w:autoSpaceDN/>
        <w:bidi w:val="0"/>
        <w:adjustRightInd/>
        <w:snapToGrid/>
        <w:spacing w:line="360" w:lineRule="auto"/>
        <w:ind w:left="-80" w:leftChars="0" w:firstLine="56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、农防段。西起西秦村，东至法士特大桥，全长16.607公里。绿化管护范围：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(1)、堤顶中间2.5米绿化隔离带；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(2)、北侧1.0米绿化带；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(3)、南北两侧堤肩行道树及行道树之间绿篱；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（4)、迎水坡、背水坡各约18米草。</w:t>
      </w:r>
    </w:p>
    <w:p w14:paraId="3AB305D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（二）、渭河生态运动公园绿化管护</w:t>
      </w:r>
      <w:r>
        <w:rPr>
          <w:rFonts w:hint="eastAsia" w:ascii="宋体" w:hAnsi="宋体" w:eastAsia="宋体" w:cs="宋体"/>
          <w:color w:val="000000"/>
          <w:sz w:val="24"/>
          <w:szCs w:val="24"/>
          <w:highlight w:val="none"/>
          <w:shd w:val="clear" w:color="auto" w:fill="FFFFFF"/>
        </w:rPr>
        <w:br w:type="textWrapping"/>
      </w: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绿化</w:t>
      </w:r>
      <w:r>
        <w:rPr>
          <w:rFonts w:hint="eastAsia" w:ascii="宋体" w:hAnsi="宋体" w:eastAsia="宋体" w:cs="宋体"/>
          <w:sz w:val="24"/>
          <w:szCs w:val="24"/>
          <w:highlight w:val="none"/>
        </w:rPr>
        <w:t>管护范围：西起凤凰大桥，东至虢镇大桥下游400米处，全长7.06公里；北起大堤迎水坡堤脚，南至子堤迎水坡坡脚。</w:t>
      </w:r>
    </w:p>
    <w:p w14:paraId="292F2A1C">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（三）、中</w:t>
      </w:r>
      <w:r>
        <w:rPr>
          <w:rFonts w:hint="eastAsia" w:ascii="宋体" w:hAnsi="宋体" w:eastAsia="宋体" w:cs="宋体"/>
          <w:sz w:val="24"/>
          <w:szCs w:val="24"/>
          <w:highlight w:val="none"/>
        </w:rPr>
        <w:t>水湿地绿化管护</w:t>
      </w:r>
    </w:p>
    <w:p w14:paraId="79676A18">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1、管护范围：东西长2.3公里，南北宽约100米。</w:t>
      </w:r>
    </w:p>
    <w:p w14:paraId="0FDB484A">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（四）、苗圃绿化管护</w:t>
      </w:r>
    </w:p>
    <w:p w14:paraId="6BFD0AC2">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highlight w:val="none"/>
          <w:lang w:val="en-US" w:eastAsia="zh-CN"/>
        </w:rPr>
      </w:pPr>
      <w:r>
        <w:rPr>
          <w:rFonts w:hint="eastAsia" w:ascii="宋体" w:hAnsi="宋体" w:eastAsia="宋体" w:cs="宋体"/>
          <w:sz w:val="24"/>
          <w:szCs w:val="24"/>
          <w:highlight w:val="none"/>
          <w:lang w:val="en-US" w:eastAsia="zh-CN"/>
        </w:rPr>
        <w:t>1、管护范围：东西长100米，南北宽约100米。</w:t>
      </w:r>
    </w:p>
    <w:p w14:paraId="7F7B16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.2卫生保洁</w:t>
      </w:r>
    </w:p>
    <w:p w14:paraId="2D746338">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堤顶卫生保洁</w:t>
      </w:r>
    </w:p>
    <w:p w14:paraId="3790EE0A">
      <w:pPr>
        <w:pStyle w:val="1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堤顶卫生保洁西起凤凰大桥，东至法士特大桥，全长</w:t>
      </w:r>
      <w:r>
        <w:rPr>
          <w:rFonts w:hint="eastAsia" w:ascii="宋体" w:hAnsi="宋体" w:eastAsia="宋体" w:cs="宋体"/>
          <w:b w:val="0"/>
          <w:bCs w:val="0"/>
          <w:sz w:val="24"/>
          <w:szCs w:val="24"/>
          <w:highlight w:val="none"/>
          <w:vertAlign w:val="baseline"/>
          <w:lang w:val="en-US" w:eastAsia="zh-CN"/>
        </w:rPr>
        <w:t>24.95</w:t>
      </w:r>
      <w:r>
        <w:rPr>
          <w:rFonts w:hint="eastAsia" w:ascii="宋体" w:hAnsi="宋体" w:eastAsia="宋体" w:cs="宋体"/>
          <w:sz w:val="24"/>
          <w:szCs w:val="24"/>
          <w:highlight w:val="none"/>
        </w:rPr>
        <w:t>公里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分城市核心区和</w:t>
      </w:r>
    </w:p>
    <w:p w14:paraId="63006A65">
      <w:pPr>
        <w:pStyle w:val="18"/>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t>农防段: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(1)、城市核心</w:t>
      </w:r>
      <w:r>
        <w:rPr>
          <w:rFonts w:hint="eastAsia" w:ascii="宋体" w:hAnsi="宋体" w:eastAsia="宋体" w:cs="宋体"/>
          <w:sz w:val="24"/>
          <w:szCs w:val="24"/>
        </w:rPr>
        <w:t>区:西起凤凰大桥，东至陆港大桥的堤顶和坡面每天坚持保洁，保持干净卫生。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(2)、农防段:西起陆港大桥，东至法士特大桥的堤顶和坡面每周保洁2至3次，保持干净卫生。</w:t>
      </w:r>
    </w:p>
    <w:p w14:paraId="55DCB760">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渭河生态运动公园卫生保洁</w:t>
      </w:r>
      <w:r>
        <w:rPr>
          <w:rFonts w:hint="eastAsia" w:ascii="宋体" w:hAnsi="宋体" w:eastAsia="宋体" w:cs="宋体"/>
          <w:sz w:val="24"/>
          <w:szCs w:val="24"/>
        </w:rPr>
        <w:br w:type="textWrapping"/>
      </w:r>
      <w:r>
        <w:rPr>
          <w:rFonts w:hint="eastAsia" w:ascii="宋体" w:hAnsi="宋体" w:eastAsia="宋体" w:cs="宋体"/>
          <w:sz w:val="24"/>
          <w:szCs w:val="24"/>
        </w:rPr>
        <w:t xml:space="preserve">    (1)、保洁范围：西起凤凰大桥，东至虢镇大桥下游400米处，全长7.06公里；北起大堤迎水坡堤脚，南至子堤迎水坡坡脚。</w:t>
      </w:r>
      <w:r>
        <w:rPr>
          <w:rFonts w:hint="eastAsia" w:ascii="宋体" w:hAnsi="宋体" w:eastAsia="宋体" w:cs="宋体"/>
          <w:sz w:val="24"/>
          <w:szCs w:val="24"/>
        </w:rPr>
        <w:br w:type="textWrapping"/>
      </w:r>
      <w:r>
        <w:rPr>
          <w:rFonts w:hint="eastAsia" w:ascii="宋体" w:hAnsi="宋体" w:eastAsia="宋体" w:cs="宋体"/>
          <w:sz w:val="24"/>
          <w:szCs w:val="24"/>
        </w:rPr>
        <w:t xml:space="preserve">    (2)、范围内的道路、园路、栈道、亭阁等设施、每天坚持保洁，保持干净卫生。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(3)、7个公厕的管理，包括卫生、水电等设施，每天坚持保洁，保持干净卫生。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(4)、运动设施及场地的管理，包括卫生、电灯、体育设施，保证干净卫生。</w:t>
      </w:r>
      <w:r>
        <w:rPr>
          <w:rFonts w:hint="eastAsia" w:ascii="宋体" w:hAnsi="宋体" w:eastAsia="宋体" w:cs="宋体"/>
          <w:sz w:val="24"/>
          <w:szCs w:val="24"/>
        </w:rPr>
        <w:br w:type="textWrapping"/>
      </w:r>
      <w:r>
        <w:rPr>
          <w:rFonts w:hint="eastAsia" w:ascii="宋体" w:hAnsi="宋体" w:eastAsia="宋体" w:cs="宋体"/>
          <w:sz w:val="24"/>
          <w:szCs w:val="24"/>
        </w:rPr>
        <w:t xml:space="preserve">    (5)、陈仓印象塔管理，包括卫生、电灯、管理房等设施，保证干净卫生。</w:t>
      </w:r>
    </w:p>
    <w:p w14:paraId="38289610">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（三）、中水</w:t>
      </w:r>
      <w:r>
        <w:rPr>
          <w:rFonts w:hint="eastAsia" w:ascii="宋体" w:hAnsi="宋体" w:eastAsia="宋体" w:cs="宋体"/>
          <w:sz w:val="24"/>
          <w:szCs w:val="24"/>
          <w:highlight w:val="none"/>
          <w:lang w:val="en-US" w:eastAsia="zh-CN"/>
        </w:rPr>
        <w:t>湿地卫生</w:t>
      </w:r>
      <w:r>
        <w:rPr>
          <w:rFonts w:hint="eastAsia" w:ascii="宋体" w:hAnsi="宋体" w:eastAsia="宋体" w:cs="宋体"/>
          <w:kern w:val="2"/>
          <w:sz w:val="24"/>
          <w:szCs w:val="24"/>
          <w:highlight w:val="none"/>
          <w:lang w:val="en-US" w:eastAsia="zh-CN" w:bidi="ar-SA"/>
        </w:rPr>
        <w:t>保洁</w:t>
      </w:r>
      <w:r>
        <w:rPr>
          <w:rFonts w:hint="eastAsia" w:ascii="宋体" w:hAnsi="宋体" w:eastAsia="宋体" w:cs="宋体"/>
          <w:color w:val="000000"/>
          <w:sz w:val="24"/>
          <w:szCs w:val="24"/>
          <w:highlight w:val="none"/>
          <w:shd w:val="clear" w:color="auto" w:fill="FFFFFF"/>
        </w:rPr>
        <w:br w:type="textWrapping"/>
      </w: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color w:val="000000"/>
          <w:sz w:val="24"/>
          <w:szCs w:val="24"/>
          <w:highlight w:val="none"/>
          <w:shd w:val="clear" w:color="auto" w:fill="FFFFFF"/>
          <w:lang w:val="en-US" w:eastAsia="zh-CN"/>
        </w:rPr>
        <w:t xml:space="preserve"> </w:t>
      </w:r>
      <w:r>
        <w:rPr>
          <w:rFonts w:hint="eastAsia" w:ascii="宋体" w:hAnsi="宋体" w:eastAsia="宋体" w:cs="宋体"/>
          <w:sz w:val="24"/>
          <w:szCs w:val="24"/>
          <w:highlight w:val="none"/>
        </w:rPr>
        <w:t>(1)、保洁范围：东西长2.3公里，南北宽约100米。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(2)、保洁范围内每周保洁2至3次，保持干净卫生。</w:t>
      </w:r>
    </w:p>
    <w:p w14:paraId="0E352C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2.3工作内容</w:t>
      </w:r>
    </w:p>
    <w:p w14:paraId="21EFA94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园林绿化中的乔木、灌木、地被、草坪以及水生带等植物的养护管理。包括浇水、整型、修剪枯枝败叶、草坪除杂草、施肥、修剪和滚压草坪、防治病虫害、苗木补种、树木涂白等植物养护工作、要求范围内的卫生保洁工作及设施维护工作。</w:t>
      </w:r>
    </w:p>
    <w:p w14:paraId="7C5AE50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三、质量要求</w:t>
      </w:r>
    </w:p>
    <w:p w14:paraId="6AB5E6D8">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维护养护质量标准按照《园林绿化管养规范》、《木本植物修剪规范》及国家、省、市有关规程、规范执行</w:t>
      </w:r>
      <w:r>
        <w:rPr>
          <w:rFonts w:hint="eastAsia" w:ascii="宋体" w:hAnsi="宋体" w:eastAsia="宋体" w:cs="宋体"/>
          <w:sz w:val="24"/>
          <w:szCs w:val="24"/>
          <w:highlight w:val="none"/>
          <w:lang w:eastAsia="zh-CN"/>
        </w:rPr>
        <w:t>；卫生保洁工作质量达到公共卫生管理规范要求。</w:t>
      </w:r>
    </w:p>
    <w:p w14:paraId="2355FFDC">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（一）绿化养护要求</w:t>
      </w:r>
    </w:p>
    <w:p w14:paraId="741AC16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保证植物生长健壮、旺盛，观叶植物颜色鲜艳：无病虫害、无死</w:t>
      </w:r>
    </w:p>
    <w:p w14:paraId="653E347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树、无枯枝、无残花、无败叶、无野生藤萝缠生、无缺株、无杂草；枯危和倒伏的乔、灌木及时处理。</w:t>
      </w:r>
    </w:p>
    <w:p w14:paraId="4E99EED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浇水：确保植物</w:t>
      </w:r>
      <w:r>
        <w:rPr>
          <w:rFonts w:hint="eastAsia" w:ascii="宋体" w:hAnsi="宋体" w:eastAsia="宋体" w:cs="宋体"/>
          <w:sz w:val="24"/>
          <w:szCs w:val="24"/>
          <w:highlight w:val="none"/>
          <w:lang w:eastAsia="zh-CN"/>
        </w:rPr>
        <w:t>生长所必需的</w:t>
      </w:r>
      <w:r>
        <w:rPr>
          <w:rFonts w:hint="eastAsia" w:ascii="宋体" w:hAnsi="宋体" w:eastAsia="宋体" w:cs="宋体"/>
          <w:sz w:val="24"/>
          <w:szCs w:val="24"/>
          <w:highlight w:val="none"/>
        </w:rPr>
        <w:t>水分。春季雨水多，视天气而定，</w:t>
      </w:r>
    </w:p>
    <w:p w14:paraId="4B6C14B0">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灵活掌握浇水量；夏、秋二季，每月不少于二次；</w:t>
      </w:r>
    </w:p>
    <w:p w14:paraId="38A044A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喷药：如发现有病虫害必须采取措施，有针对性地使用不同的农药对症下药。预防病虫害方面：在植物生长期内每十天例行喷药。喷药时，应尽量降低对游人的影响。</w:t>
      </w:r>
    </w:p>
    <w:p w14:paraId="15841170">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修剪：主要修剪时间是春、夏二季。乔木主要是修剪枯枝、徒长枝，应保持主干道行道树定干高度一致，主干的分枝点以下不应有萌芽和枝条；灌木按不同的造型进行修剪，要求每季度修剪1次；地被四季均要修剪，按要求控制高度和造型，不能出现空脚现象</w:t>
      </w:r>
      <w:r>
        <w:rPr>
          <w:rFonts w:hint="eastAsia" w:ascii="宋体" w:hAnsi="宋体" w:eastAsia="宋体" w:cs="宋体"/>
          <w:sz w:val="24"/>
          <w:szCs w:val="24"/>
          <w:highlight w:val="none"/>
          <w:lang w:eastAsia="zh-CN"/>
        </w:rPr>
        <w:t>。</w:t>
      </w:r>
    </w:p>
    <w:p w14:paraId="703C7B51">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5、草坪的管理：草坪要求整齐雅观，草种生长良好，</w:t>
      </w:r>
      <w:r>
        <w:rPr>
          <w:rFonts w:hint="eastAsia" w:ascii="宋体" w:hAnsi="宋体" w:eastAsia="宋体" w:cs="宋体"/>
          <w:sz w:val="24"/>
          <w:szCs w:val="24"/>
          <w:highlight w:val="none"/>
          <w:lang w:eastAsia="zh-CN"/>
        </w:rPr>
        <w:t>四季常绿</w:t>
      </w:r>
      <w:r>
        <w:rPr>
          <w:rFonts w:hint="eastAsia" w:ascii="宋体" w:hAnsi="宋体" w:eastAsia="宋体" w:cs="宋体"/>
          <w:sz w:val="24"/>
          <w:szCs w:val="24"/>
          <w:highlight w:val="none"/>
        </w:rPr>
        <w:t>，覆</w:t>
      </w:r>
    </w:p>
    <w:p w14:paraId="169D0A0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盖率达95%以上，杂草率低于5%，无坑洼积水，无</w:t>
      </w:r>
      <w:r>
        <w:rPr>
          <w:rFonts w:hint="eastAsia" w:ascii="宋体" w:hAnsi="宋体" w:eastAsia="宋体" w:cs="宋体"/>
          <w:sz w:val="24"/>
          <w:szCs w:val="24"/>
          <w:highlight w:val="none"/>
          <w:lang w:eastAsia="zh-CN"/>
        </w:rPr>
        <w:t>裸露</w:t>
      </w:r>
      <w:r>
        <w:rPr>
          <w:rFonts w:hint="eastAsia" w:ascii="宋体" w:hAnsi="宋体" w:eastAsia="宋体" w:cs="宋体"/>
          <w:sz w:val="24"/>
          <w:szCs w:val="24"/>
          <w:highlight w:val="none"/>
        </w:rPr>
        <w:t>地。边缘草要修剪整齐、草坪高度保持在4-5cm并及时疏草，以确保草坪外观平整。经常除杂草，保持草坪内无杂草及病虫害，绿地要求半年内达到要求。缺株及时补种，使草地保持完整，无裸露地，补植后加强保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608812D7">
      <w:pPr>
        <w:pStyle w:val="18"/>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栽植物成活达98%以上。绿化地段无多余的石头砖块花盆等杂物，</w:t>
      </w:r>
    </w:p>
    <w:p w14:paraId="676FFAEC">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需及时清理。</w:t>
      </w:r>
    </w:p>
    <w:p w14:paraId="0F6A54EF">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8"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（二）修剪技术要求</w:t>
      </w:r>
    </w:p>
    <w:p w14:paraId="3EC75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1、原则</w:t>
      </w:r>
    </w:p>
    <w:p w14:paraId="43A0E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修剪时应遵循“从整体到局部，由下到上，由内到外，去弱留强，去老留新”的操作原则。</w:t>
      </w:r>
    </w:p>
    <w:p w14:paraId="2DD3B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2、一般要求</w:t>
      </w:r>
    </w:p>
    <w:p w14:paraId="143EA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剪口平滑、整齐，不积水，不留残桩。</w:t>
      </w:r>
    </w:p>
    <w:p w14:paraId="0D287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大枝修剪应防止</w:t>
      </w:r>
      <w:r>
        <w:rPr>
          <w:rFonts w:hint="eastAsia" w:ascii="宋体" w:hAnsi="宋体" w:eastAsia="宋体" w:cs="宋体"/>
          <w:sz w:val="24"/>
          <w:szCs w:val="24"/>
          <w:highlight w:val="none"/>
          <w:lang w:eastAsia="zh-CN"/>
        </w:rPr>
        <w:t>枝干</w:t>
      </w:r>
      <w:r>
        <w:rPr>
          <w:rFonts w:hint="eastAsia" w:ascii="宋体" w:hAnsi="宋体" w:eastAsia="宋体" w:cs="宋体"/>
          <w:sz w:val="24"/>
          <w:szCs w:val="24"/>
          <w:highlight w:val="none"/>
        </w:rPr>
        <w:t>下落，撕裂树皮。</w:t>
      </w:r>
    </w:p>
    <w:p w14:paraId="42738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及时剪除病虫枝、干枯枝、徒长枝、倒生枝、阴生枝。</w:t>
      </w:r>
    </w:p>
    <w:p w14:paraId="1A98F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及时修剪偏冠或过密的树枝，保持均衡、通透的树冠，预防和减少台风损失。</w:t>
      </w:r>
    </w:p>
    <w:p w14:paraId="6C01C5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3、乔木</w:t>
      </w:r>
    </w:p>
    <w:p w14:paraId="2C36AF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保持行道树下缘线整齐，并控制下缘线高度在机动车高度以上，一般以3.0~4.5米为宜。</w:t>
      </w:r>
    </w:p>
    <w:p w14:paraId="0F03E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保持行列树下缘线整齐，并控制下缘线高度在行人及非机动车高度以上，一般以2.5~3.5米为宜。</w:t>
      </w:r>
    </w:p>
    <w:p w14:paraId="78359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疏剪过多的花序及果实，保持旺盛的营养生长。</w:t>
      </w:r>
    </w:p>
    <w:p w14:paraId="0A623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纠正偏冠的树冠，保持路段树冠冠形的一致与整齐。</w:t>
      </w:r>
    </w:p>
    <w:p w14:paraId="18364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疏剪过密的枝丛，使植物分枝均衡，通风透光。</w:t>
      </w:r>
    </w:p>
    <w:p w14:paraId="06645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孤植树要根据观赏要求或与周围环境相协调，修剪以自然树形为主。</w:t>
      </w:r>
    </w:p>
    <w:p w14:paraId="532F5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片植乔木修剪以自然树形为主。</w:t>
      </w:r>
    </w:p>
    <w:p w14:paraId="3A7E0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4、灌木</w:t>
      </w:r>
    </w:p>
    <w:p w14:paraId="41C994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孤植灌木、造型灌木：修剪应维持原设计的造型。</w:t>
      </w:r>
    </w:p>
    <w:p w14:paraId="26CA8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自然形灌木：按自然形态进行疏剪，促进灌木健康生长及开花结实。</w:t>
      </w:r>
    </w:p>
    <w:p w14:paraId="11EFE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丛植灌木：萌蘖枝过多时，应及时疏剪、除蘖。丛内出现过于高大粗壮的枝条，应进行短截。灌木老化或为了促进新枝开花及萌发新枝条时，应进行重短截或极重短截。</w:t>
      </w:r>
    </w:p>
    <w:p w14:paraId="4B320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绿篱灌木：修剪规则式绿篱时，应保持绿篱顶部和基部的水平，做到无断层、无缺口、无光秃。修剪自然式绿篱时，幼年应以定干整形为主；成型后应以促进开花和结实为主。</w:t>
      </w:r>
    </w:p>
    <w:p w14:paraId="24686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花坛灌木：在花芽分化前进行修剪，以促进短枝生长和花芽分化。及时剪去花谢后残花、残枝，保障植株生长整齐。轮廓线应流畅、柔和。两个以上品种花坛灌木连片种植，修剪时应注意相互之间的衔接，保持平顺和缓过渡。</w:t>
      </w:r>
    </w:p>
    <w:p w14:paraId="312A0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5、木质藤本植物</w:t>
      </w:r>
    </w:p>
    <w:p w14:paraId="00F24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修剪以加速覆盖和攀缘速度为目的，定期翻蔓，修剪过密的侧枝，使其覆盖均匀。</w:t>
      </w:r>
    </w:p>
    <w:p w14:paraId="18DCE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6、棕榈科植物</w:t>
      </w:r>
    </w:p>
    <w:p w14:paraId="44DA2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修剪以自然树形为主。</w:t>
      </w:r>
    </w:p>
    <w:p w14:paraId="415E3D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（三）卫生清洁要求</w:t>
      </w:r>
    </w:p>
    <w:p w14:paraId="54764B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宝鸡市陈仓区渭河中游段卫生保洁要保持整洁、干净，做到无垃圾，无积沙虫现象，无卫生死角。主干道要求无杂草。</w:t>
      </w:r>
    </w:p>
    <w:p w14:paraId="4494DE4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四、款项结算</w:t>
      </w:r>
    </w:p>
    <w:p w14:paraId="1F8FDE6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1、合同款的支付：甲方根据每月考核情况</w:t>
      </w:r>
      <w:r>
        <w:rPr>
          <w:rFonts w:hint="eastAsia" w:ascii="宋体" w:hAnsi="宋体" w:eastAsia="宋体" w:cs="宋体"/>
          <w:sz w:val="24"/>
          <w:szCs w:val="24"/>
          <w:highlight w:val="none"/>
          <w:lang w:eastAsia="zh-CN"/>
        </w:rPr>
        <w:t>进行支付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付款前</w:t>
      </w:r>
      <w:r>
        <w:rPr>
          <w:rFonts w:hint="eastAsia" w:ascii="宋体" w:hAnsi="宋体" w:eastAsia="宋体" w:cs="宋体"/>
          <w:sz w:val="24"/>
          <w:szCs w:val="24"/>
          <w:highlight w:val="none"/>
        </w:rPr>
        <w:t>乙方须</w:t>
      </w:r>
      <w:r>
        <w:rPr>
          <w:rFonts w:hint="eastAsia" w:ascii="宋体" w:hAnsi="宋体" w:eastAsia="宋体" w:cs="宋体"/>
          <w:sz w:val="24"/>
          <w:szCs w:val="24"/>
          <w:highlight w:val="none"/>
          <w:lang w:eastAsia="zh-CN"/>
        </w:rPr>
        <w:t>向甲方</w:t>
      </w:r>
      <w:r>
        <w:rPr>
          <w:rFonts w:hint="eastAsia" w:ascii="宋体" w:hAnsi="宋体" w:eastAsia="宋体" w:cs="宋体"/>
          <w:sz w:val="24"/>
          <w:szCs w:val="24"/>
          <w:highlight w:val="none"/>
        </w:rPr>
        <w:t>出具</w:t>
      </w:r>
      <w:r>
        <w:rPr>
          <w:rFonts w:hint="eastAsia" w:ascii="宋体" w:hAnsi="宋体" w:eastAsia="宋体" w:cs="宋体"/>
          <w:sz w:val="24"/>
          <w:szCs w:val="24"/>
          <w:highlight w:val="none"/>
          <w:lang w:eastAsia="zh-CN"/>
        </w:rPr>
        <w:t>足额的</w:t>
      </w:r>
      <w:r>
        <w:rPr>
          <w:rFonts w:hint="eastAsia" w:ascii="宋体" w:hAnsi="宋体" w:eastAsia="宋体" w:cs="宋体"/>
          <w:sz w:val="24"/>
          <w:szCs w:val="24"/>
          <w:highlight w:val="none"/>
        </w:rPr>
        <w:t>税务发票，甲方于次月底前向乙方支付上月</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费。</w:t>
      </w:r>
      <w:r>
        <w:rPr>
          <w:rFonts w:hint="eastAsia" w:ascii="宋体" w:hAnsi="宋体" w:eastAsia="宋体" w:cs="宋体"/>
          <w:sz w:val="24"/>
          <w:szCs w:val="24"/>
          <w:highlight w:val="none"/>
          <w:lang w:val="en-US" w:eastAsia="zh-CN"/>
        </w:rPr>
        <w:t>绿化养护、卫生保洁质量检查考核评定表详见附件1</w:t>
      </w:r>
      <w:r>
        <w:rPr>
          <w:rFonts w:hint="eastAsia" w:ascii="宋体" w:hAnsi="宋体" w:eastAsia="宋体" w:cs="宋体"/>
          <w:sz w:val="24"/>
          <w:szCs w:val="24"/>
          <w:highlight w:val="none"/>
          <w:lang w:eastAsia="zh-CN"/>
        </w:rPr>
        <w:t>。</w:t>
      </w:r>
    </w:p>
    <w:p w14:paraId="63941B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支付</w:t>
      </w:r>
      <w:r>
        <w:rPr>
          <w:rFonts w:hint="eastAsia" w:ascii="宋体" w:hAnsi="宋体" w:eastAsia="宋体" w:cs="宋体"/>
          <w:bCs/>
          <w:sz w:val="24"/>
          <w:szCs w:val="24"/>
          <w:highlight w:val="none"/>
        </w:rPr>
        <w:t>方式：银行转账。</w:t>
      </w:r>
    </w:p>
    <w:p w14:paraId="5D449D3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五、服务地点及服务期</w:t>
      </w:r>
      <w:r>
        <w:rPr>
          <w:rFonts w:hint="eastAsia" w:ascii="宋体" w:hAnsi="宋体" w:eastAsia="宋体" w:cs="宋体"/>
          <w:b/>
          <w:bCs/>
          <w:sz w:val="24"/>
          <w:szCs w:val="24"/>
          <w:highlight w:val="none"/>
          <w:lang w:eastAsia="zh-CN"/>
        </w:rPr>
        <w:t>限</w:t>
      </w:r>
    </w:p>
    <w:p w14:paraId="155D7DF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1、服务地点：</w:t>
      </w:r>
      <w:r>
        <w:rPr>
          <w:rFonts w:hint="eastAsia" w:ascii="宋体" w:hAnsi="宋体" w:eastAsia="宋体" w:cs="宋体"/>
          <w:bCs/>
          <w:sz w:val="24"/>
          <w:szCs w:val="24"/>
          <w:lang w:eastAsia="zh-CN"/>
        </w:rPr>
        <w:t>宝鸡市陈仓区渭河中游段（详见第四章“采购内容及要求”）</w:t>
      </w:r>
      <w:r>
        <w:rPr>
          <w:rFonts w:hint="eastAsia" w:ascii="宋体" w:hAnsi="宋体" w:eastAsia="宋体" w:cs="宋体"/>
          <w:bCs/>
          <w:sz w:val="24"/>
          <w:szCs w:val="24"/>
        </w:rPr>
        <w:t>。</w:t>
      </w:r>
    </w:p>
    <w:p w14:paraId="34B9D33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color w:val="auto"/>
          <w:sz w:val="24"/>
          <w:szCs w:val="24"/>
          <w:highlight w:val="none"/>
        </w:rPr>
        <w:t>2、服务期</w:t>
      </w:r>
      <w:r>
        <w:rPr>
          <w:rFonts w:hint="eastAsia" w:ascii="宋体" w:hAnsi="宋体" w:eastAsia="宋体" w:cs="宋体"/>
          <w:bCs/>
          <w:color w:val="auto"/>
          <w:sz w:val="24"/>
          <w:szCs w:val="24"/>
          <w:highlight w:val="none"/>
          <w:lang w:eastAsia="zh-CN"/>
        </w:rPr>
        <w:t>限</w:t>
      </w:r>
      <w:r>
        <w:rPr>
          <w:rFonts w:hint="eastAsia" w:ascii="宋体" w:hAnsi="宋体" w:eastAsia="宋体" w:cs="宋体"/>
          <w:bCs/>
          <w:color w:val="auto"/>
          <w:sz w:val="24"/>
          <w:szCs w:val="24"/>
          <w:highlight w:val="none"/>
        </w:rPr>
        <w:t>：</w:t>
      </w:r>
      <w:r>
        <w:rPr>
          <w:rFonts w:hint="eastAsia" w:ascii="宋体" w:hAnsi="宋体" w:cs="宋体"/>
          <w:color w:val="auto"/>
          <w:szCs w:val="24"/>
          <w:highlight w:val="none"/>
          <w:shd w:val="clear" w:color="auto" w:fill="FFFFFF"/>
        </w:rPr>
        <w:t>合同签订之日起一年，可连续三年</w:t>
      </w:r>
      <w:r>
        <w:rPr>
          <w:rFonts w:hint="eastAsia" w:ascii="宋体" w:hAnsi="宋体" w:eastAsia="宋体" w:cs="宋体"/>
          <w:bCs/>
          <w:color w:val="auto"/>
          <w:sz w:val="24"/>
          <w:szCs w:val="24"/>
          <w:highlight w:val="none"/>
        </w:rPr>
        <w:t>。</w:t>
      </w:r>
    </w:p>
    <w:p w14:paraId="3218074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六、甲方的权利及义务</w:t>
      </w:r>
    </w:p>
    <w:p w14:paraId="57CD95B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1、全面监督、指导、检查、验收乙方工作，发现问题及时通知乙方，要求乙方及时予以处理，对乙方提出的合理建议和要求予以采纳或提供帮助。 </w:t>
      </w:r>
    </w:p>
    <w:p w14:paraId="34FADFA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2、如遇特殊工作需求时，甲方有权调动乙方的工作人员，并提前通知乙方安排人员进行</w:t>
      </w:r>
      <w:r>
        <w:rPr>
          <w:rFonts w:hint="eastAsia" w:ascii="宋体" w:hAnsi="宋体" w:eastAsia="宋体" w:cs="宋体"/>
          <w:sz w:val="24"/>
          <w:szCs w:val="24"/>
          <w:lang w:eastAsia="zh-CN"/>
        </w:rPr>
        <w:t>管护、保洁</w:t>
      </w:r>
      <w:r>
        <w:rPr>
          <w:rFonts w:hint="eastAsia" w:ascii="宋体" w:hAnsi="宋体" w:eastAsia="宋体" w:cs="宋体"/>
          <w:sz w:val="24"/>
          <w:szCs w:val="24"/>
        </w:rPr>
        <w:t>工作。</w:t>
      </w:r>
    </w:p>
    <w:p w14:paraId="544D491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3、有权制定相应</w:t>
      </w:r>
      <w:r>
        <w:rPr>
          <w:rFonts w:hint="eastAsia" w:ascii="宋体" w:hAnsi="宋体" w:eastAsia="宋体" w:cs="宋体"/>
          <w:sz w:val="24"/>
          <w:szCs w:val="24"/>
          <w:lang w:eastAsia="zh-CN"/>
        </w:rPr>
        <w:t>的</w:t>
      </w:r>
      <w:r>
        <w:rPr>
          <w:rFonts w:hint="eastAsia" w:ascii="宋体" w:hAnsi="宋体" w:eastAsia="宋体" w:cs="宋体"/>
          <w:sz w:val="24"/>
          <w:szCs w:val="24"/>
        </w:rPr>
        <w:t xml:space="preserve">管理措施、监督检查标准等，以保证乙方按照合同及其他双方议定之要求进行作业。 </w:t>
      </w:r>
    </w:p>
    <w:p w14:paraId="01E3DBB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甲方根据质量检查考核表对乙方完成的工作进行实际考核，若考核评定为不合格，甲方停发合同金额服务费，若连续两月整改不到位，甲方有权解除合同。</w:t>
      </w:r>
    </w:p>
    <w:p w14:paraId="298203C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5、及时为乙方办理结算，按时支付</w:t>
      </w:r>
      <w:r>
        <w:rPr>
          <w:rFonts w:hint="eastAsia" w:ascii="宋体" w:hAnsi="宋体" w:eastAsia="宋体" w:cs="宋体"/>
          <w:sz w:val="24"/>
          <w:szCs w:val="24"/>
          <w:lang w:eastAsia="zh-CN"/>
        </w:rPr>
        <w:t>服务</w:t>
      </w:r>
      <w:r>
        <w:rPr>
          <w:rFonts w:hint="eastAsia" w:ascii="宋体" w:hAnsi="宋体" w:eastAsia="宋体" w:cs="宋体"/>
          <w:sz w:val="24"/>
          <w:szCs w:val="24"/>
        </w:rPr>
        <w:t>费用。</w:t>
      </w:r>
    </w:p>
    <w:p w14:paraId="3D20AE6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七、乙方的权利及义务</w:t>
      </w:r>
    </w:p>
    <w:p w14:paraId="5532AFE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1、认真按合同标准进行</w:t>
      </w:r>
      <w:r>
        <w:rPr>
          <w:rFonts w:hint="eastAsia" w:ascii="宋体" w:hAnsi="宋体" w:eastAsia="宋体" w:cs="宋体"/>
          <w:sz w:val="24"/>
          <w:szCs w:val="24"/>
          <w:lang w:eastAsia="zh-CN"/>
        </w:rPr>
        <w:t>管护、保洁及维护</w:t>
      </w:r>
      <w:r>
        <w:rPr>
          <w:rFonts w:hint="eastAsia" w:ascii="宋体" w:hAnsi="宋体" w:eastAsia="宋体" w:cs="宋体"/>
          <w:sz w:val="24"/>
          <w:szCs w:val="24"/>
        </w:rPr>
        <w:t>工作，遵守甲方的各项规章制度，服从甲方的管理。</w:t>
      </w:r>
    </w:p>
    <w:p w14:paraId="485275F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2、对甲方验收不合格之处，乙方应及时进行适当的整改。整改中所产生的一切费用由乙方负责。</w:t>
      </w:r>
    </w:p>
    <w:p w14:paraId="07A1A89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3、为保证管理到位，乙方配备专职管理人员，做好日常</w:t>
      </w:r>
      <w:r>
        <w:rPr>
          <w:rFonts w:hint="eastAsia" w:ascii="宋体" w:hAnsi="宋体" w:eastAsia="宋体" w:cs="宋体"/>
          <w:sz w:val="24"/>
          <w:szCs w:val="24"/>
          <w:lang w:eastAsia="zh-CN"/>
        </w:rPr>
        <w:t>管护、保洁及维护</w:t>
      </w:r>
      <w:r>
        <w:rPr>
          <w:rFonts w:hint="eastAsia" w:ascii="宋体" w:hAnsi="宋体" w:eastAsia="宋体" w:cs="宋体"/>
          <w:sz w:val="24"/>
          <w:szCs w:val="24"/>
        </w:rPr>
        <w:t>记录，有紧急情况随叫随到。</w:t>
      </w:r>
    </w:p>
    <w:p w14:paraId="0716FCB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4、乙方承担其员工的工资、保险等费用。乙方应对员工进行劳动安全教育培训。</w:t>
      </w:r>
      <w:r>
        <w:rPr>
          <w:rFonts w:hint="eastAsia" w:ascii="宋体" w:hAnsi="宋体" w:eastAsia="宋体" w:cs="宋体"/>
          <w:sz w:val="24"/>
          <w:szCs w:val="24"/>
          <w:lang w:val="en-US" w:eastAsia="zh-CN"/>
        </w:rPr>
        <w:t>员工在工作期间（包括上下班途中）发生人员伤亡及其它事故，由乙方自行承担全部责任及赔偿。</w:t>
      </w:r>
    </w:p>
    <w:p w14:paraId="7C241F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5、在日常工作中致使甲方设施设备、人员、物品损失或责任事故的，由乙方承担相应法律责任及全部赔偿。</w:t>
      </w:r>
    </w:p>
    <w:p w14:paraId="221ECDA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在服务期内，所有人员、车辆及设备的安全责任及安全费用，全部由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r>
        <w:rPr>
          <w:rFonts w:hint="eastAsia" w:ascii="宋体" w:hAnsi="宋体" w:eastAsia="宋体" w:cs="宋体"/>
          <w:sz w:val="24"/>
          <w:szCs w:val="24"/>
          <w:lang w:eastAsia="zh-CN"/>
        </w:rPr>
        <w:t>。招标人不承担任何责任。</w:t>
      </w:r>
    </w:p>
    <w:p w14:paraId="082EF8A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八、验收</w:t>
      </w:r>
    </w:p>
    <w:p w14:paraId="070E4EF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以招标文件、投标文件、澄清表（函）、合同文件和与服务有关的的其他相关文件为准。</w:t>
      </w:r>
    </w:p>
    <w:p w14:paraId="7A608A5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九、其它事项</w:t>
      </w:r>
    </w:p>
    <w:p w14:paraId="6AF3918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1、乙方不得将项目转让、分包给其它单位或个人。</w:t>
      </w:r>
    </w:p>
    <w:p w14:paraId="4601315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2、乙方的投标文件和承诺等内容将列入合同。</w:t>
      </w:r>
    </w:p>
    <w:p w14:paraId="28E8AE0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十、违约责任</w:t>
      </w:r>
    </w:p>
    <w:p w14:paraId="0754C7C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1、按《民法典》中的相关条款执行。</w:t>
      </w:r>
    </w:p>
    <w:p w14:paraId="55221CE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按合同要求提供服务或服务质量不能满足采购技术要求，乙方必须无条件完善服务质量，否则，甲方会同监督机构、采购代理机构有权终止合同并对乙方违约行为进行追究，同时按政府采购供应商管理办法进行相应的处罚。</w:t>
      </w:r>
    </w:p>
    <w:p w14:paraId="0A1CCCA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3、任何一方因不可抗力原因不能履行协议时，应尽快通知对方，双方均设法补偿。如仍无法履约协议，可协商延缓或撤销协议，双方责任免除。</w:t>
      </w:r>
    </w:p>
    <w:p w14:paraId="607EB6C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十一、合同争议解决的方式</w:t>
      </w:r>
    </w:p>
    <w:p w14:paraId="5D060CF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本合同在履行过程中发生的争议，由甲、乙双方当事人协商解决，协商不成的按下列第（二）种方式解决：</w:t>
      </w:r>
    </w:p>
    <w:p w14:paraId="4669ABE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1、提交宝鸡市仲裁委员会仲裁；</w:t>
      </w:r>
    </w:p>
    <w:p w14:paraId="5E56AB5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2、依法向甲方所在地人民法院起诉。</w:t>
      </w:r>
    </w:p>
    <w:p w14:paraId="57F9CC7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十二、合同生效</w:t>
      </w:r>
    </w:p>
    <w:p w14:paraId="30B9C54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1、本合同须经甲、乙双方的法定代表人（授权代理人）在合同书上签字并加盖本单位公章后正式生效。</w:t>
      </w:r>
    </w:p>
    <w:p w14:paraId="58766AF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2、合同生效后，甲、乙双方须严格执行本合同条款的规定，全面履行合同，违者按《中华人民共和国民法典》的有关规定承担相应责任。</w:t>
      </w:r>
    </w:p>
    <w:p w14:paraId="33EE7D2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3、本合同一式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份，甲乙双方各执</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份。</w:t>
      </w:r>
    </w:p>
    <w:p w14:paraId="3558964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4、本合同如有未尽事宜，甲、乙双方协商解决。</w:t>
      </w:r>
    </w:p>
    <w:p w14:paraId="170CED66">
      <w:pPr>
        <w:tabs>
          <w:tab w:val="left" w:pos="480"/>
        </w:tabs>
        <w:spacing w:line="240" w:lineRule="auto"/>
        <w:ind w:firstLine="560" w:firstLineChars="200"/>
        <w:rPr>
          <w:rFonts w:hint="eastAsia" w:ascii="仿宋_GB2312" w:hAnsi="宋体" w:eastAsia="仿宋_GB2312"/>
          <w:spacing w:val="-20"/>
          <w:kern w:val="0"/>
          <w:sz w:val="32"/>
          <w:szCs w:val="32"/>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333"/>
      </w:tblGrid>
      <w:tr w14:paraId="54AC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35D000D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甲  方</w:t>
            </w:r>
          </w:p>
        </w:tc>
        <w:tc>
          <w:tcPr>
            <w:tcW w:w="4333" w:type="dxa"/>
            <w:noWrap w:val="0"/>
            <w:vAlign w:val="center"/>
          </w:tcPr>
          <w:p w14:paraId="13286B2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乙  方</w:t>
            </w:r>
          </w:p>
        </w:tc>
      </w:tr>
      <w:tr w14:paraId="499B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09D95371">
            <w:pPr>
              <w:keepNext w:val="0"/>
              <w:keepLines w:val="0"/>
              <w:suppressLineNumbers w:val="0"/>
              <w:autoSpaceDE w:val="0"/>
              <w:autoSpaceDN w:val="0"/>
              <w:adjustRightInd w:val="0"/>
              <w:spacing w:before="0" w:beforeAutospacing="0" w:after="0" w:afterAutospacing="0"/>
              <w:ind w:left="0" w:right="0" w:firstLine="840" w:firstLineChars="35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（盖章）</w:t>
            </w:r>
          </w:p>
        </w:tc>
        <w:tc>
          <w:tcPr>
            <w:tcW w:w="4333" w:type="dxa"/>
            <w:noWrap w:val="0"/>
            <w:vAlign w:val="center"/>
          </w:tcPr>
          <w:p w14:paraId="1B228435">
            <w:pPr>
              <w:keepNext w:val="0"/>
              <w:keepLines w:val="0"/>
              <w:suppressLineNumbers w:val="0"/>
              <w:autoSpaceDE w:val="0"/>
              <w:autoSpaceDN w:val="0"/>
              <w:adjustRightInd w:val="0"/>
              <w:spacing w:before="0" w:beforeAutospacing="0" w:after="0" w:afterAutospacing="0"/>
              <w:ind w:left="0" w:right="0" w:firstLine="960" w:firstLineChars="4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（盖章）</w:t>
            </w:r>
          </w:p>
        </w:tc>
      </w:tr>
      <w:tr w14:paraId="18E2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1A8E4BC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地址： </w:t>
            </w:r>
          </w:p>
        </w:tc>
        <w:tc>
          <w:tcPr>
            <w:tcW w:w="4333" w:type="dxa"/>
            <w:noWrap w:val="0"/>
            <w:vAlign w:val="center"/>
          </w:tcPr>
          <w:p w14:paraId="5485039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地址：</w:t>
            </w:r>
          </w:p>
        </w:tc>
      </w:tr>
      <w:tr w14:paraId="4CB5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25242C9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邮编：</w:t>
            </w:r>
          </w:p>
        </w:tc>
        <w:tc>
          <w:tcPr>
            <w:tcW w:w="4333" w:type="dxa"/>
            <w:noWrap w:val="0"/>
            <w:vAlign w:val="center"/>
          </w:tcPr>
          <w:p w14:paraId="66AEDC2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邮编：</w:t>
            </w:r>
          </w:p>
        </w:tc>
      </w:tr>
      <w:tr w14:paraId="2DD6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30B0A32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 xml:space="preserve">法定代表人： </w:t>
            </w:r>
          </w:p>
        </w:tc>
        <w:tc>
          <w:tcPr>
            <w:tcW w:w="4333" w:type="dxa"/>
            <w:noWrap w:val="0"/>
            <w:vAlign w:val="center"/>
          </w:tcPr>
          <w:p w14:paraId="6489EC1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法定代表人：</w:t>
            </w:r>
          </w:p>
        </w:tc>
      </w:tr>
      <w:tr w14:paraId="14AD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18F94C6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被授权代表：</w:t>
            </w:r>
          </w:p>
        </w:tc>
        <w:tc>
          <w:tcPr>
            <w:tcW w:w="4333" w:type="dxa"/>
            <w:noWrap w:val="0"/>
            <w:vAlign w:val="center"/>
          </w:tcPr>
          <w:p w14:paraId="5A1150C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被授权代表：</w:t>
            </w:r>
          </w:p>
        </w:tc>
      </w:tr>
      <w:tr w14:paraId="624A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61881B3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电话：</w:t>
            </w:r>
          </w:p>
        </w:tc>
        <w:tc>
          <w:tcPr>
            <w:tcW w:w="4333" w:type="dxa"/>
            <w:noWrap w:val="0"/>
            <w:vAlign w:val="center"/>
          </w:tcPr>
          <w:p w14:paraId="63E63D4D">
            <w:pPr>
              <w:keepNext w:val="0"/>
              <w:keepLines w:val="0"/>
              <w:suppressLineNumbers w:val="0"/>
              <w:autoSpaceDE w:val="0"/>
              <w:autoSpaceDN w:val="0"/>
              <w:adjustRightInd w:val="0"/>
              <w:spacing w:before="0" w:beforeAutospacing="0" w:after="0" w:afterAutospacing="0"/>
              <w:ind w:left="840" w:right="0" w:hanging="720" w:hangingChars="3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电话：</w:t>
            </w:r>
          </w:p>
        </w:tc>
      </w:tr>
      <w:tr w14:paraId="1EA0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4055918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传真：</w:t>
            </w:r>
          </w:p>
        </w:tc>
        <w:tc>
          <w:tcPr>
            <w:tcW w:w="4333" w:type="dxa"/>
            <w:noWrap w:val="0"/>
            <w:vAlign w:val="center"/>
          </w:tcPr>
          <w:p w14:paraId="0FC28A2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传真：</w:t>
            </w:r>
          </w:p>
        </w:tc>
      </w:tr>
      <w:tr w14:paraId="421C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07EC04D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开户银行：</w:t>
            </w:r>
          </w:p>
        </w:tc>
        <w:tc>
          <w:tcPr>
            <w:tcW w:w="4333" w:type="dxa"/>
            <w:noWrap w:val="0"/>
            <w:vAlign w:val="center"/>
          </w:tcPr>
          <w:p w14:paraId="6A42B46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开户银行：</w:t>
            </w:r>
          </w:p>
        </w:tc>
      </w:tr>
      <w:tr w14:paraId="7185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94" w:type="dxa"/>
            <w:noWrap w:val="0"/>
            <w:vAlign w:val="center"/>
          </w:tcPr>
          <w:p w14:paraId="781EBDE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日期：</w:t>
            </w:r>
          </w:p>
        </w:tc>
        <w:tc>
          <w:tcPr>
            <w:tcW w:w="4333" w:type="dxa"/>
            <w:noWrap w:val="0"/>
            <w:vAlign w:val="center"/>
          </w:tcPr>
          <w:p w14:paraId="556D348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日期：</w:t>
            </w:r>
          </w:p>
        </w:tc>
      </w:tr>
    </w:tbl>
    <w:p w14:paraId="51851F94">
      <w:pPr>
        <w:pageBreakBefore w:val="0"/>
        <w:widowControl w:val="0"/>
        <w:kinsoku/>
        <w:wordWrap/>
        <w:overflowPunct/>
        <w:topLinePunct w:val="0"/>
        <w:autoSpaceDE/>
        <w:autoSpaceDN/>
        <w:bidi w:val="0"/>
        <w:spacing w:line="480" w:lineRule="auto"/>
        <w:ind w:firstLine="1200" w:firstLineChars="500"/>
        <w:textAlignment w:val="auto"/>
        <w:rPr>
          <w:rFonts w:hint="eastAsia" w:ascii="宋体" w:hAnsi="宋体" w:eastAsia="宋体" w:cs="宋体"/>
          <w:color w:val="auto"/>
          <w:kern w:val="0"/>
          <w:szCs w:val="24"/>
          <w:highlight w:val="none"/>
        </w:rPr>
      </w:pPr>
    </w:p>
    <w:bookmarkEnd w:id="405"/>
    <w:bookmarkEnd w:id="406"/>
    <w:bookmarkEnd w:id="407"/>
    <w:bookmarkEnd w:id="408"/>
    <w:p w14:paraId="456D9515">
      <w:pPr>
        <w:tabs>
          <w:tab w:val="left" w:pos="6926"/>
        </w:tabs>
        <w:bidi w:val="0"/>
        <w:jc w:val="left"/>
        <w:rPr>
          <w:rFonts w:hint="eastAsia"/>
          <w:highlight w:val="none"/>
          <w:lang w:val="en-US" w:eastAsia="zh-CN"/>
        </w:rPr>
        <w:sectPr>
          <w:headerReference r:id="rId15" w:type="first"/>
          <w:footerReference r:id="rId17" w:type="first"/>
          <w:headerReference r:id="rId14" w:type="default"/>
          <w:footerReference r:id="rId16" w:type="default"/>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highlight w:val="none"/>
          <w:lang w:val="en-US" w:eastAsia="zh-CN"/>
        </w:rPr>
        <w:tab/>
      </w:r>
    </w:p>
    <w:p w14:paraId="3A87F37E">
      <w:pPr>
        <w:pStyle w:val="42"/>
        <w:ind w:firstLine="0" w:firstLineChars="0"/>
        <w:rPr>
          <w:rFonts w:hint="eastAsia" w:cs="华文楷体" w:asciiTheme="minorEastAsia" w:hAnsiTheme="minorEastAsia"/>
          <w:b/>
          <w:bCs/>
          <w:szCs w:val="28"/>
          <w:lang w:val="en-US" w:eastAsia="zh-CN"/>
        </w:rPr>
      </w:pPr>
      <w:r>
        <w:rPr>
          <w:rFonts w:hint="eastAsia" w:cs="华文楷体" w:asciiTheme="minorEastAsia" w:hAnsiTheme="minorEastAsia"/>
          <w:b/>
          <w:bCs/>
          <w:szCs w:val="28"/>
          <w:lang w:eastAsia="zh-CN"/>
        </w:rPr>
        <w:t>附件</w:t>
      </w:r>
      <w:r>
        <w:rPr>
          <w:rFonts w:hint="eastAsia" w:cs="华文楷体" w:asciiTheme="minorEastAsia" w:hAnsiTheme="minorEastAsia"/>
          <w:b/>
          <w:bCs/>
          <w:szCs w:val="28"/>
          <w:lang w:val="en-US" w:eastAsia="zh-CN"/>
        </w:rPr>
        <w:t>1：</w:t>
      </w:r>
    </w:p>
    <w:p w14:paraId="37533BEE">
      <w:pPr>
        <w:spacing w:line="480" w:lineRule="exact"/>
        <w:jc w:val="center"/>
        <w:rPr>
          <w:rFonts w:hint="eastAsia" w:cs="华文楷体" w:asciiTheme="minorEastAsia" w:hAnsiTheme="minorEastAsia"/>
          <w:b/>
          <w:bCs/>
          <w:kern w:val="0"/>
          <w:sz w:val="32"/>
          <w:szCs w:val="32"/>
        </w:rPr>
      </w:pPr>
      <w:r>
        <w:rPr>
          <w:rFonts w:hint="eastAsia" w:cs="华文楷体" w:asciiTheme="minorEastAsia" w:hAnsiTheme="minorEastAsia"/>
          <w:b/>
          <w:bCs/>
          <w:kern w:val="0"/>
          <w:sz w:val="32"/>
          <w:szCs w:val="32"/>
        </w:rPr>
        <w:t>渭河中游段绿化养护</w:t>
      </w:r>
      <w:r>
        <w:rPr>
          <w:rFonts w:hint="eastAsia" w:cs="华文楷体" w:asciiTheme="minorEastAsia" w:hAnsiTheme="minorEastAsia"/>
          <w:b/>
          <w:bCs/>
          <w:kern w:val="0"/>
          <w:sz w:val="32"/>
          <w:szCs w:val="32"/>
          <w:lang w:eastAsia="zh-CN"/>
        </w:rPr>
        <w:t>、</w:t>
      </w:r>
      <w:r>
        <w:rPr>
          <w:rFonts w:hint="eastAsia" w:cs="华文楷体" w:asciiTheme="minorEastAsia" w:hAnsiTheme="minorEastAsia"/>
          <w:b/>
          <w:bCs/>
          <w:kern w:val="0"/>
          <w:sz w:val="32"/>
          <w:szCs w:val="32"/>
        </w:rPr>
        <w:t>卫生保洁质量检查考核评定表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66"/>
        <w:gridCol w:w="7029"/>
      </w:tblGrid>
      <w:tr w14:paraId="106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5C72301B">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B89689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检查项目</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650589FB">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检查标准</w:t>
            </w:r>
          </w:p>
        </w:tc>
      </w:tr>
      <w:tr w14:paraId="35D0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14:paraId="16910C9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6" w:type="dxa"/>
            <w:vMerge w:val="restart"/>
            <w:tcBorders>
              <w:top w:val="single" w:color="auto" w:sz="4" w:space="0"/>
              <w:left w:val="single" w:color="auto" w:sz="4" w:space="0"/>
              <w:bottom w:val="single" w:color="auto" w:sz="4" w:space="0"/>
              <w:right w:val="single" w:color="auto" w:sz="4" w:space="0"/>
            </w:tcBorders>
            <w:noWrap w:val="0"/>
            <w:vAlign w:val="center"/>
          </w:tcPr>
          <w:p w14:paraId="5A7B6884">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工人考勤</w:t>
            </w:r>
          </w:p>
          <w:p w14:paraId="4D0FC59E">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5602AA70">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绿化养护员工和保洁员工人全勤到岗，考勤登记与实际相符，管理资料详实，管理规范，缺岗一人扣2分</w:t>
            </w:r>
            <w:r>
              <w:rPr>
                <w:rFonts w:hint="eastAsia" w:ascii="宋体" w:hAnsi="宋体" w:eastAsia="宋体" w:cs="宋体"/>
                <w:kern w:val="0"/>
                <w:sz w:val="24"/>
                <w:szCs w:val="24"/>
                <w:lang w:eastAsia="zh-CN"/>
              </w:rPr>
              <w:t>。</w:t>
            </w:r>
          </w:p>
        </w:tc>
      </w:tr>
      <w:tr w14:paraId="721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5170E8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0D29967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right w:val="single" w:color="auto" w:sz="4" w:space="0"/>
            </w:tcBorders>
            <w:noWrap w:val="0"/>
            <w:vAlign w:val="center"/>
          </w:tcPr>
          <w:p w14:paraId="41489C29">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工人穿戴统一工服，佩戴工作证，有安全防护措施，精神面貌良好，一人不合格扣2分</w:t>
            </w:r>
            <w:r>
              <w:rPr>
                <w:rFonts w:hint="eastAsia" w:ascii="宋体" w:hAnsi="宋体" w:eastAsia="宋体" w:cs="宋体"/>
                <w:kern w:val="0"/>
                <w:sz w:val="24"/>
                <w:szCs w:val="24"/>
                <w:lang w:eastAsia="zh-CN"/>
              </w:rPr>
              <w:t>。</w:t>
            </w:r>
          </w:p>
        </w:tc>
      </w:tr>
      <w:tr w14:paraId="036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jc w:val="center"/>
        </w:trPr>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14:paraId="00C9DBDC">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66" w:type="dxa"/>
            <w:vMerge w:val="restart"/>
            <w:tcBorders>
              <w:top w:val="single" w:color="auto" w:sz="4" w:space="0"/>
              <w:left w:val="single" w:color="auto" w:sz="4" w:space="0"/>
              <w:bottom w:val="single" w:color="auto" w:sz="4" w:space="0"/>
              <w:right w:val="single" w:color="auto" w:sz="4" w:space="0"/>
            </w:tcBorders>
            <w:noWrap w:val="0"/>
            <w:vAlign w:val="center"/>
          </w:tcPr>
          <w:p w14:paraId="2C8BD54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卫生保洁</w:t>
            </w:r>
          </w:p>
          <w:p w14:paraId="7205689F">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（25分）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4319E3C">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河堤路面、迎水坡、背水坡干净整洁，无垃圾杂物；草坪，公园绿化区域内无垃圾；垃圾箱、指示牌无污渍、灰尘杂物。子堤内公园水面干净整洁，无漂浮杂物及丛生杂草。每次巡查随机抽检，每发现一处明显垃圾扣除3分。</w:t>
            </w:r>
          </w:p>
        </w:tc>
      </w:tr>
      <w:tr w14:paraId="0AA6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518A9E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62686D3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548CC991">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迎接上级检查不合格或群众发现有效投诉一次扣5分</w:t>
            </w:r>
            <w:r>
              <w:rPr>
                <w:rFonts w:hint="eastAsia" w:ascii="宋体" w:hAnsi="宋体" w:eastAsia="宋体" w:cs="宋体"/>
                <w:kern w:val="0"/>
                <w:sz w:val="24"/>
                <w:szCs w:val="24"/>
                <w:lang w:eastAsia="zh-CN"/>
              </w:rPr>
              <w:t>。</w:t>
            </w:r>
          </w:p>
        </w:tc>
      </w:tr>
      <w:tr w14:paraId="0A71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restart"/>
            <w:tcBorders>
              <w:top w:val="single" w:color="auto" w:sz="4" w:space="0"/>
              <w:left w:val="single" w:color="auto" w:sz="4" w:space="0"/>
              <w:right w:val="single" w:color="auto" w:sz="4" w:space="0"/>
            </w:tcBorders>
            <w:noWrap w:val="0"/>
            <w:vAlign w:val="center"/>
          </w:tcPr>
          <w:p w14:paraId="47391F7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p w14:paraId="03152FAC">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restart"/>
            <w:tcBorders>
              <w:top w:val="single" w:color="auto" w:sz="4" w:space="0"/>
              <w:left w:val="single" w:color="auto" w:sz="4" w:space="0"/>
              <w:right w:val="single" w:color="auto" w:sz="4" w:space="0"/>
            </w:tcBorders>
            <w:noWrap w:val="0"/>
            <w:vAlign w:val="center"/>
          </w:tcPr>
          <w:p w14:paraId="1F2576DA">
            <w:pPr>
              <w:keepNext w:val="0"/>
              <w:keepLines w:val="0"/>
              <w:widowControl/>
              <w:suppressLineNumbers w:val="0"/>
              <w:spacing w:before="0" w:beforeAutospacing="0" w:after="0" w:afterAutospacing="0" w:line="360" w:lineRule="auto"/>
              <w:ind w:left="0" w:right="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rPr>
              <w:t>草坪类</w:t>
            </w:r>
          </w:p>
          <w:p w14:paraId="7F24752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（15分）</w:t>
            </w:r>
          </w:p>
          <w:p w14:paraId="0B2B4630">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71F0CDC7">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1．草坪平整美观,草高保持3-5cm，超过6cm按每100㎡扣3分</w:t>
            </w:r>
            <w:r>
              <w:rPr>
                <w:rFonts w:hint="eastAsia" w:ascii="宋体" w:hAnsi="宋体" w:eastAsia="宋体" w:cs="宋体"/>
                <w:kern w:val="0"/>
                <w:sz w:val="24"/>
                <w:szCs w:val="24"/>
                <w:lang w:eastAsia="zh-CN"/>
              </w:rPr>
              <w:t>。</w:t>
            </w:r>
          </w:p>
        </w:tc>
      </w:tr>
      <w:tr w14:paraId="1CD4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218D89D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2A30311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7854516E">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2．边缘交界处清晰平滑,界线分明,无过长现象，没修剪草边的、按50米扣3分</w:t>
            </w:r>
            <w:r>
              <w:rPr>
                <w:rFonts w:hint="eastAsia" w:ascii="宋体" w:hAnsi="宋体" w:eastAsia="宋体" w:cs="宋体"/>
                <w:kern w:val="0"/>
                <w:sz w:val="24"/>
                <w:szCs w:val="24"/>
                <w:lang w:eastAsia="zh-CN"/>
              </w:rPr>
              <w:t>。</w:t>
            </w:r>
          </w:p>
        </w:tc>
      </w:tr>
      <w:tr w14:paraId="0FA2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11FA8D86">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3658236B">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8177FD4">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3．打草垃圾及时清理到甲方指定的垃圾中转站,工完场清;没及时清理垃圾，每次扣5分</w:t>
            </w:r>
            <w:r>
              <w:rPr>
                <w:rFonts w:hint="eastAsia" w:ascii="宋体" w:hAnsi="宋体" w:eastAsia="宋体" w:cs="宋体"/>
                <w:kern w:val="0"/>
                <w:sz w:val="24"/>
                <w:szCs w:val="24"/>
                <w:lang w:eastAsia="zh-CN"/>
              </w:rPr>
              <w:t>。</w:t>
            </w:r>
          </w:p>
        </w:tc>
      </w:tr>
      <w:tr w14:paraId="17FD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69A4706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4B8612B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FE84E4E">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4．无明显阔叶杂草,草坪纯净率达95%以上;每㎡杂草超过20株扣3分</w:t>
            </w:r>
            <w:r>
              <w:rPr>
                <w:rFonts w:hint="eastAsia" w:ascii="宋体" w:hAnsi="宋体" w:eastAsia="宋体" w:cs="宋体"/>
                <w:kern w:val="0"/>
                <w:sz w:val="24"/>
                <w:szCs w:val="24"/>
                <w:lang w:eastAsia="zh-CN"/>
              </w:rPr>
              <w:t>。</w:t>
            </w:r>
          </w:p>
        </w:tc>
      </w:tr>
      <w:tr w14:paraId="662E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3B752083">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6DDABE8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29FF844E">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5．草坪无枯死现象，保持草坪覆盖率达95%以上;若出现缺草及缺肥每50㎡扣3分</w:t>
            </w:r>
            <w:r>
              <w:rPr>
                <w:rFonts w:hint="eastAsia" w:ascii="宋体" w:hAnsi="宋体" w:eastAsia="宋体" w:cs="宋体"/>
                <w:kern w:val="0"/>
                <w:sz w:val="24"/>
                <w:szCs w:val="24"/>
                <w:lang w:eastAsia="zh-CN"/>
              </w:rPr>
              <w:t>。</w:t>
            </w:r>
          </w:p>
        </w:tc>
      </w:tr>
      <w:tr w14:paraId="3D44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restart"/>
            <w:tcBorders>
              <w:left w:val="single" w:color="auto" w:sz="4" w:space="0"/>
              <w:right w:val="single" w:color="auto" w:sz="4" w:space="0"/>
            </w:tcBorders>
            <w:noWrap w:val="0"/>
            <w:vAlign w:val="center"/>
          </w:tcPr>
          <w:p w14:paraId="7157064F">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66" w:type="dxa"/>
            <w:vMerge w:val="restart"/>
            <w:tcBorders>
              <w:left w:val="single" w:color="auto" w:sz="4" w:space="0"/>
              <w:right w:val="single" w:color="auto" w:sz="4" w:space="0"/>
            </w:tcBorders>
            <w:noWrap w:val="0"/>
            <w:vAlign w:val="center"/>
          </w:tcPr>
          <w:p w14:paraId="2891BFAA">
            <w:pPr>
              <w:keepNext w:val="0"/>
              <w:keepLines w:val="0"/>
              <w:widowControl/>
              <w:suppressLineNumbers w:val="0"/>
              <w:spacing w:before="0" w:beforeAutospacing="0" w:after="0" w:afterAutospacing="0" w:line="360" w:lineRule="auto"/>
              <w:ind w:left="0" w:right="0"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乔木类（15分）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3E98AF37">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1．无徒长枝、枯枝、烂头、过密枝、无腐枝；每5处扣3分</w:t>
            </w:r>
            <w:r>
              <w:rPr>
                <w:rFonts w:hint="eastAsia" w:ascii="宋体" w:hAnsi="宋体" w:eastAsia="宋体" w:cs="宋体"/>
                <w:kern w:val="0"/>
                <w:sz w:val="24"/>
                <w:szCs w:val="24"/>
                <w:lang w:eastAsia="zh-CN"/>
              </w:rPr>
              <w:t>。</w:t>
            </w:r>
          </w:p>
        </w:tc>
      </w:tr>
      <w:tr w14:paraId="357B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09968D1E">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72B21E0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7A0195AC">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2．无死亡缺少植株；每1株扣3分</w:t>
            </w:r>
            <w:r>
              <w:rPr>
                <w:rFonts w:hint="eastAsia" w:ascii="宋体" w:hAnsi="宋体" w:eastAsia="宋体" w:cs="宋体"/>
                <w:kern w:val="0"/>
                <w:sz w:val="24"/>
                <w:szCs w:val="24"/>
                <w:lang w:eastAsia="zh-CN"/>
              </w:rPr>
              <w:t>。</w:t>
            </w:r>
          </w:p>
        </w:tc>
      </w:tr>
      <w:tr w14:paraId="53A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39CCBD0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637BD59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right w:val="single" w:color="auto" w:sz="4" w:space="0"/>
            </w:tcBorders>
            <w:noWrap w:val="0"/>
            <w:vAlign w:val="center"/>
          </w:tcPr>
          <w:p w14:paraId="5FD1B46B">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4．无明显杂草、无30cm长萌蘖枝；每10株扣3分</w:t>
            </w:r>
            <w:r>
              <w:rPr>
                <w:rFonts w:hint="eastAsia" w:ascii="宋体" w:hAnsi="宋体" w:eastAsia="宋体" w:cs="宋体"/>
                <w:kern w:val="0"/>
                <w:sz w:val="24"/>
                <w:szCs w:val="24"/>
                <w:lang w:eastAsia="zh-CN"/>
              </w:rPr>
              <w:t>。</w:t>
            </w:r>
          </w:p>
        </w:tc>
      </w:tr>
      <w:tr w14:paraId="1EB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right w:val="single" w:color="auto" w:sz="4" w:space="0"/>
            </w:tcBorders>
            <w:noWrap w:val="0"/>
            <w:vAlign w:val="center"/>
          </w:tcPr>
          <w:p w14:paraId="05D788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20A4612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2B3D16D8">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5．无明显病虫枝、病虫害防治率达95%以上；发现病虫害每5株扣3分</w:t>
            </w:r>
            <w:r>
              <w:rPr>
                <w:rFonts w:hint="eastAsia" w:ascii="宋体" w:hAnsi="宋体" w:eastAsia="宋体" w:cs="宋体"/>
                <w:kern w:val="0"/>
                <w:sz w:val="24"/>
                <w:szCs w:val="24"/>
                <w:lang w:eastAsia="zh-CN"/>
              </w:rPr>
              <w:t>。</w:t>
            </w:r>
          </w:p>
        </w:tc>
      </w:tr>
      <w:tr w14:paraId="01EB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39" w:type="dxa"/>
            <w:vMerge w:val="continue"/>
            <w:tcBorders>
              <w:left w:val="single" w:color="auto" w:sz="4" w:space="0"/>
              <w:bottom w:val="single" w:color="auto" w:sz="4" w:space="0"/>
              <w:right w:val="single" w:color="auto" w:sz="4" w:space="0"/>
            </w:tcBorders>
            <w:noWrap w:val="0"/>
            <w:vAlign w:val="center"/>
          </w:tcPr>
          <w:p w14:paraId="645A666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bottom w:val="single" w:color="auto" w:sz="4" w:space="0"/>
              <w:right w:val="single" w:color="auto" w:sz="4" w:space="0"/>
            </w:tcBorders>
            <w:noWrap w:val="0"/>
            <w:vAlign w:val="center"/>
          </w:tcPr>
          <w:p w14:paraId="29CF20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7F23A389">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6．保持乔木正常生长需要，无缺水情况；有缺水的每10株扣3分</w:t>
            </w:r>
            <w:r>
              <w:rPr>
                <w:rFonts w:hint="eastAsia" w:ascii="宋体" w:hAnsi="宋体" w:eastAsia="宋体" w:cs="宋体"/>
                <w:kern w:val="0"/>
                <w:sz w:val="24"/>
                <w:szCs w:val="24"/>
                <w:lang w:eastAsia="zh-CN"/>
              </w:rPr>
              <w:t>。</w:t>
            </w:r>
          </w:p>
        </w:tc>
      </w:tr>
      <w:tr w14:paraId="2CA9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839" w:type="dxa"/>
            <w:vMerge w:val="restart"/>
            <w:tcBorders>
              <w:top w:val="single" w:color="auto" w:sz="4" w:space="0"/>
              <w:left w:val="single" w:color="auto" w:sz="4" w:space="0"/>
              <w:right w:val="single" w:color="auto" w:sz="4" w:space="0"/>
            </w:tcBorders>
            <w:noWrap w:val="0"/>
            <w:vAlign w:val="center"/>
          </w:tcPr>
          <w:p w14:paraId="098B30B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66" w:type="dxa"/>
            <w:vMerge w:val="restart"/>
            <w:tcBorders>
              <w:top w:val="single" w:color="auto" w:sz="4" w:space="0"/>
              <w:left w:val="single" w:color="auto" w:sz="4" w:space="0"/>
              <w:right w:val="single" w:color="auto" w:sz="4" w:space="0"/>
            </w:tcBorders>
            <w:noWrap w:val="0"/>
            <w:vAlign w:val="center"/>
          </w:tcPr>
          <w:p w14:paraId="65CA1A5B">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灌木类</w:t>
            </w:r>
          </w:p>
          <w:p w14:paraId="6B1F04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（15分）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46584BA">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1．修剪规律及时、造型植物轮廓清晰、平直整齐、棱角分明、无严重枯枝黄叶；新生枝条不超过15cm；目视没达标的按每50㎡扣3分</w:t>
            </w:r>
            <w:r>
              <w:rPr>
                <w:rFonts w:hint="eastAsia" w:ascii="宋体" w:hAnsi="宋体" w:eastAsia="宋体" w:cs="宋体"/>
                <w:kern w:val="0"/>
                <w:sz w:val="24"/>
                <w:szCs w:val="24"/>
                <w:lang w:eastAsia="zh-CN"/>
              </w:rPr>
              <w:t>。</w:t>
            </w:r>
          </w:p>
        </w:tc>
      </w:tr>
      <w:tr w14:paraId="242A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4FDD14F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650C0C3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2C1B7A7D">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2．养分适量、无缺肥、无徒长；目视缺水、缺肥每100㎡扣3分</w:t>
            </w:r>
            <w:r>
              <w:rPr>
                <w:rFonts w:hint="eastAsia" w:ascii="宋体" w:hAnsi="宋体" w:eastAsia="宋体" w:cs="宋体"/>
                <w:kern w:val="0"/>
                <w:sz w:val="24"/>
                <w:szCs w:val="24"/>
                <w:lang w:eastAsia="zh-CN"/>
              </w:rPr>
              <w:t>。</w:t>
            </w:r>
          </w:p>
        </w:tc>
      </w:tr>
      <w:tr w14:paraId="1591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21A042C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5964F69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2DB27BC4">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3．边缘整洁、土壤疏松；目视土壤板结每100㎡扣3分</w:t>
            </w:r>
            <w:r>
              <w:rPr>
                <w:rFonts w:hint="eastAsia" w:ascii="宋体" w:hAnsi="宋体" w:eastAsia="宋体" w:cs="宋体"/>
                <w:kern w:val="0"/>
                <w:sz w:val="24"/>
                <w:szCs w:val="24"/>
                <w:lang w:eastAsia="zh-CN"/>
              </w:rPr>
              <w:t>。</w:t>
            </w:r>
          </w:p>
        </w:tc>
      </w:tr>
      <w:tr w14:paraId="60D2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5804F6C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12CAA2A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5EDE9F2">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4．保持正常生长需要，无缺水情况；目视缺水每50㎡扣3分</w:t>
            </w:r>
            <w:r>
              <w:rPr>
                <w:rFonts w:hint="eastAsia" w:ascii="宋体" w:hAnsi="宋体" w:eastAsia="宋体" w:cs="宋体"/>
                <w:kern w:val="0"/>
                <w:sz w:val="24"/>
                <w:szCs w:val="24"/>
                <w:lang w:eastAsia="zh-CN"/>
              </w:rPr>
              <w:t>。</w:t>
            </w:r>
          </w:p>
        </w:tc>
      </w:tr>
      <w:tr w14:paraId="3CD6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exact"/>
          <w:jc w:val="center"/>
        </w:trPr>
        <w:tc>
          <w:tcPr>
            <w:tcW w:w="839" w:type="dxa"/>
            <w:vMerge w:val="continue"/>
            <w:tcBorders>
              <w:left w:val="single" w:color="auto" w:sz="4" w:space="0"/>
              <w:right w:val="single" w:color="auto" w:sz="4" w:space="0"/>
            </w:tcBorders>
            <w:noWrap w:val="0"/>
            <w:vAlign w:val="center"/>
          </w:tcPr>
          <w:p w14:paraId="51F3D9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1506081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4CBE8C45">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5．见虫即打，无明显病虫枝，防治率达95%以上；出现病害未及时消杀每100㎡扣3分</w:t>
            </w:r>
            <w:r>
              <w:rPr>
                <w:rFonts w:hint="eastAsia" w:ascii="宋体" w:hAnsi="宋体" w:eastAsia="宋体" w:cs="宋体"/>
                <w:kern w:val="0"/>
                <w:sz w:val="24"/>
                <w:szCs w:val="24"/>
                <w:lang w:eastAsia="zh-CN"/>
              </w:rPr>
              <w:t>。</w:t>
            </w:r>
          </w:p>
        </w:tc>
      </w:tr>
      <w:tr w14:paraId="373D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14:paraId="6EF3BF7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66" w:type="dxa"/>
            <w:vMerge w:val="restart"/>
            <w:tcBorders>
              <w:top w:val="single" w:color="auto" w:sz="4" w:space="0"/>
              <w:left w:val="single" w:color="auto" w:sz="4" w:space="0"/>
              <w:bottom w:val="single" w:color="auto" w:sz="4" w:space="0"/>
              <w:right w:val="single" w:color="auto" w:sz="4" w:space="0"/>
            </w:tcBorders>
            <w:noWrap w:val="0"/>
            <w:vAlign w:val="center"/>
          </w:tcPr>
          <w:p w14:paraId="0796B87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绿篱绿</w:t>
            </w:r>
          </w:p>
          <w:p w14:paraId="4B39A6E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墙类</w:t>
            </w:r>
          </w:p>
          <w:p w14:paraId="6776CF8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5A2DB96D">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1．轮廓清楚、表面平直、侧面垂直、无明显缺漏剪、无崩口、无枯枝、脚部整齐；目视未达标按每100m扣2分</w:t>
            </w:r>
            <w:r>
              <w:rPr>
                <w:rFonts w:hint="eastAsia" w:ascii="宋体" w:hAnsi="宋体" w:eastAsia="宋体" w:cs="宋体"/>
                <w:kern w:val="0"/>
                <w:sz w:val="24"/>
                <w:szCs w:val="24"/>
                <w:lang w:eastAsia="zh-CN"/>
              </w:rPr>
              <w:t>。</w:t>
            </w:r>
          </w:p>
        </w:tc>
      </w:tr>
      <w:tr w14:paraId="7CE8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6A9E10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41AA39C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8BBB7F0">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2．养分适量、无缺肥、无徒长；目视出现缺肥按每100扣2分</w:t>
            </w:r>
            <w:r>
              <w:rPr>
                <w:rFonts w:hint="eastAsia" w:ascii="宋体" w:hAnsi="宋体" w:eastAsia="宋体" w:cs="宋体"/>
                <w:kern w:val="0"/>
                <w:sz w:val="24"/>
                <w:szCs w:val="24"/>
                <w:lang w:eastAsia="zh-CN"/>
              </w:rPr>
              <w:t>。</w:t>
            </w:r>
          </w:p>
        </w:tc>
      </w:tr>
      <w:tr w14:paraId="1A9F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338FBD8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67A5D2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1011DDA7">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3．绿篱边缘整洁、土壤疏松；目视土壤板结每100m扣2分</w:t>
            </w:r>
            <w:r>
              <w:rPr>
                <w:rFonts w:hint="eastAsia" w:ascii="宋体" w:hAnsi="宋体" w:eastAsia="宋体" w:cs="宋体"/>
                <w:kern w:val="0"/>
                <w:sz w:val="24"/>
                <w:szCs w:val="24"/>
                <w:lang w:eastAsia="zh-CN"/>
              </w:rPr>
              <w:t>。</w:t>
            </w:r>
          </w:p>
        </w:tc>
      </w:tr>
      <w:tr w14:paraId="1228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65B456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62F503F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6FC325BE">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4．保持正常生长需要，无缺水情况；目视缺水每100m扣2分</w:t>
            </w:r>
            <w:r>
              <w:rPr>
                <w:rFonts w:hint="eastAsia" w:ascii="宋体" w:hAnsi="宋体" w:eastAsia="宋体" w:cs="宋体"/>
                <w:kern w:val="0"/>
                <w:sz w:val="24"/>
                <w:szCs w:val="24"/>
                <w:lang w:eastAsia="zh-CN"/>
              </w:rPr>
              <w:t>。</w:t>
            </w:r>
          </w:p>
        </w:tc>
      </w:tr>
      <w:tr w14:paraId="1D7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14:paraId="43EB27B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noWrap w:val="0"/>
            <w:vAlign w:val="center"/>
          </w:tcPr>
          <w:p w14:paraId="052FE92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5571A4A1">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5．见虫即打，无明显病虫枝，防治率达95%以上；目视出现病虫害未处理按100m扣2分</w:t>
            </w:r>
            <w:r>
              <w:rPr>
                <w:rFonts w:hint="eastAsia" w:ascii="宋体" w:hAnsi="宋体" w:eastAsia="宋体" w:cs="宋体"/>
                <w:kern w:val="0"/>
                <w:sz w:val="24"/>
                <w:szCs w:val="24"/>
                <w:lang w:eastAsia="zh-CN"/>
              </w:rPr>
              <w:t>。</w:t>
            </w:r>
          </w:p>
        </w:tc>
      </w:tr>
      <w:tr w14:paraId="145B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839" w:type="dxa"/>
            <w:vMerge w:val="restart"/>
            <w:tcBorders>
              <w:top w:val="single" w:color="auto" w:sz="4" w:space="0"/>
              <w:left w:val="single" w:color="auto" w:sz="4" w:space="0"/>
              <w:right w:val="single" w:color="auto" w:sz="4" w:space="0"/>
            </w:tcBorders>
            <w:noWrap w:val="0"/>
            <w:vAlign w:val="center"/>
          </w:tcPr>
          <w:p w14:paraId="7F558FF4">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366" w:type="dxa"/>
            <w:vMerge w:val="restart"/>
            <w:tcBorders>
              <w:top w:val="single" w:color="auto" w:sz="4" w:space="0"/>
              <w:left w:val="single" w:color="auto" w:sz="4" w:space="0"/>
              <w:right w:val="single" w:color="auto" w:sz="4" w:space="0"/>
            </w:tcBorders>
            <w:noWrap w:val="0"/>
            <w:vAlign w:val="center"/>
          </w:tcPr>
          <w:p w14:paraId="43D9835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花坛、地被植物类</w:t>
            </w:r>
          </w:p>
          <w:p w14:paraId="69AC02C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7029" w:type="dxa"/>
            <w:tcBorders>
              <w:top w:val="single" w:color="auto" w:sz="4" w:space="0"/>
              <w:left w:val="single" w:color="auto" w:sz="4" w:space="0"/>
              <w:bottom w:val="single" w:color="auto" w:sz="4" w:space="0"/>
              <w:right w:val="single" w:color="auto" w:sz="4" w:space="0"/>
            </w:tcBorders>
            <w:noWrap w:val="0"/>
            <w:vAlign w:val="center"/>
          </w:tcPr>
          <w:p w14:paraId="16C480AF">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1．坛边整洁美观、无明显残花、修剪合理、层次分明，富有立体感；目视发现未达标的每50㎡扣2分</w:t>
            </w:r>
            <w:r>
              <w:rPr>
                <w:rFonts w:hint="eastAsia" w:ascii="宋体" w:hAnsi="宋体" w:eastAsia="宋体" w:cs="宋体"/>
                <w:kern w:val="0"/>
                <w:sz w:val="24"/>
                <w:szCs w:val="24"/>
                <w:lang w:eastAsia="zh-CN"/>
              </w:rPr>
              <w:t>。</w:t>
            </w:r>
          </w:p>
        </w:tc>
      </w:tr>
      <w:tr w14:paraId="4BA7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190C46C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529AC7E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0071353">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2．养分适量、无缺肥、无徒长；出现缺肥每50㎡扣2分</w:t>
            </w:r>
            <w:r>
              <w:rPr>
                <w:rFonts w:hint="eastAsia" w:ascii="宋体" w:hAnsi="宋体" w:eastAsia="宋体" w:cs="宋体"/>
                <w:kern w:val="0"/>
                <w:sz w:val="24"/>
                <w:szCs w:val="24"/>
                <w:lang w:eastAsia="zh-CN"/>
              </w:rPr>
              <w:t>。</w:t>
            </w:r>
          </w:p>
        </w:tc>
      </w:tr>
      <w:tr w14:paraId="69A2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5FEB590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21C20A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5C747B28">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3．保持正常生长需要，无缺水情况；目视出现缺水按每50㎡扣1分</w:t>
            </w:r>
            <w:r>
              <w:rPr>
                <w:rFonts w:hint="eastAsia" w:ascii="宋体" w:hAnsi="宋体" w:eastAsia="宋体" w:cs="宋体"/>
                <w:kern w:val="0"/>
                <w:sz w:val="24"/>
                <w:szCs w:val="24"/>
                <w:lang w:eastAsia="zh-CN"/>
              </w:rPr>
              <w:t>。</w:t>
            </w:r>
          </w:p>
        </w:tc>
      </w:tr>
      <w:tr w14:paraId="03D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39" w:type="dxa"/>
            <w:vMerge w:val="continue"/>
            <w:tcBorders>
              <w:left w:val="single" w:color="auto" w:sz="4" w:space="0"/>
              <w:right w:val="single" w:color="auto" w:sz="4" w:space="0"/>
            </w:tcBorders>
            <w:noWrap w:val="0"/>
            <w:vAlign w:val="center"/>
          </w:tcPr>
          <w:p w14:paraId="4C5D00CB">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010F91F4">
            <w:pPr>
              <w:pStyle w:val="15"/>
              <w:keepNext w:val="0"/>
              <w:keepLines w:val="0"/>
              <w:suppressLineNumbers w:val="0"/>
              <w:pBdr>
                <w:bottom w:val="none" w:color="auto" w:sz="0" w:space="0"/>
              </w:pBdr>
              <w:tabs>
                <w:tab w:val="left" w:pos="420"/>
              </w:tabs>
              <w:snapToGrid/>
              <w:spacing w:before="0" w:beforeAutospacing="0" w:after="0" w:afterAutospacing="0" w:line="360" w:lineRule="auto"/>
              <w:ind w:left="0" w:right="0"/>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2AC2EFFD">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4．绿篱边缘整洁、土壤疏松；外边缘出现板结按每50㎡扣1分</w:t>
            </w:r>
            <w:r>
              <w:rPr>
                <w:rFonts w:hint="eastAsia" w:ascii="宋体" w:hAnsi="宋体" w:eastAsia="宋体" w:cs="宋体"/>
                <w:kern w:val="0"/>
                <w:sz w:val="24"/>
                <w:szCs w:val="24"/>
                <w:lang w:eastAsia="zh-CN"/>
              </w:rPr>
              <w:t>。</w:t>
            </w:r>
          </w:p>
        </w:tc>
      </w:tr>
      <w:tr w14:paraId="7C81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39" w:type="dxa"/>
            <w:vMerge w:val="continue"/>
            <w:tcBorders>
              <w:left w:val="single" w:color="auto" w:sz="4" w:space="0"/>
              <w:bottom w:val="single" w:color="auto" w:sz="4" w:space="0"/>
              <w:right w:val="single" w:color="auto" w:sz="4" w:space="0"/>
            </w:tcBorders>
            <w:noWrap w:val="0"/>
            <w:vAlign w:val="center"/>
          </w:tcPr>
          <w:p w14:paraId="1701EF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bottom w:val="single" w:color="auto" w:sz="4" w:space="0"/>
              <w:right w:val="single" w:color="auto" w:sz="4" w:space="0"/>
            </w:tcBorders>
            <w:noWrap w:val="0"/>
            <w:vAlign w:val="center"/>
          </w:tcPr>
          <w:p w14:paraId="5DA18E2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0EB45DF1">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5．见虫即打，无明显病虫枝，防治率达95%以上；未达标按每50㎡扣2分，但因白蚁、林业检疫性病虫害除外</w:t>
            </w:r>
            <w:r>
              <w:rPr>
                <w:rFonts w:hint="eastAsia" w:ascii="宋体" w:hAnsi="宋体" w:eastAsia="宋体" w:cs="宋体"/>
                <w:kern w:val="0"/>
                <w:sz w:val="24"/>
                <w:szCs w:val="24"/>
                <w:lang w:eastAsia="zh-CN"/>
              </w:rPr>
              <w:t>。</w:t>
            </w:r>
          </w:p>
        </w:tc>
      </w:tr>
      <w:tr w14:paraId="755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839" w:type="dxa"/>
            <w:vMerge w:val="continue"/>
            <w:tcBorders>
              <w:left w:val="single" w:color="auto" w:sz="4" w:space="0"/>
              <w:right w:val="single" w:color="auto" w:sz="4" w:space="0"/>
            </w:tcBorders>
            <w:noWrap w:val="0"/>
            <w:vAlign w:val="center"/>
          </w:tcPr>
          <w:p w14:paraId="454FEE5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1366" w:type="dxa"/>
            <w:vMerge w:val="continue"/>
            <w:tcBorders>
              <w:left w:val="single" w:color="auto" w:sz="4" w:space="0"/>
              <w:right w:val="single" w:color="auto" w:sz="4" w:space="0"/>
            </w:tcBorders>
            <w:noWrap w:val="0"/>
            <w:vAlign w:val="center"/>
          </w:tcPr>
          <w:p w14:paraId="25A5A7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p>
        </w:tc>
        <w:tc>
          <w:tcPr>
            <w:tcW w:w="7029" w:type="dxa"/>
            <w:tcBorders>
              <w:top w:val="single" w:color="auto" w:sz="4" w:space="0"/>
              <w:left w:val="single" w:color="auto" w:sz="4" w:space="0"/>
              <w:bottom w:val="single" w:color="auto" w:sz="4" w:space="0"/>
              <w:right w:val="single" w:color="auto" w:sz="4" w:space="0"/>
            </w:tcBorders>
            <w:noWrap w:val="0"/>
            <w:vAlign w:val="center"/>
          </w:tcPr>
          <w:p w14:paraId="7FF49D69">
            <w:pPr>
              <w:pStyle w:val="14"/>
              <w:keepNext w:val="0"/>
              <w:keepLines w:val="0"/>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6．每周检查一次,及时处理黄土裸露,保持草坪覆盖率达95%以上;甲方提供了草坪未</w:t>
            </w:r>
            <w:r>
              <w:rPr>
                <w:rFonts w:hint="eastAsia" w:ascii="宋体" w:hAnsi="宋体" w:cs="宋体"/>
                <w:kern w:val="0"/>
                <w:sz w:val="24"/>
                <w:szCs w:val="24"/>
                <w:lang w:eastAsia="zh-CN"/>
              </w:rPr>
              <w:t>及时</w:t>
            </w:r>
            <w:r>
              <w:rPr>
                <w:rFonts w:hint="eastAsia" w:ascii="宋体" w:hAnsi="宋体" w:eastAsia="宋体" w:cs="宋体"/>
                <w:kern w:val="0"/>
                <w:sz w:val="24"/>
                <w:szCs w:val="24"/>
              </w:rPr>
              <w:t>补植的每次扣2分</w:t>
            </w:r>
            <w:r>
              <w:rPr>
                <w:rFonts w:hint="eastAsia" w:ascii="宋体" w:hAnsi="宋体" w:eastAsia="宋体" w:cs="宋体"/>
                <w:kern w:val="0"/>
                <w:sz w:val="24"/>
                <w:szCs w:val="24"/>
                <w:lang w:eastAsia="zh-CN"/>
              </w:rPr>
              <w:t>。</w:t>
            </w:r>
          </w:p>
        </w:tc>
      </w:tr>
    </w:tbl>
    <w:p w14:paraId="6A30FF54">
      <w:pPr>
        <w:tabs>
          <w:tab w:val="left" w:pos="9000"/>
        </w:tabs>
        <w:adjustRightInd w:val="0"/>
        <w:snapToGrid w:val="0"/>
        <w:spacing w:before="240" w:line="360" w:lineRule="auto"/>
        <w:ind w:right="360"/>
        <w:outlineLvl w:val="0"/>
        <w:rPr>
          <w:rFonts w:hint="eastAsia" w:ascii="宋体" w:hAnsi="宋体"/>
          <w:b/>
          <w:kern w:val="0"/>
          <w:sz w:val="24"/>
        </w:rPr>
        <w:sectPr>
          <w:headerReference r:id="rId19" w:type="first"/>
          <w:footerReference r:id="rId21" w:type="first"/>
          <w:headerReference r:id="rId18" w:type="default"/>
          <w:footerReference r:id="rId20" w:type="default"/>
          <w:pgSz w:w="11907" w:h="16840"/>
          <w:pgMar w:top="1418" w:right="1418" w:bottom="1418" w:left="1418" w:header="1020" w:footer="964" w:gutter="0"/>
          <w:pgNumType w:fmt="decimal"/>
          <w:cols w:space="0" w:num="1"/>
          <w:titlePg/>
          <w:docGrid w:linePitch="326" w:charSpace="0"/>
        </w:sectPr>
      </w:pPr>
    </w:p>
    <w:p w14:paraId="74FD9F89">
      <w:pPr>
        <w:spacing w:line="480" w:lineRule="exact"/>
        <w:jc w:val="center"/>
        <w:rPr>
          <w:rFonts w:hint="eastAsia" w:cs="华文楷体" w:asciiTheme="minorEastAsia" w:hAnsiTheme="minorEastAsia"/>
          <w:b/>
          <w:bCs/>
          <w:kern w:val="0"/>
          <w:sz w:val="32"/>
          <w:szCs w:val="32"/>
        </w:rPr>
      </w:pPr>
      <w:r>
        <w:rPr>
          <w:rFonts w:hint="eastAsia" w:cs="华文楷体" w:asciiTheme="minorEastAsia" w:hAnsiTheme="minorEastAsia"/>
          <w:b/>
          <w:bCs/>
          <w:kern w:val="0"/>
          <w:sz w:val="32"/>
          <w:szCs w:val="32"/>
        </w:rPr>
        <w:t>渭河中游段绿化养护及卫生保洁质量检查考核评定</w:t>
      </w:r>
    </w:p>
    <w:p w14:paraId="791EAA2A">
      <w:pPr>
        <w:tabs>
          <w:tab w:val="left" w:pos="9000"/>
        </w:tabs>
        <w:adjustRightInd w:val="0"/>
        <w:snapToGrid w:val="0"/>
        <w:spacing w:before="240" w:line="360" w:lineRule="auto"/>
        <w:ind w:right="360"/>
        <w:outlineLvl w:val="0"/>
        <w:rPr>
          <w:rFonts w:hint="eastAsia" w:ascii="宋体" w:hAnsi="宋体" w:eastAsia="宋体" w:cs="宋体"/>
          <w:b/>
          <w:kern w:val="0"/>
          <w:sz w:val="28"/>
          <w:szCs w:val="28"/>
        </w:rPr>
      </w:pPr>
      <w:r>
        <w:rPr>
          <w:rFonts w:hint="eastAsia" w:ascii="宋体" w:hAnsi="宋体" w:eastAsia="宋体" w:cs="宋体"/>
          <w:b/>
          <w:kern w:val="0"/>
          <w:sz w:val="28"/>
          <w:szCs w:val="28"/>
        </w:rPr>
        <w:t xml:space="preserve">总分：100分   </w:t>
      </w:r>
    </w:p>
    <w:p w14:paraId="41AEF1B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 xml:space="preserve">考核打分90-100分（含90分）   良好 </w:t>
      </w:r>
      <w:r>
        <w:rPr>
          <w:rFonts w:hint="eastAsia" w:ascii="宋体" w:hAnsi="宋体" w:eastAsia="宋体" w:cs="宋体"/>
          <w:bCs/>
          <w:sz w:val="28"/>
          <w:szCs w:val="28"/>
          <w:highlight w:val="none"/>
        </w:rPr>
        <w:t xml:space="preserve"> 经</w:t>
      </w:r>
      <w:r>
        <w:rPr>
          <w:rFonts w:hint="eastAsia" w:ascii="宋体" w:hAnsi="宋体" w:eastAsia="宋体" w:cs="宋体"/>
          <w:bCs/>
          <w:sz w:val="28"/>
          <w:szCs w:val="28"/>
          <w:highlight w:val="none"/>
          <w:lang w:eastAsia="zh-CN"/>
        </w:rPr>
        <w:t>渭河保护</w:t>
      </w:r>
      <w:r>
        <w:rPr>
          <w:rFonts w:hint="eastAsia" w:ascii="宋体" w:hAnsi="宋体" w:eastAsia="宋体" w:cs="宋体"/>
          <w:bCs/>
          <w:sz w:val="28"/>
          <w:szCs w:val="28"/>
          <w:highlight w:val="none"/>
        </w:rPr>
        <w:t>中心考核小组确认，全额支付合同金额服务费。</w:t>
      </w:r>
    </w:p>
    <w:p w14:paraId="4B8644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 xml:space="preserve">考核打分85-90分（含85分）   及格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经</w:t>
      </w:r>
      <w:r>
        <w:rPr>
          <w:rFonts w:hint="eastAsia" w:ascii="宋体" w:hAnsi="宋体" w:eastAsia="宋体" w:cs="宋体"/>
          <w:bCs/>
          <w:sz w:val="28"/>
          <w:szCs w:val="28"/>
          <w:highlight w:val="none"/>
          <w:lang w:eastAsia="zh-CN"/>
        </w:rPr>
        <w:t>渭河保护</w:t>
      </w:r>
      <w:r>
        <w:rPr>
          <w:rFonts w:hint="eastAsia" w:ascii="宋体" w:hAnsi="宋体" w:eastAsia="宋体" w:cs="宋体"/>
          <w:bCs/>
          <w:sz w:val="28"/>
          <w:szCs w:val="28"/>
          <w:highlight w:val="none"/>
        </w:rPr>
        <w:t>中心考核小组确认，督促管护单位限期整改查出问题，若按期完成，不予处罚，全额支付合同金额服务费。若整改不到位，予以1万元处罚</w:t>
      </w:r>
      <w:r>
        <w:rPr>
          <w:rFonts w:hint="eastAsia" w:ascii="宋体" w:hAnsi="宋体" w:eastAsia="宋体" w:cs="宋体"/>
          <w:bCs/>
          <w:sz w:val="28"/>
          <w:szCs w:val="28"/>
          <w:highlight w:val="none"/>
          <w:lang w:eastAsia="zh-CN"/>
        </w:rPr>
        <w:t>。</w:t>
      </w:r>
    </w:p>
    <w:p w14:paraId="0EE9EA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考核打分70-84分（含70分）   较差  经</w:t>
      </w:r>
      <w:r>
        <w:rPr>
          <w:rFonts w:hint="eastAsia" w:ascii="宋体" w:hAnsi="宋体" w:eastAsia="宋体" w:cs="宋体"/>
          <w:bCs/>
          <w:sz w:val="28"/>
          <w:szCs w:val="28"/>
          <w:highlight w:val="none"/>
          <w:lang w:eastAsia="zh-CN"/>
        </w:rPr>
        <w:t>渭河保护</w:t>
      </w:r>
      <w:r>
        <w:rPr>
          <w:rFonts w:hint="eastAsia" w:ascii="宋体" w:hAnsi="宋体" w:eastAsia="宋体" w:cs="宋体"/>
          <w:bCs/>
          <w:sz w:val="28"/>
          <w:szCs w:val="28"/>
          <w:highlight w:val="none"/>
        </w:rPr>
        <w:t>中心考核小组确认，予以3%合同服务价格处罚，并限期完成问题整改，若整改不到位，停发服务费。</w:t>
      </w:r>
    </w:p>
    <w:p w14:paraId="2AC7BF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lang w:val="en-US"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考核打分69分以下</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 xml:space="preserve"> 不合格   经</w:t>
      </w:r>
      <w:r>
        <w:rPr>
          <w:rFonts w:hint="eastAsia" w:ascii="宋体" w:hAnsi="宋体" w:eastAsia="宋体" w:cs="宋体"/>
          <w:bCs/>
          <w:sz w:val="28"/>
          <w:szCs w:val="28"/>
          <w:highlight w:val="none"/>
          <w:lang w:eastAsia="zh-CN"/>
        </w:rPr>
        <w:t>渭河保护</w:t>
      </w:r>
      <w:r>
        <w:rPr>
          <w:rFonts w:hint="eastAsia" w:ascii="宋体" w:hAnsi="宋体" w:eastAsia="宋体" w:cs="宋体"/>
          <w:bCs/>
          <w:sz w:val="28"/>
          <w:szCs w:val="28"/>
          <w:highlight w:val="none"/>
        </w:rPr>
        <w:t>中心考核小组确认不合格，停发合同金额服务费，若连续两月整改不到位，甲方通知乙方</w:t>
      </w:r>
      <w:r>
        <w:rPr>
          <w:rFonts w:hint="eastAsia" w:ascii="宋体" w:hAnsi="宋体" w:eastAsia="宋体" w:cs="宋体"/>
          <w:bCs/>
          <w:sz w:val="28"/>
          <w:szCs w:val="28"/>
        </w:rPr>
        <w:t>解除服务合同。</w:t>
      </w:r>
    </w:p>
    <w:p w14:paraId="090AA8EC">
      <w:pPr>
        <w:pStyle w:val="3"/>
        <w:numPr>
          <w:ilvl w:val="0"/>
          <w:numId w:val="0"/>
        </w:numPr>
        <w:jc w:val="center"/>
        <w:rPr>
          <w:rFonts w:hint="eastAsia" w:ascii="宋体" w:hAnsi="宋体" w:eastAsia="宋体" w:cs="宋体"/>
          <w:sz w:val="30"/>
          <w:szCs w:val="30"/>
          <w:highlight w:val="none"/>
          <w:lang w:val="en-US" w:eastAsia="zh-CN"/>
        </w:rPr>
      </w:pPr>
      <w:bookmarkStart w:id="409" w:name="_Toc458617747"/>
      <w:bookmarkStart w:id="410" w:name="_Toc21024"/>
      <w:bookmarkStart w:id="411" w:name="_Toc13480"/>
      <w:bookmarkStart w:id="412" w:name="_Toc17836"/>
      <w:bookmarkStart w:id="413" w:name="_Toc458617470"/>
      <w:bookmarkStart w:id="414" w:name="_Toc8615"/>
      <w:r>
        <w:rPr>
          <w:rFonts w:hint="eastAsia" w:ascii="宋体" w:hAnsi="宋体" w:eastAsia="宋体" w:cs="宋体"/>
          <w:sz w:val="30"/>
          <w:szCs w:val="30"/>
          <w:highlight w:val="none"/>
          <w:lang w:val="en-US" w:eastAsia="zh-CN"/>
        </w:rPr>
        <w:t>第六章 投标文件格式</w:t>
      </w:r>
      <w:bookmarkEnd w:id="409"/>
      <w:bookmarkEnd w:id="410"/>
      <w:bookmarkEnd w:id="411"/>
      <w:bookmarkEnd w:id="412"/>
      <w:bookmarkEnd w:id="413"/>
      <w:bookmarkEnd w:id="414"/>
    </w:p>
    <w:p w14:paraId="51E54ABC">
      <w:pPr>
        <w:jc w:val="right"/>
        <w:outlineLvl w:val="0"/>
        <w:rPr>
          <w:rFonts w:hint="eastAsia" w:ascii="宋体" w:hAnsi="宋体" w:eastAsia="宋体" w:cs="宋体"/>
          <w:b/>
          <w:sz w:val="36"/>
          <w:szCs w:val="36"/>
          <w:highlight w:val="none"/>
          <w:bdr w:val="single" w:color="auto" w:sz="4" w:space="0"/>
          <w:shd w:val="pct10" w:color="auto" w:fill="FFFFFF"/>
        </w:rPr>
      </w:pPr>
      <w:bookmarkStart w:id="415" w:name="_Toc17251"/>
      <w:bookmarkStart w:id="416" w:name="_Toc12904"/>
      <w:bookmarkStart w:id="417" w:name="_Toc15588"/>
      <w:bookmarkStart w:id="418" w:name="_Toc1562"/>
      <w:bookmarkStart w:id="419" w:name="_Toc30147"/>
      <w:bookmarkStart w:id="420" w:name="_Toc16882"/>
      <w:bookmarkStart w:id="421" w:name="_Toc7647"/>
      <w:r>
        <w:rPr>
          <w:rFonts w:hint="eastAsia" w:ascii="宋体" w:hAnsi="宋体" w:eastAsia="宋体" w:cs="宋体"/>
          <w:b/>
          <w:sz w:val="36"/>
          <w:szCs w:val="36"/>
          <w:highlight w:val="none"/>
          <w:bdr w:val="single" w:color="auto" w:sz="4" w:space="0"/>
          <w:shd w:val="pct10" w:color="auto" w:fill="FFFFFF"/>
        </w:rPr>
        <w:t>政府采购项目</w:t>
      </w:r>
      <w:bookmarkEnd w:id="415"/>
      <w:bookmarkEnd w:id="416"/>
      <w:bookmarkEnd w:id="417"/>
      <w:bookmarkEnd w:id="418"/>
      <w:bookmarkEnd w:id="419"/>
      <w:bookmarkEnd w:id="420"/>
      <w:bookmarkEnd w:id="421"/>
    </w:p>
    <w:p w14:paraId="54FDC458">
      <w:pPr>
        <w:rPr>
          <w:rFonts w:hint="eastAsia" w:ascii="宋体" w:hAnsi="宋体" w:eastAsia="宋体" w:cs="宋体"/>
          <w:b/>
          <w:sz w:val="24"/>
          <w:szCs w:val="24"/>
          <w:highlight w:val="none"/>
        </w:rPr>
      </w:pPr>
    </w:p>
    <w:p w14:paraId="3C06C4D7">
      <w:pPr>
        <w:widowControl/>
        <w:spacing w:line="240" w:lineRule="auto"/>
        <w:rPr>
          <w:rFonts w:hint="eastAsia" w:ascii="宋体" w:hAnsi="宋体" w:eastAsia="宋体" w:cs="宋体"/>
          <w:b/>
          <w:sz w:val="44"/>
          <w:szCs w:val="44"/>
          <w:highlight w:val="none"/>
        </w:rPr>
      </w:pPr>
    </w:p>
    <w:p w14:paraId="41E778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bCs/>
          <w:spacing w:val="20"/>
          <w:kern w:val="0"/>
          <w:sz w:val="52"/>
          <w:szCs w:val="52"/>
          <w:highlight w:val="none"/>
          <w:lang w:val="en-US" w:eastAsia="zh-CN"/>
        </w:rPr>
      </w:pPr>
      <w:bookmarkStart w:id="422" w:name="_Toc22825"/>
      <w:r>
        <w:rPr>
          <w:rFonts w:hint="eastAsia" w:ascii="宋体" w:hAnsi="宋体" w:eastAsia="宋体" w:cs="宋体"/>
          <w:b/>
          <w:bCs/>
          <w:spacing w:val="20"/>
          <w:kern w:val="0"/>
          <w:sz w:val="44"/>
          <w:szCs w:val="44"/>
          <w:highlight w:val="none"/>
          <w:lang w:val="en-US" w:eastAsia="zh-CN"/>
        </w:rPr>
        <w:t>宝鸡市陈仓区渭河中游段绿化管护卫生保洁及设施管理项目</w:t>
      </w:r>
      <w:bookmarkEnd w:id="422"/>
    </w:p>
    <w:p w14:paraId="70A0A1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sz w:val="48"/>
          <w:szCs w:val="48"/>
          <w:highlight w:val="none"/>
          <w:shd w:val="clear" w:color="auto" w:fill="FFFFFF"/>
        </w:rPr>
      </w:pPr>
    </w:p>
    <w:p w14:paraId="2F99A963">
      <w:pPr>
        <w:pStyle w:val="9"/>
        <w:rPr>
          <w:rFonts w:hint="eastAsia"/>
          <w:highlight w:val="none"/>
        </w:rPr>
      </w:pPr>
    </w:p>
    <w:p w14:paraId="02C71E3A">
      <w:pPr>
        <w:pStyle w:val="14"/>
        <w:rPr>
          <w:rFonts w:hint="eastAsia"/>
          <w:highlight w:val="none"/>
        </w:rPr>
      </w:pPr>
    </w:p>
    <w:p w14:paraId="7957FF1A">
      <w:pPr>
        <w:pStyle w:val="9"/>
        <w:spacing w:line="360" w:lineRule="auto"/>
        <w:rPr>
          <w:rFonts w:hint="eastAsia" w:ascii="宋体" w:hAnsi="宋体" w:eastAsia="宋体" w:cs="宋体"/>
          <w:highlight w:val="none"/>
        </w:rPr>
      </w:pPr>
    </w:p>
    <w:p w14:paraId="4FEF51E9">
      <w:pPr>
        <w:pStyle w:val="9"/>
        <w:rPr>
          <w:rFonts w:hint="eastAsia" w:ascii="宋体" w:hAnsi="宋体" w:eastAsia="宋体" w:cs="宋体"/>
          <w:highlight w:val="none"/>
        </w:rPr>
      </w:pPr>
    </w:p>
    <w:p w14:paraId="5F7F6E35">
      <w:pPr>
        <w:rPr>
          <w:rFonts w:hint="eastAsia"/>
        </w:rPr>
      </w:pPr>
    </w:p>
    <w:p w14:paraId="5BB9AF3A">
      <w:pPr>
        <w:jc w:val="center"/>
        <w:outlineLvl w:val="1"/>
        <w:rPr>
          <w:rFonts w:hint="eastAsia" w:ascii="宋体" w:hAnsi="宋体" w:eastAsia="宋体" w:cs="宋体"/>
          <w:b/>
          <w:sz w:val="72"/>
          <w:szCs w:val="72"/>
          <w:highlight w:val="none"/>
        </w:rPr>
      </w:pPr>
      <w:bookmarkStart w:id="423" w:name="_Toc26296"/>
      <w:bookmarkStart w:id="424" w:name="_Toc23366"/>
      <w:bookmarkStart w:id="425" w:name="_Toc25764"/>
      <w:bookmarkStart w:id="426" w:name="_Toc3331"/>
      <w:bookmarkStart w:id="427" w:name="_Toc32652"/>
      <w:bookmarkStart w:id="428" w:name="_Toc29620"/>
      <w:bookmarkStart w:id="429" w:name="_Toc20294"/>
      <w:r>
        <w:rPr>
          <w:rFonts w:hint="eastAsia" w:ascii="宋体" w:hAnsi="宋体" w:eastAsia="宋体" w:cs="宋体"/>
          <w:b/>
          <w:sz w:val="72"/>
          <w:szCs w:val="72"/>
          <w:highlight w:val="none"/>
        </w:rPr>
        <w:t>投标文件</w:t>
      </w:r>
      <w:bookmarkEnd w:id="423"/>
      <w:bookmarkEnd w:id="424"/>
      <w:bookmarkEnd w:id="425"/>
      <w:bookmarkEnd w:id="426"/>
      <w:bookmarkEnd w:id="427"/>
      <w:bookmarkEnd w:id="428"/>
      <w:bookmarkEnd w:id="429"/>
    </w:p>
    <w:p w14:paraId="3D8E497A">
      <w:pPr>
        <w:pStyle w:val="9"/>
        <w:ind w:left="0" w:leftChars="0" w:firstLine="0" w:firstLineChars="0"/>
        <w:rPr>
          <w:rFonts w:hint="eastAsia" w:ascii="宋体" w:hAnsi="宋体" w:eastAsia="宋体" w:cs="宋体"/>
          <w:sz w:val="28"/>
          <w:szCs w:val="28"/>
          <w:highlight w:val="none"/>
        </w:rPr>
      </w:pPr>
    </w:p>
    <w:p w14:paraId="607B05CE">
      <w:pPr>
        <w:spacing w:line="720" w:lineRule="auto"/>
        <w:jc w:val="center"/>
        <w:rPr>
          <w:rFonts w:hint="eastAsia" w:ascii="宋体" w:hAnsi="宋体" w:eastAsia="宋体" w:cs="宋体"/>
          <w:b/>
          <w:spacing w:val="8"/>
          <w:sz w:val="28"/>
          <w:szCs w:val="28"/>
          <w:highlight w:val="none"/>
          <w:lang w:val="en-US" w:eastAsia="zh-CN"/>
        </w:rPr>
      </w:pPr>
    </w:p>
    <w:p w14:paraId="627D5F80">
      <w:pPr>
        <w:pStyle w:val="2"/>
        <w:spacing w:line="240" w:lineRule="auto"/>
        <w:outlineLvl w:val="9"/>
        <w:rPr>
          <w:rFonts w:hint="eastAsia" w:ascii="宋体" w:hAnsi="宋体" w:eastAsia="宋体" w:cs="宋体"/>
          <w:b/>
          <w:spacing w:val="8"/>
          <w:sz w:val="28"/>
          <w:szCs w:val="28"/>
          <w:highlight w:val="none"/>
          <w:lang w:val="en-US" w:eastAsia="zh-CN"/>
        </w:rPr>
      </w:pPr>
    </w:p>
    <w:p w14:paraId="29E22031">
      <w:pPr>
        <w:pStyle w:val="9"/>
        <w:rPr>
          <w:rFonts w:hint="eastAsia"/>
          <w:highlight w:val="none"/>
          <w:lang w:val="en-US" w:eastAsia="zh-CN"/>
        </w:rPr>
      </w:pPr>
    </w:p>
    <w:p w14:paraId="32EF482B">
      <w:pPr>
        <w:rPr>
          <w:rFonts w:hint="eastAsia"/>
          <w:lang w:val="en-US" w:eastAsia="zh-CN"/>
        </w:rPr>
      </w:pPr>
    </w:p>
    <w:p w14:paraId="2E0B1209">
      <w:pPr>
        <w:spacing w:line="360" w:lineRule="auto"/>
        <w:rPr>
          <w:rFonts w:hint="eastAsia"/>
          <w:highlight w:val="none"/>
          <w:lang w:val="en-US" w:eastAsia="zh-CN"/>
        </w:rPr>
      </w:pPr>
    </w:p>
    <w:p w14:paraId="718E0F79">
      <w:pPr>
        <w:pStyle w:val="14"/>
        <w:spacing w:line="360" w:lineRule="auto"/>
        <w:rPr>
          <w:rFonts w:hint="eastAsia"/>
          <w:highlight w:val="none"/>
          <w:lang w:val="en-US" w:eastAsia="zh-CN"/>
        </w:rPr>
      </w:pPr>
    </w:p>
    <w:p w14:paraId="6F86F9A3">
      <w:pPr>
        <w:rPr>
          <w:rFonts w:hint="eastAsia" w:ascii="宋体" w:hAnsi="宋体" w:eastAsia="宋体" w:cs="宋体"/>
          <w:b/>
          <w:spacing w:val="8"/>
          <w:sz w:val="28"/>
          <w:szCs w:val="28"/>
          <w:highlight w:val="none"/>
          <w:lang w:val="en-US" w:eastAsia="zh-CN"/>
        </w:rPr>
      </w:pPr>
    </w:p>
    <w:p w14:paraId="6F320356">
      <w:pPr>
        <w:keepNext w:val="0"/>
        <w:keepLines w:val="0"/>
        <w:pageBreakBefore w:val="0"/>
        <w:widowControl w:val="0"/>
        <w:kinsoku/>
        <w:wordWrap/>
        <w:overflowPunct/>
        <w:topLinePunct w:val="0"/>
        <w:autoSpaceDE/>
        <w:autoSpaceDN/>
        <w:bidi w:val="0"/>
        <w:adjustRightInd/>
        <w:snapToGrid/>
        <w:spacing w:line="432" w:lineRule="auto"/>
        <w:ind w:firstLine="1188" w:firstLineChars="400"/>
        <w:jc w:val="both"/>
        <w:textAlignment w:val="auto"/>
        <w:outlineLvl w:val="1"/>
        <w:rPr>
          <w:rFonts w:hint="eastAsia" w:ascii="宋体" w:hAnsi="宋体" w:eastAsia="宋体" w:cs="宋体"/>
          <w:b/>
          <w:bCs w:val="0"/>
          <w:spacing w:val="8"/>
          <w:sz w:val="28"/>
          <w:szCs w:val="28"/>
          <w:highlight w:val="none"/>
        </w:rPr>
      </w:pPr>
      <w:bookmarkStart w:id="430" w:name="_Toc3998"/>
      <w:bookmarkStart w:id="431" w:name="_Toc15705"/>
      <w:bookmarkStart w:id="432" w:name="_Toc7137"/>
      <w:bookmarkStart w:id="433" w:name="_Toc13820"/>
      <w:bookmarkStart w:id="434" w:name="_Toc23059"/>
      <w:bookmarkStart w:id="435" w:name="_Toc7351"/>
      <w:bookmarkStart w:id="436" w:name="_Toc6771"/>
      <w:r>
        <w:rPr>
          <w:rFonts w:hint="eastAsia" w:ascii="宋体" w:hAnsi="宋体" w:eastAsia="宋体" w:cs="宋体"/>
          <w:b/>
          <w:bCs w:val="0"/>
          <w:spacing w:val="8"/>
          <w:sz w:val="28"/>
          <w:szCs w:val="28"/>
          <w:highlight w:val="none"/>
          <w:lang w:eastAsia="zh-CN"/>
        </w:rPr>
        <w:t>供</w:t>
      </w:r>
      <w:r>
        <w:rPr>
          <w:rFonts w:hint="eastAsia" w:ascii="宋体" w:hAnsi="宋体" w:eastAsia="宋体" w:cs="宋体"/>
          <w:b/>
          <w:bCs w:val="0"/>
          <w:spacing w:val="8"/>
          <w:sz w:val="28"/>
          <w:szCs w:val="28"/>
          <w:highlight w:val="none"/>
          <w:lang w:val="en-US" w:eastAsia="zh-CN"/>
        </w:rPr>
        <w:t xml:space="preserve">  </w:t>
      </w:r>
      <w:r>
        <w:rPr>
          <w:rFonts w:hint="eastAsia" w:ascii="宋体" w:hAnsi="宋体" w:eastAsia="宋体" w:cs="宋体"/>
          <w:b/>
          <w:bCs w:val="0"/>
          <w:spacing w:val="8"/>
          <w:sz w:val="28"/>
          <w:szCs w:val="28"/>
          <w:highlight w:val="none"/>
          <w:lang w:eastAsia="zh-CN"/>
        </w:rPr>
        <w:t>应</w:t>
      </w:r>
      <w:r>
        <w:rPr>
          <w:rFonts w:hint="eastAsia" w:ascii="宋体" w:hAnsi="宋体" w:eastAsia="宋体" w:cs="宋体"/>
          <w:b/>
          <w:bCs w:val="0"/>
          <w:spacing w:val="8"/>
          <w:sz w:val="28"/>
          <w:szCs w:val="28"/>
          <w:highlight w:val="none"/>
          <w:lang w:val="en-US" w:eastAsia="zh-CN"/>
        </w:rPr>
        <w:t xml:space="preserve">  </w:t>
      </w:r>
      <w:r>
        <w:rPr>
          <w:rFonts w:hint="eastAsia" w:ascii="宋体" w:hAnsi="宋体" w:eastAsia="宋体" w:cs="宋体"/>
          <w:b/>
          <w:bCs w:val="0"/>
          <w:spacing w:val="8"/>
          <w:sz w:val="28"/>
          <w:szCs w:val="28"/>
          <w:highlight w:val="none"/>
          <w:lang w:eastAsia="zh-CN"/>
        </w:rPr>
        <w:t>商</w:t>
      </w:r>
      <w:r>
        <w:rPr>
          <w:rFonts w:hint="eastAsia" w:ascii="宋体" w:hAnsi="宋体" w:eastAsia="宋体" w:cs="宋体"/>
          <w:b/>
          <w:bCs w:val="0"/>
          <w:spacing w:val="8"/>
          <w:sz w:val="28"/>
          <w:szCs w:val="28"/>
          <w:highlight w:val="none"/>
        </w:rPr>
        <w:t>：</w:t>
      </w:r>
      <w:r>
        <w:rPr>
          <w:rFonts w:hint="eastAsia" w:ascii="宋体" w:hAnsi="宋体" w:eastAsia="宋体" w:cs="宋体"/>
          <w:b/>
          <w:bCs w:val="0"/>
          <w:spacing w:val="8"/>
          <w:sz w:val="28"/>
          <w:szCs w:val="28"/>
          <w:highlight w:val="none"/>
          <w:u w:val="single"/>
        </w:rPr>
        <w:t xml:space="preserve">           </w:t>
      </w:r>
      <w:r>
        <w:rPr>
          <w:rFonts w:hint="eastAsia" w:ascii="宋体" w:hAnsi="宋体" w:eastAsia="宋体" w:cs="宋体"/>
          <w:b/>
          <w:bCs w:val="0"/>
          <w:spacing w:val="8"/>
          <w:sz w:val="28"/>
          <w:szCs w:val="28"/>
          <w:highlight w:val="none"/>
          <w:u w:val="single"/>
          <w:lang w:val="en-US" w:eastAsia="zh-CN"/>
        </w:rPr>
        <w:t xml:space="preserve">  </w:t>
      </w:r>
      <w:r>
        <w:rPr>
          <w:rFonts w:hint="eastAsia" w:ascii="宋体" w:hAnsi="宋体" w:eastAsia="宋体" w:cs="宋体"/>
          <w:b/>
          <w:bCs w:val="0"/>
          <w:spacing w:val="8"/>
          <w:sz w:val="28"/>
          <w:szCs w:val="28"/>
          <w:highlight w:val="none"/>
          <w:u w:val="single"/>
        </w:rPr>
        <w:t xml:space="preserve">   </w:t>
      </w:r>
      <w:r>
        <w:rPr>
          <w:rFonts w:hint="eastAsia" w:ascii="宋体" w:hAnsi="宋体" w:eastAsia="宋体" w:cs="宋体"/>
          <w:b/>
          <w:bCs w:val="0"/>
          <w:spacing w:val="8"/>
          <w:sz w:val="28"/>
          <w:szCs w:val="28"/>
          <w:highlight w:val="none"/>
          <w:u w:val="single"/>
          <w:lang w:val="en-US" w:eastAsia="zh-CN"/>
        </w:rPr>
        <w:t xml:space="preserve"> </w:t>
      </w:r>
      <w:r>
        <w:rPr>
          <w:rFonts w:hint="eastAsia" w:ascii="宋体" w:hAnsi="宋体" w:eastAsia="宋体" w:cs="宋体"/>
          <w:b/>
          <w:bCs w:val="0"/>
          <w:spacing w:val="8"/>
          <w:sz w:val="28"/>
          <w:szCs w:val="28"/>
          <w:highlight w:val="none"/>
          <w:u w:val="single"/>
        </w:rPr>
        <w:t xml:space="preserve"> </w:t>
      </w:r>
      <w:r>
        <w:rPr>
          <w:rFonts w:hint="eastAsia" w:ascii="宋体" w:hAnsi="宋体" w:eastAsia="宋体" w:cs="宋体"/>
          <w:b/>
          <w:bCs w:val="0"/>
          <w:spacing w:val="8"/>
          <w:sz w:val="28"/>
          <w:szCs w:val="28"/>
          <w:highlight w:val="none"/>
          <w:u w:val="single"/>
          <w:lang w:val="en-US" w:eastAsia="zh-CN"/>
        </w:rPr>
        <w:t xml:space="preserve"> </w:t>
      </w:r>
      <w:r>
        <w:rPr>
          <w:rFonts w:hint="eastAsia" w:ascii="宋体" w:hAnsi="宋体" w:eastAsia="宋体" w:cs="宋体"/>
          <w:b/>
          <w:bCs w:val="0"/>
          <w:spacing w:val="8"/>
          <w:sz w:val="28"/>
          <w:szCs w:val="28"/>
          <w:highlight w:val="none"/>
          <w:u w:val="single"/>
        </w:rPr>
        <w:t xml:space="preserve">  </w:t>
      </w:r>
      <w:r>
        <w:rPr>
          <w:rFonts w:hint="eastAsia" w:ascii="宋体" w:hAnsi="宋体" w:eastAsia="宋体" w:cs="宋体"/>
          <w:b/>
          <w:bCs w:val="0"/>
          <w:spacing w:val="8"/>
          <w:sz w:val="28"/>
          <w:szCs w:val="28"/>
          <w:highlight w:val="none"/>
        </w:rPr>
        <w:t>（盖单位章）</w:t>
      </w:r>
      <w:bookmarkEnd w:id="430"/>
      <w:bookmarkEnd w:id="431"/>
      <w:bookmarkEnd w:id="432"/>
      <w:bookmarkEnd w:id="433"/>
      <w:bookmarkEnd w:id="434"/>
      <w:bookmarkEnd w:id="435"/>
      <w:bookmarkEnd w:id="436"/>
    </w:p>
    <w:p w14:paraId="524AEA0D">
      <w:pPr>
        <w:keepNext w:val="0"/>
        <w:keepLines w:val="0"/>
        <w:pageBreakBefore w:val="0"/>
        <w:widowControl w:val="0"/>
        <w:kinsoku/>
        <w:wordWrap/>
        <w:overflowPunct/>
        <w:topLinePunct w:val="0"/>
        <w:autoSpaceDE/>
        <w:autoSpaceDN/>
        <w:bidi w:val="0"/>
        <w:adjustRightInd/>
        <w:snapToGrid/>
        <w:spacing w:line="432" w:lineRule="auto"/>
        <w:jc w:val="center"/>
        <w:textAlignment w:val="auto"/>
        <w:outlineLvl w:val="1"/>
        <w:rPr>
          <w:rFonts w:hint="eastAsia" w:ascii="宋体" w:hAnsi="宋体" w:eastAsia="宋体" w:cs="宋体"/>
          <w:b/>
          <w:bCs w:val="0"/>
          <w:spacing w:val="8"/>
          <w:sz w:val="28"/>
          <w:szCs w:val="28"/>
          <w:highlight w:val="none"/>
          <w:u w:val="none"/>
        </w:rPr>
      </w:pPr>
      <w:r>
        <w:rPr>
          <w:rFonts w:hint="eastAsia" w:ascii="宋体" w:hAnsi="宋体" w:eastAsia="宋体" w:cs="宋体"/>
          <w:b/>
          <w:bCs w:val="0"/>
          <w:spacing w:val="8"/>
          <w:sz w:val="28"/>
          <w:szCs w:val="28"/>
          <w:highlight w:val="none"/>
          <w:u w:val="none"/>
          <w:lang w:val="en-US" w:eastAsia="zh-CN"/>
        </w:rPr>
        <w:t xml:space="preserve"> </w:t>
      </w:r>
      <w:bookmarkStart w:id="437" w:name="_Toc27054"/>
      <w:bookmarkStart w:id="438" w:name="_Toc7954"/>
      <w:bookmarkStart w:id="439" w:name="_Toc30701"/>
      <w:bookmarkStart w:id="440" w:name="_Toc30103"/>
      <w:bookmarkStart w:id="441" w:name="_Toc4028"/>
      <w:bookmarkStart w:id="442" w:name="_Toc7833"/>
      <w:bookmarkStart w:id="443" w:name="_Toc5082"/>
      <w:r>
        <w:rPr>
          <w:rFonts w:hint="eastAsia" w:ascii="宋体" w:hAnsi="宋体" w:eastAsia="宋体" w:cs="宋体"/>
          <w:b/>
          <w:bCs w:val="0"/>
          <w:spacing w:val="8"/>
          <w:sz w:val="28"/>
          <w:szCs w:val="28"/>
          <w:highlight w:val="none"/>
          <w:u w:val="none"/>
        </w:rPr>
        <w:t>法定代表人或授权代表：</w:t>
      </w:r>
      <w:r>
        <w:rPr>
          <w:rFonts w:hint="eastAsia" w:ascii="宋体" w:hAnsi="宋体" w:eastAsia="宋体" w:cs="宋体"/>
          <w:b/>
          <w:bCs w:val="0"/>
          <w:spacing w:val="8"/>
          <w:sz w:val="28"/>
          <w:szCs w:val="28"/>
          <w:highlight w:val="none"/>
          <w:u w:val="single"/>
        </w:rPr>
        <w:t xml:space="preserve">       </w:t>
      </w:r>
      <w:r>
        <w:rPr>
          <w:rFonts w:hint="eastAsia" w:ascii="宋体" w:hAnsi="宋体" w:eastAsia="宋体" w:cs="宋体"/>
          <w:b/>
          <w:bCs w:val="0"/>
          <w:spacing w:val="8"/>
          <w:sz w:val="28"/>
          <w:szCs w:val="28"/>
          <w:highlight w:val="none"/>
          <w:u w:val="single"/>
          <w:lang w:val="en-US" w:eastAsia="zh-CN"/>
        </w:rPr>
        <w:t xml:space="preserve">   </w:t>
      </w:r>
      <w:r>
        <w:rPr>
          <w:rFonts w:hint="eastAsia" w:ascii="宋体" w:hAnsi="宋体" w:eastAsia="宋体" w:cs="宋体"/>
          <w:b/>
          <w:bCs w:val="0"/>
          <w:spacing w:val="8"/>
          <w:sz w:val="28"/>
          <w:szCs w:val="28"/>
          <w:highlight w:val="none"/>
          <w:u w:val="none"/>
        </w:rPr>
        <w:t>（签字</w:t>
      </w:r>
      <w:r>
        <w:rPr>
          <w:rFonts w:hint="eastAsia" w:ascii="宋体" w:hAnsi="宋体" w:eastAsia="宋体" w:cs="宋体"/>
          <w:b/>
          <w:bCs w:val="0"/>
          <w:spacing w:val="8"/>
          <w:sz w:val="28"/>
          <w:szCs w:val="28"/>
          <w:highlight w:val="none"/>
          <w:u w:val="none"/>
          <w:lang w:eastAsia="zh-CN"/>
        </w:rPr>
        <w:t>或盖章</w:t>
      </w:r>
      <w:r>
        <w:rPr>
          <w:rFonts w:hint="eastAsia" w:ascii="宋体" w:hAnsi="宋体" w:eastAsia="宋体" w:cs="宋体"/>
          <w:b/>
          <w:bCs w:val="0"/>
          <w:spacing w:val="8"/>
          <w:sz w:val="28"/>
          <w:szCs w:val="28"/>
          <w:highlight w:val="none"/>
          <w:u w:val="none"/>
        </w:rPr>
        <w:t>）</w:t>
      </w:r>
      <w:bookmarkEnd w:id="437"/>
      <w:bookmarkEnd w:id="438"/>
      <w:bookmarkEnd w:id="439"/>
      <w:bookmarkEnd w:id="440"/>
      <w:bookmarkEnd w:id="441"/>
      <w:bookmarkEnd w:id="442"/>
      <w:bookmarkEnd w:id="443"/>
    </w:p>
    <w:p w14:paraId="3E91BC2C">
      <w:pPr>
        <w:keepNext w:val="0"/>
        <w:keepLines w:val="0"/>
        <w:pageBreakBefore w:val="0"/>
        <w:widowControl w:val="0"/>
        <w:kinsoku/>
        <w:wordWrap/>
        <w:overflowPunct/>
        <w:topLinePunct w:val="0"/>
        <w:autoSpaceDE/>
        <w:autoSpaceDN/>
        <w:bidi w:val="0"/>
        <w:adjustRightInd/>
        <w:snapToGrid/>
        <w:spacing w:line="432" w:lineRule="auto"/>
        <w:ind w:firstLine="2530" w:firstLineChars="900"/>
        <w:textAlignment w:val="auto"/>
        <w:rPr>
          <w:rFonts w:hint="eastAsia" w:ascii="宋体" w:hAnsi="宋体" w:eastAsia="宋体" w:cs="宋体"/>
          <w:b/>
          <w:bCs w:val="0"/>
          <w:sz w:val="28"/>
          <w:szCs w:val="28"/>
          <w:highlight w:val="none"/>
        </w:rPr>
      </w:pPr>
      <w:bookmarkStart w:id="444" w:name="_Toc175033592"/>
      <w:bookmarkStart w:id="445" w:name="_Toc170980552"/>
      <w:bookmarkStart w:id="446" w:name="_Toc167590775"/>
      <w:bookmarkStart w:id="447" w:name="_Toc194663918"/>
      <w:bookmarkStart w:id="448" w:name="_Toc167591043"/>
      <w:bookmarkStart w:id="449" w:name="_Toc175032437"/>
      <w:bookmarkStart w:id="450" w:name="_Toc167591492"/>
      <w:bookmarkStart w:id="451" w:name="_Toc169846873"/>
      <w:bookmarkStart w:id="452" w:name="_Toc193187097"/>
      <w:bookmarkStart w:id="453" w:name="_Toc167591330"/>
      <w:bookmarkStart w:id="454" w:name="_Toc173549978"/>
      <w:bookmarkStart w:id="455" w:name="_Toc154482479"/>
      <w:bookmarkStart w:id="456" w:name="_Toc188808833"/>
      <w:bookmarkStart w:id="457" w:name="_Toc167591144"/>
      <w:bookmarkStart w:id="458" w:name="_Toc193126881"/>
      <w:bookmarkStart w:id="459" w:name="_Toc167849360"/>
      <w:bookmarkStart w:id="460" w:name="_Toc169846776"/>
      <w:bookmarkStart w:id="461" w:name="_Toc169838532"/>
      <w:bookmarkStart w:id="462" w:name="_Toc170980453"/>
      <w:r>
        <w:rPr>
          <w:rFonts w:hint="eastAsia" w:ascii="宋体" w:hAnsi="宋体" w:eastAsia="宋体" w:cs="宋体"/>
          <w:b/>
          <w:bCs w:val="0"/>
          <w:kern w:val="0"/>
          <w:sz w:val="28"/>
          <w:szCs w:val="28"/>
          <w:highlight w:val="none"/>
          <w:u w:val="single"/>
        </w:rPr>
        <w:t xml:space="preserve">       </w:t>
      </w:r>
      <w:r>
        <w:rPr>
          <w:rFonts w:hint="eastAsia" w:ascii="宋体" w:hAnsi="宋体" w:eastAsia="宋体" w:cs="宋体"/>
          <w:b/>
          <w:bCs w:val="0"/>
          <w:kern w:val="0"/>
          <w:sz w:val="28"/>
          <w:szCs w:val="28"/>
          <w:highlight w:val="none"/>
        </w:rPr>
        <w:t>年</w:t>
      </w:r>
      <w:r>
        <w:rPr>
          <w:rFonts w:hint="eastAsia" w:ascii="宋体" w:hAnsi="宋体" w:eastAsia="宋体" w:cs="宋体"/>
          <w:b/>
          <w:bCs w:val="0"/>
          <w:kern w:val="0"/>
          <w:sz w:val="28"/>
          <w:szCs w:val="28"/>
          <w:highlight w:val="none"/>
          <w:u w:val="single"/>
        </w:rPr>
        <w:t xml:space="preserve">      </w:t>
      </w:r>
      <w:r>
        <w:rPr>
          <w:rFonts w:hint="eastAsia" w:ascii="宋体" w:hAnsi="宋体" w:eastAsia="宋体" w:cs="宋体"/>
          <w:b/>
          <w:bCs w:val="0"/>
          <w:kern w:val="0"/>
          <w:sz w:val="28"/>
          <w:szCs w:val="28"/>
          <w:highlight w:val="none"/>
        </w:rPr>
        <w:t>月</w:t>
      </w:r>
      <w:r>
        <w:rPr>
          <w:rFonts w:hint="eastAsia" w:ascii="宋体" w:hAnsi="宋体" w:eastAsia="宋体" w:cs="宋体"/>
          <w:b/>
          <w:bCs w:val="0"/>
          <w:kern w:val="0"/>
          <w:sz w:val="28"/>
          <w:szCs w:val="28"/>
          <w:highlight w:val="none"/>
          <w:u w:val="single"/>
        </w:rPr>
        <w:t xml:space="preserve">       </w:t>
      </w:r>
      <w:r>
        <w:rPr>
          <w:rFonts w:hint="eastAsia" w:ascii="宋体" w:hAnsi="宋体" w:eastAsia="宋体" w:cs="宋体"/>
          <w:b/>
          <w:bCs w:val="0"/>
          <w:sz w:val="28"/>
          <w:szCs w:val="28"/>
          <w:highlight w:val="none"/>
        </w:rPr>
        <w:t>日</w:t>
      </w:r>
    </w:p>
    <w:p w14:paraId="7DA2FF8E">
      <w:pPr>
        <w:jc w:val="center"/>
        <w:rPr>
          <w:rFonts w:hint="eastAsia" w:ascii="宋体" w:hAnsi="宋体" w:eastAsia="宋体" w:cs="宋体"/>
          <w:b w:val="0"/>
          <w:bCs/>
          <w:sz w:val="30"/>
          <w:szCs w:val="30"/>
          <w:highlight w:val="none"/>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00BC8B94">
      <w:pPr>
        <w:spacing w:beforeLines="50" w:afterLines="100"/>
        <w:jc w:val="center"/>
        <w:outlineLvl w:val="1"/>
        <w:rPr>
          <w:rFonts w:hint="eastAsia" w:ascii="宋体" w:hAnsi="宋体" w:eastAsia="宋体" w:cs="宋体"/>
          <w:b/>
          <w:sz w:val="36"/>
          <w:szCs w:val="36"/>
          <w:highlight w:val="none"/>
        </w:rPr>
      </w:pPr>
      <w:bookmarkStart w:id="463" w:name="_Toc275"/>
      <w:bookmarkStart w:id="464" w:name="_Toc27703"/>
      <w:bookmarkStart w:id="465" w:name="_Toc16630"/>
      <w:bookmarkStart w:id="466" w:name="_Toc4112"/>
      <w:bookmarkStart w:id="467" w:name="_Toc28467"/>
      <w:bookmarkStart w:id="468" w:name="_Toc24367"/>
      <w:bookmarkStart w:id="469" w:name="_Toc4753"/>
      <w:r>
        <w:rPr>
          <w:rFonts w:hint="eastAsia" w:ascii="宋体" w:hAnsi="宋体" w:eastAsia="宋体" w:cs="宋体"/>
          <w:b/>
          <w:sz w:val="32"/>
          <w:szCs w:val="32"/>
          <w:highlight w:val="none"/>
        </w:rPr>
        <w:t>目 录</w:t>
      </w:r>
      <w:bookmarkEnd w:id="463"/>
      <w:bookmarkEnd w:id="464"/>
      <w:bookmarkEnd w:id="465"/>
      <w:bookmarkEnd w:id="466"/>
      <w:bookmarkEnd w:id="467"/>
      <w:bookmarkEnd w:id="468"/>
      <w:bookmarkEnd w:id="469"/>
    </w:p>
    <w:p w14:paraId="420B7B7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470" w:name="_Toc13802"/>
      <w:bookmarkStart w:id="471" w:name="_Toc3424"/>
      <w:bookmarkStart w:id="472" w:name="_Toc12788"/>
      <w:bookmarkStart w:id="473" w:name="_Toc27782"/>
      <w:bookmarkStart w:id="474" w:name="_Toc30336"/>
      <w:bookmarkStart w:id="475" w:name="_Toc6461"/>
      <w:bookmarkStart w:id="476" w:name="_Toc31610"/>
      <w:r>
        <w:rPr>
          <w:rFonts w:hint="eastAsia" w:ascii="宋体" w:hAnsi="宋体" w:eastAsia="宋体" w:cs="宋体"/>
          <w:b w:val="0"/>
          <w:bCs w:val="0"/>
          <w:sz w:val="24"/>
          <w:szCs w:val="24"/>
          <w:highlight w:val="none"/>
          <w:lang w:val="en-US" w:eastAsia="zh-CN"/>
        </w:rPr>
        <w:t>一、投标函</w:t>
      </w:r>
      <w:bookmarkEnd w:id="470"/>
      <w:bookmarkEnd w:id="471"/>
      <w:bookmarkEnd w:id="472"/>
      <w:bookmarkEnd w:id="473"/>
      <w:bookmarkEnd w:id="474"/>
      <w:bookmarkEnd w:id="475"/>
      <w:bookmarkEnd w:id="476"/>
    </w:p>
    <w:p w14:paraId="7D20973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477" w:name="_Toc20517"/>
      <w:bookmarkStart w:id="478" w:name="_Toc24270"/>
      <w:bookmarkStart w:id="479" w:name="_Toc29225"/>
      <w:bookmarkStart w:id="480" w:name="_Toc20648"/>
      <w:bookmarkStart w:id="481" w:name="_Toc10212"/>
      <w:bookmarkStart w:id="482" w:name="_Toc18737"/>
      <w:bookmarkStart w:id="483" w:name="_Toc21595"/>
      <w:r>
        <w:rPr>
          <w:rFonts w:hint="eastAsia" w:ascii="宋体" w:hAnsi="宋体" w:eastAsia="宋体" w:cs="宋体"/>
          <w:b w:val="0"/>
          <w:bCs w:val="0"/>
          <w:sz w:val="24"/>
          <w:szCs w:val="24"/>
          <w:highlight w:val="none"/>
          <w:lang w:val="en-US" w:eastAsia="zh-CN"/>
        </w:rPr>
        <w:t>二、法定代表人资格证明书或法定代表人授权委托书</w:t>
      </w:r>
      <w:bookmarkEnd w:id="477"/>
      <w:bookmarkEnd w:id="478"/>
      <w:bookmarkEnd w:id="479"/>
      <w:bookmarkEnd w:id="480"/>
      <w:bookmarkEnd w:id="481"/>
      <w:bookmarkEnd w:id="482"/>
      <w:bookmarkEnd w:id="483"/>
    </w:p>
    <w:p w14:paraId="273FF8A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484" w:name="_Toc17055"/>
      <w:bookmarkStart w:id="485" w:name="_Toc28858"/>
      <w:bookmarkStart w:id="486" w:name="_Toc23392"/>
      <w:bookmarkStart w:id="487" w:name="_Toc32309"/>
      <w:bookmarkStart w:id="488" w:name="_Toc29103"/>
      <w:bookmarkStart w:id="489" w:name="_Toc29105"/>
      <w:bookmarkStart w:id="490" w:name="_Toc24732"/>
      <w:r>
        <w:rPr>
          <w:rFonts w:hint="eastAsia" w:ascii="宋体" w:hAnsi="宋体" w:eastAsia="宋体" w:cs="宋体"/>
          <w:b w:val="0"/>
          <w:bCs w:val="0"/>
          <w:sz w:val="24"/>
          <w:szCs w:val="24"/>
          <w:highlight w:val="none"/>
          <w:lang w:val="en-US" w:eastAsia="zh-CN"/>
        </w:rPr>
        <w:t>三、开标一览表</w:t>
      </w:r>
      <w:bookmarkEnd w:id="484"/>
      <w:bookmarkEnd w:id="485"/>
      <w:bookmarkEnd w:id="486"/>
      <w:bookmarkEnd w:id="487"/>
      <w:bookmarkEnd w:id="488"/>
      <w:bookmarkEnd w:id="489"/>
      <w:bookmarkEnd w:id="490"/>
    </w:p>
    <w:p w14:paraId="6D98EDD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491" w:name="_Toc23868"/>
      <w:bookmarkStart w:id="492" w:name="_Toc19544"/>
      <w:bookmarkStart w:id="493" w:name="_Toc24737"/>
      <w:bookmarkStart w:id="494" w:name="_Toc12738"/>
      <w:bookmarkStart w:id="495" w:name="_Toc3482"/>
      <w:bookmarkStart w:id="496" w:name="_Toc25180"/>
      <w:bookmarkStart w:id="497" w:name="_Toc30462"/>
      <w:r>
        <w:rPr>
          <w:rFonts w:hint="eastAsia" w:ascii="宋体" w:hAnsi="宋体" w:eastAsia="宋体" w:cs="宋体"/>
          <w:b w:val="0"/>
          <w:bCs w:val="0"/>
          <w:sz w:val="24"/>
          <w:szCs w:val="24"/>
          <w:highlight w:val="none"/>
          <w:lang w:val="en-US" w:eastAsia="zh-CN"/>
        </w:rPr>
        <w:t>四、</w:t>
      </w:r>
      <w:bookmarkEnd w:id="491"/>
      <w:r>
        <w:rPr>
          <w:rFonts w:hint="eastAsia" w:asciiTheme="minorEastAsia" w:hAnsiTheme="minorEastAsia" w:eastAsiaTheme="minorEastAsia"/>
          <w:b w:val="0"/>
          <w:bCs w:val="0"/>
          <w:sz w:val="24"/>
          <w:szCs w:val="24"/>
          <w:highlight w:val="none"/>
          <w:lang w:eastAsia="zh-CN"/>
        </w:rPr>
        <w:t>投标保证金</w:t>
      </w:r>
      <w:bookmarkEnd w:id="492"/>
      <w:bookmarkEnd w:id="493"/>
      <w:bookmarkEnd w:id="494"/>
      <w:bookmarkEnd w:id="495"/>
      <w:bookmarkEnd w:id="496"/>
      <w:bookmarkEnd w:id="497"/>
    </w:p>
    <w:p w14:paraId="010EAF5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kern w:val="2"/>
          <w:sz w:val="24"/>
          <w:szCs w:val="24"/>
          <w:highlight w:val="none"/>
          <w:lang w:val="en-US" w:eastAsia="zh-CN" w:bidi="ar-SA"/>
        </w:rPr>
      </w:pPr>
      <w:bookmarkStart w:id="498" w:name="_Toc19118"/>
      <w:bookmarkStart w:id="499" w:name="_Toc364"/>
      <w:bookmarkStart w:id="500" w:name="_Toc8233"/>
      <w:bookmarkStart w:id="501" w:name="_Toc19212"/>
      <w:bookmarkStart w:id="502" w:name="_Toc23698"/>
      <w:bookmarkStart w:id="503" w:name="_Toc22310"/>
      <w:bookmarkStart w:id="504" w:name="_Toc2965"/>
      <w:r>
        <w:rPr>
          <w:rFonts w:hint="eastAsia" w:ascii="宋体" w:hAnsi="宋体" w:eastAsia="宋体" w:cs="宋体"/>
          <w:b w:val="0"/>
          <w:bCs w:val="0"/>
          <w:kern w:val="2"/>
          <w:sz w:val="24"/>
          <w:szCs w:val="24"/>
          <w:highlight w:val="none"/>
          <w:lang w:val="en-US" w:eastAsia="zh-CN" w:bidi="ar-SA"/>
        </w:rPr>
        <w:t>五、</w:t>
      </w:r>
      <w:bookmarkEnd w:id="498"/>
      <w:bookmarkEnd w:id="499"/>
      <w:bookmarkEnd w:id="500"/>
      <w:bookmarkEnd w:id="501"/>
      <w:bookmarkEnd w:id="502"/>
      <w:bookmarkEnd w:id="503"/>
      <w:r>
        <w:rPr>
          <w:rFonts w:hint="eastAsia" w:ascii="宋体" w:hAnsi="宋体" w:eastAsia="宋体" w:cs="宋体"/>
          <w:b w:val="0"/>
          <w:bCs w:val="0"/>
          <w:kern w:val="2"/>
          <w:sz w:val="24"/>
          <w:szCs w:val="24"/>
          <w:highlight w:val="none"/>
          <w:lang w:val="en-US" w:eastAsia="zh-CN" w:bidi="ar-SA"/>
        </w:rPr>
        <w:t>服务内容响应偏离表</w:t>
      </w:r>
      <w:bookmarkEnd w:id="504"/>
    </w:p>
    <w:p w14:paraId="566CD3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505" w:name="_Toc761"/>
      <w:bookmarkStart w:id="506" w:name="_Toc21627"/>
      <w:bookmarkStart w:id="507" w:name="_Toc28494"/>
      <w:bookmarkStart w:id="508" w:name="_Toc26216"/>
      <w:bookmarkStart w:id="509" w:name="_Toc11751"/>
      <w:bookmarkStart w:id="510" w:name="_Toc8975"/>
      <w:bookmarkStart w:id="511" w:name="_Toc27416"/>
      <w:r>
        <w:rPr>
          <w:rFonts w:hint="eastAsia" w:ascii="宋体" w:hAnsi="宋体" w:eastAsia="宋体" w:cs="宋体"/>
          <w:b w:val="0"/>
          <w:bCs w:val="0"/>
          <w:sz w:val="24"/>
          <w:szCs w:val="24"/>
          <w:highlight w:val="none"/>
          <w:lang w:val="en-US" w:eastAsia="zh-CN"/>
        </w:rPr>
        <w:t>六、</w:t>
      </w:r>
      <w:bookmarkEnd w:id="505"/>
      <w:r>
        <w:rPr>
          <w:rFonts w:hint="eastAsia" w:asciiTheme="minorEastAsia" w:hAnsiTheme="minorEastAsia" w:eastAsiaTheme="minorEastAsia"/>
          <w:b w:val="0"/>
          <w:bCs w:val="0"/>
          <w:sz w:val="24"/>
          <w:szCs w:val="24"/>
          <w:highlight w:val="none"/>
          <w:lang w:eastAsia="zh-CN"/>
        </w:rPr>
        <w:t>资格审查资料</w:t>
      </w:r>
      <w:bookmarkEnd w:id="506"/>
      <w:bookmarkEnd w:id="507"/>
      <w:bookmarkEnd w:id="508"/>
      <w:bookmarkEnd w:id="509"/>
      <w:bookmarkEnd w:id="510"/>
      <w:bookmarkEnd w:id="511"/>
    </w:p>
    <w:p w14:paraId="05460CB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b w:val="0"/>
          <w:bCs w:val="0"/>
          <w:sz w:val="24"/>
          <w:szCs w:val="24"/>
          <w:highlight w:val="none"/>
          <w:lang w:val="en-US" w:eastAsia="zh-CN"/>
        </w:rPr>
      </w:pPr>
      <w:bookmarkStart w:id="512" w:name="_Toc1398"/>
      <w:bookmarkStart w:id="513" w:name="_Toc19226"/>
      <w:bookmarkStart w:id="514" w:name="_Toc19183"/>
      <w:bookmarkStart w:id="515" w:name="_Toc23065"/>
      <w:bookmarkStart w:id="516" w:name="_Toc1337"/>
      <w:bookmarkStart w:id="517" w:name="_Toc31840"/>
      <w:bookmarkStart w:id="518" w:name="_Toc12459"/>
      <w:r>
        <w:rPr>
          <w:rFonts w:hint="eastAsia" w:ascii="宋体" w:hAnsi="宋体" w:eastAsia="宋体" w:cs="宋体"/>
          <w:b w:val="0"/>
          <w:bCs w:val="0"/>
          <w:sz w:val="24"/>
          <w:szCs w:val="24"/>
          <w:highlight w:val="none"/>
          <w:lang w:val="en-US" w:eastAsia="zh-CN"/>
        </w:rPr>
        <w:t>七、</w:t>
      </w:r>
      <w:bookmarkEnd w:id="512"/>
      <w:bookmarkEnd w:id="513"/>
      <w:bookmarkEnd w:id="514"/>
      <w:bookmarkEnd w:id="515"/>
      <w:bookmarkEnd w:id="516"/>
      <w:bookmarkEnd w:id="517"/>
      <w:r>
        <w:rPr>
          <w:rFonts w:hint="eastAsia" w:ascii="宋体" w:hAnsi="宋体" w:eastAsia="宋体" w:cs="宋体"/>
          <w:b w:val="0"/>
          <w:bCs w:val="0"/>
          <w:sz w:val="24"/>
          <w:szCs w:val="24"/>
          <w:highlight w:val="none"/>
          <w:lang w:val="en-US" w:eastAsia="zh-CN"/>
        </w:rPr>
        <w:t>技术方案</w:t>
      </w:r>
      <w:bookmarkEnd w:id="518"/>
    </w:p>
    <w:p w14:paraId="2D39AEB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519" w:name="_Toc19878"/>
      <w:bookmarkStart w:id="520" w:name="_Toc11034"/>
      <w:bookmarkStart w:id="521" w:name="_Toc13818"/>
      <w:bookmarkStart w:id="522" w:name="_Toc12532"/>
      <w:bookmarkStart w:id="523" w:name="_Toc31124"/>
      <w:bookmarkStart w:id="524" w:name="_Toc4214"/>
      <w:bookmarkStart w:id="525" w:name="_Toc24615"/>
      <w:r>
        <w:rPr>
          <w:rFonts w:hint="eastAsia" w:ascii="宋体" w:hAnsi="宋体" w:eastAsia="宋体" w:cs="宋体"/>
          <w:b w:val="0"/>
          <w:bCs w:val="0"/>
          <w:sz w:val="24"/>
          <w:szCs w:val="24"/>
          <w:highlight w:val="none"/>
          <w:lang w:val="en-US" w:eastAsia="zh-CN"/>
        </w:rPr>
        <w:t>八、</w:t>
      </w:r>
      <w:bookmarkEnd w:id="519"/>
      <w:bookmarkEnd w:id="520"/>
      <w:bookmarkEnd w:id="521"/>
      <w:bookmarkEnd w:id="522"/>
      <w:bookmarkEnd w:id="523"/>
      <w:bookmarkEnd w:id="524"/>
      <w:r>
        <w:rPr>
          <w:rFonts w:hint="eastAsia" w:ascii="宋体" w:hAnsi="宋体" w:eastAsia="宋体" w:cs="宋体"/>
          <w:b w:val="0"/>
          <w:bCs w:val="0"/>
          <w:sz w:val="24"/>
          <w:szCs w:val="24"/>
          <w:highlight w:val="none"/>
          <w:lang w:val="en-US" w:eastAsia="zh-CN"/>
        </w:rPr>
        <w:t>近3年完成的类似项目业绩情况表</w:t>
      </w:r>
      <w:bookmarkEnd w:id="525"/>
    </w:p>
    <w:p w14:paraId="720F099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sz w:val="24"/>
          <w:szCs w:val="24"/>
          <w:highlight w:val="none"/>
          <w:lang w:val="en-US" w:eastAsia="zh-CN"/>
        </w:rPr>
      </w:pPr>
      <w:bookmarkStart w:id="526" w:name="_Toc6889"/>
      <w:bookmarkStart w:id="527" w:name="_Toc21707"/>
      <w:bookmarkStart w:id="528" w:name="_Toc23252"/>
      <w:bookmarkStart w:id="529" w:name="_Toc21484"/>
      <w:bookmarkStart w:id="530" w:name="_Toc6403"/>
      <w:bookmarkStart w:id="531" w:name="_Toc25382"/>
      <w:bookmarkStart w:id="532" w:name="_Toc2957"/>
      <w:r>
        <w:rPr>
          <w:rFonts w:hint="eastAsia" w:ascii="宋体" w:hAnsi="宋体" w:eastAsia="宋体" w:cs="宋体"/>
          <w:b w:val="0"/>
          <w:bCs w:val="0"/>
          <w:sz w:val="24"/>
          <w:szCs w:val="24"/>
          <w:highlight w:val="none"/>
          <w:lang w:val="en-US" w:eastAsia="zh-CN"/>
        </w:rPr>
        <w:t>九、</w:t>
      </w:r>
      <w:bookmarkEnd w:id="526"/>
      <w:bookmarkEnd w:id="527"/>
      <w:bookmarkEnd w:id="528"/>
      <w:bookmarkEnd w:id="529"/>
      <w:bookmarkEnd w:id="530"/>
      <w:bookmarkEnd w:id="531"/>
      <w:r>
        <w:rPr>
          <w:rFonts w:hint="eastAsia" w:asciiTheme="minorEastAsia" w:hAnsiTheme="minorEastAsia" w:eastAsiaTheme="minorEastAsia"/>
          <w:b w:val="0"/>
          <w:bCs w:val="0"/>
          <w:sz w:val="24"/>
          <w:szCs w:val="24"/>
          <w:highlight w:val="none"/>
          <w:lang w:val="en-US" w:eastAsia="zh-CN"/>
        </w:rPr>
        <w:t>《拒绝政府采购领域商业贿赂承诺书》</w:t>
      </w:r>
      <w:bookmarkEnd w:id="532"/>
    </w:p>
    <w:p w14:paraId="3FD382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bookmarkStart w:id="533" w:name="_Toc11144"/>
      <w:r>
        <w:rPr>
          <w:rFonts w:hint="eastAsia" w:ascii="宋体" w:hAnsi="宋体" w:eastAsia="宋体" w:cs="宋体"/>
          <w:b w:val="0"/>
          <w:bCs w:val="0"/>
          <w:sz w:val="24"/>
          <w:szCs w:val="24"/>
          <w:highlight w:val="none"/>
          <w:lang w:val="en-US" w:eastAsia="zh-CN"/>
        </w:rPr>
        <w:t>十、</w:t>
      </w:r>
      <w:bookmarkEnd w:id="533"/>
      <w:r>
        <w:rPr>
          <w:rFonts w:hint="eastAsia" w:asciiTheme="minorEastAsia" w:hAnsiTheme="minorEastAsia" w:eastAsiaTheme="minorEastAsia"/>
          <w:b w:val="0"/>
          <w:bCs w:val="0"/>
          <w:sz w:val="24"/>
          <w:szCs w:val="24"/>
          <w:highlight w:val="none"/>
          <w:lang w:val="en-US" w:eastAsia="zh-CN"/>
        </w:rPr>
        <w:t>宝鸡市政府采购</w:t>
      </w:r>
      <w:r>
        <w:rPr>
          <w:rFonts w:hint="eastAsia" w:asciiTheme="minorEastAsia" w:hAnsiTheme="minorEastAsia"/>
          <w:b w:val="0"/>
          <w:bCs w:val="0"/>
          <w:sz w:val="24"/>
          <w:szCs w:val="24"/>
          <w:highlight w:val="none"/>
          <w:lang w:val="en-US" w:eastAsia="zh-CN"/>
        </w:rPr>
        <w:t>供应商</w:t>
      </w:r>
      <w:r>
        <w:rPr>
          <w:rFonts w:hint="eastAsia" w:asciiTheme="minorEastAsia" w:hAnsiTheme="minorEastAsia" w:eastAsiaTheme="minorEastAsia"/>
          <w:b w:val="0"/>
          <w:bCs w:val="0"/>
          <w:sz w:val="24"/>
          <w:szCs w:val="24"/>
          <w:highlight w:val="none"/>
          <w:lang w:val="en-US" w:eastAsia="zh-CN"/>
        </w:rPr>
        <w:t>诚信承诺</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Start w:id="534" w:name="_Toc25120"/>
      <w:bookmarkStart w:id="535" w:name="_Toc458617471"/>
      <w:bookmarkStart w:id="536" w:name="_Toc1386"/>
      <w:bookmarkStart w:id="537" w:name="_Toc193126882"/>
      <w:bookmarkStart w:id="538" w:name="_Toc188808834"/>
      <w:bookmarkStart w:id="539" w:name="_Toc193187098"/>
      <w:bookmarkStart w:id="540" w:name="_Toc194663919"/>
    </w:p>
    <w:p w14:paraId="48DC1B65">
      <w:pPr>
        <w:pStyle w:val="42"/>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highlight w:val="none"/>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bookmarkEnd w:id="534"/>
    <w:bookmarkEnd w:id="535"/>
    <w:bookmarkEnd w:id="536"/>
    <w:p w14:paraId="6B73F80A">
      <w:pPr>
        <w:pStyle w:val="2"/>
        <w:jc w:val="center"/>
        <w:outlineLvl w:val="0"/>
        <w:rPr>
          <w:rFonts w:asciiTheme="minorEastAsia" w:hAnsiTheme="minorEastAsia" w:eastAsiaTheme="minorEastAsia"/>
          <w:sz w:val="28"/>
          <w:szCs w:val="28"/>
          <w:highlight w:val="none"/>
        </w:rPr>
      </w:pPr>
      <w:bookmarkStart w:id="541" w:name="_Toc12211"/>
      <w:bookmarkStart w:id="542" w:name="_Toc4201"/>
      <w:bookmarkStart w:id="543" w:name="_Toc8408"/>
      <w:bookmarkStart w:id="544" w:name="_Toc26782"/>
      <w:bookmarkStart w:id="545" w:name="_Toc30774"/>
      <w:bookmarkStart w:id="546" w:name="_Toc25391"/>
      <w:bookmarkStart w:id="547" w:name="_Toc292"/>
      <w:bookmarkStart w:id="548" w:name="_Toc32603"/>
      <w:bookmarkStart w:id="549" w:name="_Toc26048"/>
      <w:bookmarkStart w:id="550" w:name="_Toc27317"/>
      <w:bookmarkStart w:id="551" w:name="_Toc746"/>
      <w:bookmarkStart w:id="552" w:name="_Toc18162"/>
      <w:bookmarkStart w:id="553" w:name="_Toc759"/>
      <w:bookmarkStart w:id="554" w:name="_Toc29280"/>
      <w:r>
        <w:rPr>
          <w:rFonts w:hint="eastAsia" w:asciiTheme="minorEastAsia" w:hAnsiTheme="minorEastAsia" w:eastAsiaTheme="minorEastAsia"/>
          <w:sz w:val="28"/>
          <w:szCs w:val="28"/>
          <w:highlight w:val="none"/>
          <w:lang w:eastAsia="zh-CN"/>
        </w:rPr>
        <w:t>一、</w:t>
      </w:r>
      <w:r>
        <w:rPr>
          <w:rFonts w:hint="eastAsia" w:asciiTheme="minorEastAsia" w:hAnsiTheme="minorEastAsia" w:eastAsiaTheme="minorEastAsia"/>
          <w:sz w:val="28"/>
          <w:szCs w:val="28"/>
          <w:highlight w:val="none"/>
        </w:rPr>
        <w:t>投标函</w:t>
      </w:r>
      <w:bookmarkEnd w:id="541"/>
      <w:bookmarkEnd w:id="542"/>
      <w:bookmarkEnd w:id="543"/>
      <w:bookmarkEnd w:id="544"/>
      <w:bookmarkEnd w:id="545"/>
      <w:bookmarkEnd w:id="546"/>
      <w:bookmarkEnd w:id="547"/>
      <w:bookmarkEnd w:id="548"/>
      <w:bookmarkEnd w:id="549"/>
      <w:bookmarkEnd w:id="550"/>
      <w:bookmarkEnd w:id="551"/>
    </w:p>
    <w:p w14:paraId="4996CCA1">
      <w:pPr>
        <w:keepNext w:val="0"/>
        <w:keepLines w:val="0"/>
        <w:pageBreakBefore w:val="0"/>
        <w:widowControl w:val="0"/>
        <w:kinsoku/>
        <w:wordWrap/>
        <w:overflowPunct/>
        <w:topLinePunct w:val="0"/>
        <w:autoSpaceDE/>
        <w:autoSpaceDN/>
        <w:bidi w:val="0"/>
        <w:adjustRightInd/>
        <w:snapToGrid/>
        <w:spacing w:line="432" w:lineRule="auto"/>
        <w:textAlignment w:val="auto"/>
        <w:rPr>
          <w:rFonts w:cs="华文楷体" w:asciiTheme="minorEastAsia" w:hAnsiTheme="minorEastAsia"/>
          <w:b/>
          <w:color w:val="000000" w:themeColor="text1"/>
          <w:sz w:val="24"/>
          <w:szCs w:val="24"/>
          <w:highlight w:val="none"/>
        </w:rPr>
      </w:pPr>
      <w:r>
        <w:rPr>
          <w:rFonts w:hint="eastAsia" w:cs="华文楷体" w:asciiTheme="minorEastAsia" w:hAnsiTheme="minorEastAsia"/>
          <w:b w:val="0"/>
          <w:bCs/>
          <w:color w:val="000000" w:themeColor="text1"/>
          <w:sz w:val="24"/>
          <w:szCs w:val="24"/>
          <w:highlight w:val="none"/>
        </w:rPr>
        <w:t>致：</w:t>
      </w:r>
      <w:r>
        <w:rPr>
          <w:rFonts w:hint="eastAsia" w:cs="华文楷体" w:asciiTheme="minorEastAsia" w:hAnsiTheme="minorEastAsia"/>
          <w:b/>
          <w:color w:val="000000" w:themeColor="text1"/>
          <w:sz w:val="24"/>
          <w:szCs w:val="24"/>
          <w:highlight w:val="none"/>
          <w:u w:val="single"/>
        </w:rPr>
        <w:t xml:space="preserve">               </w:t>
      </w:r>
      <w:r>
        <w:rPr>
          <w:rFonts w:hint="eastAsia" w:cs="华文楷体" w:asciiTheme="minorEastAsia" w:hAnsiTheme="minorEastAsia"/>
          <w:color w:val="000000" w:themeColor="text1"/>
          <w:sz w:val="24"/>
          <w:szCs w:val="24"/>
          <w:highlight w:val="none"/>
        </w:rPr>
        <w:t>（</w:t>
      </w:r>
      <w:r>
        <w:rPr>
          <w:rFonts w:hint="eastAsia" w:cs="华文楷体" w:asciiTheme="minorEastAsia" w:hAnsiTheme="minorEastAsia"/>
          <w:color w:val="000000" w:themeColor="text1"/>
          <w:sz w:val="24"/>
          <w:szCs w:val="24"/>
          <w:highlight w:val="none"/>
          <w:lang w:eastAsia="zh-CN"/>
        </w:rPr>
        <w:t>采购</w:t>
      </w:r>
      <w:r>
        <w:rPr>
          <w:rFonts w:hint="eastAsia" w:cs="华文楷体" w:asciiTheme="minorEastAsia" w:hAnsiTheme="minorEastAsia"/>
          <w:color w:val="000000" w:themeColor="text1"/>
          <w:sz w:val="24"/>
          <w:szCs w:val="24"/>
          <w:highlight w:val="none"/>
        </w:rPr>
        <w:t xml:space="preserve">人名称） </w:t>
      </w:r>
    </w:p>
    <w:p w14:paraId="340D95AB">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cs="华文楷体" w:asciiTheme="minorEastAsia" w:hAnsiTheme="minorEastAsia"/>
          <w:color w:val="000000" w:themeColor="text1"/>
          <w:sz w:val="24"/>
          <w:szCs w:val="24"/>
          <w:highlight w:val="none"/>
        </w:rPr>
      </w:pPr>
      <w:r>
        <w:rPr>
          <w:rFonts w:hint="eastAsia" w:cs="华文楷体" w:asciiTheme="minorEastAsia" w:hAnsiTheme="minorEastAsia"/>
          <w:color w:val="000000" w:themeColor="text1"/>
          <w:sz w:val="24"/>
          <w:szCs w:val="24"/>
          <w:highlight w:val="none"/>
        </w:rPr>
        <w:t>我方已仔细研究了</w:t>
      </w:r>
      <w:r>
        <w:rPr>
          <w:rFonts w:hint="eastAsia" w:cs="华文楷体" w:asciiTheme="minorEastAsia" w:hAnsiTheme="minorEastAsia"/>
          <w:color w:val="000000" w:themeColor="text1"/>
          <w:sz w:val="24"/>
          <w:szCs w:val="24"/>
          <w:highlight w:val="none"/>
          <w:u w:val="single"/>
        </w:rPr>
        <w:t xml:space="preserve"> </w:t>
      </w:r>
      <w:r>
        <w:rPr>
          <w:rFonts w:hint="eastAsia" w:cs="华文楷体" w:asciiTheme="minorEastAsia" w:hAnsiTheme="minorEastAsia"/>
          <w:color w:val="000000" w:themeColor="text1"/>
          <w:sz w:val="24"/>
          <w:szCs w:val="24"/>
          <w:highlight w:val="none"/>
          <w:u w:val="single"/>
          <w:lang w:val="en-US" w:eastAsia="zh-CN"/>
        </w:rPr>
        <w:t xml:space="preserve">宝鸡市陈仓区渭河中游段绿化管护卫生保洁及设施管理项目 </w:t>
      </w:r>
      <w:r>
        <w:rPr>
          <w:rFonts w:hint="eastAsia" w:cs="华文楷体" w:asciiTheme="minorEastAsia" w:hAnsiTheme="minorEastAsia"/>
          <w:color w:val="000000" w:themeColor="text1"/>
          <w:sz w:val="24"/>
          <w:szCs w:val="24"/>
          <w:highlight w:val="none"/>
        </w:rPr>
        <w:t>的招标文件，我方代表</w:t>
      </w:r>
      <w:r>
        <w:rPr>
          <w:rFonts w:hint="eastAsia" w:cs="华文楷体" w:asciiTheme="minorEastAsia" w:hAnsiTheme="minorEastAsia"/>
          <w:color w:val="000000" w:themeColor="text1"/>
          <w:sz w:val="24"/>
          <w:szCs w:val="24"/>
          <w:highlight w:val="none"/>
          <w:u w:val="single"/>
        </w:rPr>
        <w:t xml:space="preserve">   （姓名、职务）   </w:t>
      </w:r>
      <w:r>
        <w:rPr>
          <w:rFonts w:hint="eastAsia" w:cs="华文楷体" w:asciiTheme="minorEastAsia" w:hAnsiTheme="minorEastAsia"/>
          <w:color w:val="000000" w:themeColor="text1"/>
          <w:sz w:val="24"/>
          <w:szCs w:val="24"/>
          <w:highlight w:val="none"/>
        </w:rPr>
        <w:t>经正式授权并代表</w:t>
      </w:r>
      <w:r>
        <w:rPr>
          <w:rFonts w:hint="eastAsia" w:cs="华文楷体" w:asciiTheme="minorEastAsia" w:hAnsiTheme="minorEastAsia"/>
          <w:color w:val="000000" w:themeColor="text1"/>
          <w:sz w:val="24"/>
          <w:szCs w:val="24"/>
          <w:highlight w:val="none"/>
          <w:u w:val="single"/>
        </w:rPr>
        <w:t xml:space="preserve">    （</w:t>
      </w:r>
      <w:r>
        <w:rPr>
          <w:rFonts w:hint="eastAsia" w:cs="华文楷体" w:asciiTheme="minorEastAsia" w:hAnsiTheme="minorEastAsia"/>
          <w:color w:val="000000" w:themeColor="text1"/>
          <w:sz w:val="24"/>
          <w:szCs w:val="24"/>
          <w:highlight w:val="none"/>
          <w:u w:val="single"/>
          <w:lang w:eastAsia="zh-CN"/>
        </w:rPr>
        <w:t>供应商</w:t>
      </w:r>
      <w:r>
        <w:rPr>
          <w:rFonts w:hint="eastAsia" w:cs="华文楷体" w:asciiTheme="minorEastAsia" w:hAnsiTheme="minorEastAsia"/>
          <w:color w:val="000000" w:themeColor="text1"/>
          <w:sz w:val="24"/>
          <w:szCs w:val="24"/>
          <w:highlight w:val="none"/>
          <w:u w:val="single"/>
        </w:rPr>
        <w:t xml:space="preserve">名称）    </w:t>
      </w:r>
      <w:r>
        <w:rPr>
          <w:rFonts w:hint="eastAsia" w:cs="华文楷体" w:asciiTheme="minorEastAsia" w:hAnsiTheme="minorEastAsia"/>
          <w:color w:val="000000" w:themeColor="text1"/>
          <w:sz w:val="24"/>
          <w:szCs w:val="24"/>
          <w:highlight w:val="none"/>
        </w:rPr>
        <w:t>就该项目进行投标。</w:t>
      </w:r>
    </w:p>
    <w:p w14:paraId="42E4DEFF">
      <w:pPr>
        <w:keepNext w:val="0"/>
        <w:keepLines w:val="0"/>
        <w:pageBreakBefore w:val="0"/>
        <w:widowControl w:val="0"/>
        <w:kinsoku/>
        <w:wordWrap/>
        <w:overflowPunct/>
        <w:topLinePunct w:val="0"/>
        <w:autoSpaceDE/>
        <w:autoSpaceDN/>
        <w:bidi w:val="0"/>
        <w:adjustRightInd/>
        <w:snapToGrid/>
        <w:spacing w:line="432" w:lineRule="auto"/>
        <w:ind w:firstLine="472" w:firstLineChars="196"/>
        <w:textAlignment w:val="auto"/>
        <w:outlineLvl w:val="0"/>
        <w:rPr>
          <w:rFonts w:hint="eastAsia" w:cs="华文楷体" w:asciiTheme="minorEastAsia" w:hAnsiTheme="minorEastAsia"/>
          <w:b/>
          <w:sz w:val="24"/>
          <w:szCs w:val="24"/>
          <w:highlight w:val="none"/>
        </w:rPr>
      </w:pPr>
      <w:bookmarkStart w:id="555" w:name="_Toc6175"/>
      <w:bookmarkStart w:id="556" w:name="_Toc1579"/>
      <w:bookmarkStart w:id="557" w:name="_Toc24100"/>
      <w:bookmarkStart w:id="558" w:name="_Toc20572"/>
      <w:bookmarkStart w:id="559" w:name="_Toc16153"/>
      <w:bookmarkStart w:id="560" w:name="_Toc14816"/>
      <w:bookmarkStart w:id="561" w:name="_Toc15401"/>
      <w:r>
        <w:rPr>
          <w:rFonts w:hint="eastAsia" w:cs="华文楷体" w:asciiTheme="minorEastAsia" w:hAnsiTheme="minorEastAsia"/>
          <w:b/>
          <w:sz w:val="24"/>
          <w:szCs w:val="24"/>
          <w:highlight w:val="none"/>
        </w:rPr>
        <w:t>在此，我方郑重声明以下诸点，并负法律责任：</w:t>
      </w:r>
      <w:bookmarkEnd w:id="555"/>
      <w:bookmarkEnd w:id="556"/>
      <w:bookmarkEnd w:id="557"/>
      <w:bookmarkEnd w:id="558"/>
      <w:bookmarkEnd w:id="559"/>
      <w:bookmarkEnd w:id="560"/>
      <w:bookmarkEnd w:id="561"/>
    </w:p>
    <w:p w14:paraId="72AE44FF">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rPr>
      </w:pPr>
      <w:r>
        <w:rPr>
          <w:rFonts w:hint="eastAsia" w:cs="华文楷体" w:asciiTheme="minorEastAsia" w:hAnsiTheme="minorEastAsia"/>
          <w:sz w:val="24"/>
          <w:szCs w:val="24"/>
          <w:highlight w:val="none"/>
          <w:lang w:val="en-US" w:eastAsia="zh-CN"/>
        </w:rPr>
        <w:t>1、</w:t>
      </w:r>
      <w:r>
        <w:rPr>
          <w:rFonts w:hint="eastAsia" w:cs="华文楷体" w:asciiTheme="minorEastAsia" w:hAnsiTheme="minorEastAsia"/>
          <w:sz w:val="24"/>
          <w:szCs w:val="24"/>
          <w:highlight w:val="none"/>
        </w:rPr>
        <w:t>愿意按照招标文件中的一切要求，向</w:t>
      </w:r>
      <w:r>
        <w:rPr>
          <w:rFonts w:hint="eastAsia" w:cs="华文楷体" w:asciiTheme="minorEastAsia" w:hAnsiTheme="minorEastAsia"/>
          <w:sz w:val="24"/>
          <w:szCs w:val="24"/>
          <w:highlight w:val="none"/>
          <w:lang w:eastAsia="zh-CN"/>
        </w:rPr>
        <w:t>采购</w:t>
      </w:r>
      <w:r>
        <w:rPr>
          <w:rFonts w:hint="eastAsia" w:cs="华文楷体" w:asciiTheme="minorEastAsia" w:hAnsiTheme="minorEastAsia"/>
          <w:sz w:val="24"/>
          <w:szCs w:val="24"/>
          <w:highlight w:val="none"/>
        </w:rPr>
        <w:t>人提供所需</w:t>
      </w:r>
      <w:r>
        <w:rPr>
          <w:rFonts w:hint="eastAsia" w:cs="华文楷体" w:asciiTheme="minorEastAsia" w:hAnsiTheme="minorEastAsia"/>
          <w:sz w:val="24"/>
          <w:szCs w:val="24"/>
          <w:highlight w:val="none"/>
          <w:lang w:eastAsia="zh-CN"/>
        </w:rPr>
        <w:t>的所有货物及</w:t>
      </w:r>
      <w:r>
        <w:rPr>
          <w:rFonts w:hint="eastAsia" w:cs="华文楷体" w:asciiTheme="minorEastAsia" w:hAnsiTheme="minorEastAsia"/>
          <w:sz w:val="24"/>
          <w:szCs w:val="24"/>
          <w:highlight w:val="none"/>
        </w:rPr>
        <w:t>服务。</w:t>
      </w:r>
    </w:p>
    <w:p w14:paraId="5431A5DA">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cs="华文楷体" w:asciiTheme="minorEastAsia" w:hAnsiTheme="minorEastAsia"/>
          <w:b/>
          <w:sz w:val="24"/>
          <w:szCs w:val="24"/>
          <w:highlight w:val="none"/>
        </w:rPr>
      </w:pPr>
      <w:r>
        <w:rPr>
          <w:rFonts w:hint="eastAsia" w:cs="华文楷体" w:asciiTheme="minorEastAsia" w:hAnsiTheme="minorEastAsia"/>
          <w:sz w:val="24"/>
          <w:szCs w:val="24"/>
          <w:highlight w:val="none"/>
          <w:lang w:val="en-US" w:eastAsia="zh-CN"/>
        </w:rPr>
        <w:t>2</w:t>
      </w:r>
      <w:r>
        <w:rPr>
          <w:rFonts w:hint="eastAsia" w:cs="华文楷体" w:asciiTheme="minorEastAsia" w:hAnsiTheme="minorEastAsia"/>
          <w:sz w:val="24"/>
          <w:szCs w:val="24"/>
          <w:highlight w:val="none"/>
        </w:rPr>
        <w:t>、</w:t>
      </w:r>
      <w:r>
        <w:rPr>
          <w:rFonts w:hint="eastAsia" w:cs="华文楷体" w:asciiTheme="minorEastAsia" w:hAnsiTheme="minorEastAsia"/>
          <w:sz w:val="24"/>
          <w:szCs w:val="24"/>
          <w:highlight w:val="none"/>
          <w:lang w:eastAsia="zh-CN"/>
        </w:rPr>
        <w:t>我方</w:t>
      </w:r>
      <w:r>
        <w:rPr>
          <w:rFonts w:hint="eastAsia" w:cs="华文楷体" w:asciiTheme="minorEastAsia" w:hAnsiTheme="minorEastAsia"/>
          <w:sz w:val="24"/>
          <w:szCs w:val="24"/>
          <w:highlight w:val="none"/>
        </w:rPr>
        <w:t>保证投标文件</w:t>
      </w:r>
      <w:r>
        <w:rPr>
          <w:rFonts w:hint="eastAsia" w:cs="华文楷体" w:asciiTheme="minorEastAsia" w:hAnsiTheme="minorEastAsia"/>
          <w:sz w:val="24"/>
          <w:szCs w:val="24"/>
          <w:highlight w:val="none"/>
          <w:lang w:eastAsia="zh-CN"/>
        </w:rPr>
        <w:t>中</w:t>
      </w:r>
      <w:r>
        <w:rPr>
          <w:rFonts w:hint="eastAsia" w:cs="华文楷体" w:asciiTheme="minorEastAsia" w:hAnsiTheme="minorEastAsia"/>
          <w:sz w:val="24"/>
          <w:szCs w:val="24"/>
          <w:highlight w:val="none"/>
        </w:rPr>
        <w:t>提供的数据和材料真实、准确。否则，愿承担相关的法律责任。</w:t>
      </w:r>
    </w:p>
    <w:p w14:paraId="3E5E40BC">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rPr>
      </w:pPr>
      <w:r>
        <w:rPr>
          <w:rFonts w:hint="eastAsia" w:cs="华文楷体" w:asciiTheme="minorEastAsia" w:hAnsiTheme="minorEastAsia"/>
          <w:sz w:val="24"/>
          <w:szCs w:val="24"/>
          <w:highlight w:val="none"/>
          <w:lang w:val="en-US" w:eastAsia="zh-CN"/>
        </w:rPr>
        <w:t>3</w:t>
      </w:r>
      <w:r>
        <w:rPr>
          <w:rFonts w:hint="eastAsia" w:cs="华文楷体" w:asciiTheme="minorEastAsia" w:hAnsiTheme="minorEastAsia"/>
          <w:sz w:val="24"/>
          <w:szCs w:val="24"/>
          <w:highlight w:val="none"/>
        </w:rPr>
        <w:t>、我方所附</w:t>
      </w:r>
      <w:r>
        <w:rPr>
          <w:rFonts w:hint="eastAsia" w:cs="华文楷体" w:asciiTheme="minorEastAsia" w:hAnsiTheme="minorEastAsia"/>
          <w:sz w:val="24"/>
          <w:szCs w:val="24"/>
          <w:highlight w:val="none"/>
          <w:lang w:eastAsia="zh-CN"/>
        </w:rPr>
        <w:t>开标一览</w:t>
      </w:r>
      <w:r>
        <w:rPr>
          <w:rFonts w:hint="eastAsia" w:cs="华文楷体" w:asciiTheme="minorEastAsia" w:hAnsiTheme="minorEastAsia"/>
          <w:sz w:val="24"/>
          <w:szCs w:val="24"/>
          <w:highlight w:val="none"/>
        </w:rPr>
        <w:t>表中应提交和交付的货物/服务投标总价为人民币：</w:t>
      </w:r>
      <w:r>
        <w:rPr>
          <w:rFonts w:hint="eastAsia" w:cs="华文楷体" w:asciiTheme="minorEastAsia" w:hAnsiTheme="minorEastAsia"/>
          <w:b/>
          <w:sz w:val="24"/>
          <w:szCs w:val="24"/>
          <w:highlight w:val="none"/>
          <w:u w:val="single"/>
        </w:rPr>
        <w:t>（同时用汉字大写和数字表示投标总价）</w:t>
      </w:r>
      <w:r>
        <w:rPr>
          <w:rFonts w:hint="eastAsia" w:cs="华文楷体" w:asciiTheme="minorEastAsia" w:hAnsiTheme="minorEastAsia"/>
          <w:sz w:val="24"/>
          <w:szCs w:val="24"/>
          <w:highlight w:val="none"/>
        </w:rPr>
        <w:t>。该报价一次包死，不受市场因素的影响。</w:t>
      </w:r>
    </w:p>
    <w:p w14:paraId="6FF4B4C7">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rPr>
      </w:pPr>
      <w:r>
        <w:rPr>
          <w:rFonts w:hint="eastAsia" w:cs="华文楷体" w:asciiTheme="minorEastAsia" w:hAnsiTheme="minorEastAsia"/>
          <w:sz w:val="24"/>
          <w:szCs w:val="24"/>
          <w:highlight w:val="none"/>
          <w:lang w:val="en-US" w:eastAsia="zh-CN"/>
        </w:rPr>
        <w:t>4</w:t>
      </w:r>
      <w:r>
        <w:rPr>
          <w:rFonts w:hint="eastAsia" w:cs="华文楷体" w:asciiTheme="minorEastAsia" w:hAnsiTheme="minorEastAsia"/>
          <w:sz w:val="24"/>
          <w:szCs w:val="24"/>
          <w:highlight w:val="none"/>
        </w:rPr>
        <w:t>、我方已详细</w:t>
      </w:r>
      <w:r>
        <w:rPr>
          <w:rFonts w:hint="eastAsia" w:cs="华文楷体" w:asciiTheme="minorEastAsia" w:hAnsiTheme="minorEastAsia"/>
          <w:sz w:val="24"/>
          <w:szCs w:val="24"/>
          <w:highlight w:val="none"/>
          <w:lang w:eastAsia="zh-CN"/>
        </w:rPr>
        <w:t>阅读了</w:t>
      </w:r>
      <w:r>
        <w:rPr>
          <w:rFonts w:hint="eastAsia" w:cs="华文楷体" w:asciiTheme="minorEastAsia" w:hAnsiTheme="minorEastAsia"/>
          <w:sz w:val="24"/>
          <w:szCs w:val="24"/>
          <w:highlight w:val="none"/>
        </w:rPr>
        <w:t>全部招标文件，完全理解并放弃提出含糊不清或易形成歧义的表述和资料。</w:t>
      </w:r>
    </w:p>
    <w:p w14:paraId="5638C1FD">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rPr>
      </w:pPr>
      <w:r>
        <w:rPr>
          <w:rFonts w:hint="eastAsia" w:cs="华文楷体" w:asciiTheme="minorEastAsia" w:hAnsiTheme="minorEastAsia"/>
          <w:sz w:val="24"/>
          <w:szCs w:val="24"/>
          <w:highlight w:val="none"/>
          <w:lang w:val="en-US" w:eastAsia="zh-CN"/>
        </w:rPr>
        <w:t>5、</w:t>
      </w:r>
      <w:r>
        <w:rPr>
          <w:rFonts w:hint="eastAsia" w:cs="华文楷体" w:asciiTheme="minorEastAsia" w:hAnsiTheme="minorEastAsia"/>
          <w:sz w:val="24"/>
          <w:szCs w:val="24"/>
          <w:highlight w:val="none"/>
        </w:rPr>
        <w:t>我方愿意向贵方提供任何与本次招标有关的数据、情况和技术资料，若贵方需要，我方愿意提供我方作出的一切承诺的证明材料。</w:t>
      </w:r>
    </w:p>
    <w:p w14:paraId="1CB00B5A">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lang w:val="en-US" w:eastAsia="zh-CN"/>
        </w:rPr>
      </w:pPr>
      <w:r>
        <w:rPr>
          <w:rFonts w:hint="eastAsia" w:cs="华文楷体" w:asciiTheme="minorEastAsia" w:hAnsiTheme="minorEastAsia"/>
          <w:sz w:val="24"/>
          <w:szCs w:val="24"/>
          <w:highlight w:val="none"/>
          <w:lang w:val="en-US" w:eastAsia="zh-CN"/>
        </w:rPr>
        <w:t>6、我方的投标文件有效期为自投标截止之日起</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none"/>
          <w:lang w:val="en-US" w:eastAsia="zh-CN"/>
        </w:rPr>
        <w:t>天</w:t>
      </w:r>
      <w:r>
        <w:rPr>
          <w:rFonts w:hint="eastAsia" w:cs="华文楷体" w:asciiTheme="minorEastAsia" w:hAnsiTheme="minorEastAsia"/>
          <w:sz w:val="24"/>
          <w:szCs w:val="24"/>
          <w:highlight w:val="none"/>
          <w:lang w:val="en-US" w:eastAsia="zh-CN"/>
        </w:rPr>
        <w:t>，开标后在规定的投标有效期内撤回投标，我们愿接受政府采购的有关处罚决定。</w:t>
      </w:r>
    </w:p>
    <w:p w14:paraId="67BFBD3C">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lang w:val="en-US" w:eastAsia="zh-CN"/>
        </w:rPr>
      </w:pPr>
      <w:r>
        <w:rPr>
          <w:rFonts w:hint="eastAsia" w:cs="华文楷体" w:asciiTheme="minorEastAsia" w:hAnsiTheme="minorEastAsia"/>
          <w:sz w:val="24"/>
          <w:szCs w:val="24"/>
          <w:highlight w:val="none"/>
          <w:lang w:val="en-US" w:eastAsia="zh-CN"/>
        </w:rPr>
        <w:t>7、我方承诺遵守《中华人民共和国政府采购法》及其实施条例的有关规定，保证在获得成交资格后：</w:t>
      </w:r>
    </w:p>
    <w:p w14:paraId="07C795E1">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default" w:cs="华文楷体" w:asciiTheme="minorEastAsia" w:hAnsiTheme="minorEastAsia"/>
          <w:sz w:val="24"/>
          <w:szCs w:val="24"/>
          <w:highlight w:val="none"/>
          <w:lang w:val="en-US" w:eastAsia="zh-CN"/>
        </w:rPr>
      </w:pPr>
      <w:r>
        <w:rPr>
          <w:rFonts w:hint="default" w:cs="华文楷体" w:asciiTheme="minorEastAsia" w:hAnsiTheme="minorEastAsia"/>
          <w:sz w:val="24"/>
          <w:szCs w:val="24"/>
          <w:highlight w:val="none"/>
          <w:lang w:val="en-US" w:eastAsia="zh-CN"/>
        </w:rPr>
        <w:t>（1）按照招标文件确定的事项签订合同，履行双方所签订的合同，并承担合同规定的责任和义务；</w:t>
      </w:r>
    </w:p>
    <w:p w14:paraId="22602C2C">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default" w:cs="华文楷体" w:asciiTheme="minorEastAsia" w:hAnsiTheme="minorEastAsia"/>
          <w:sz w:val="24"/>
          <w:szCs w:val="24"/>
          <w:highlight w:val="none"/>
          <w:lang w:val="en-US" w:eastAsia="zh-CN"/>
        </w:rPr>
      </w:pPr>
      <w:r>
        <w:rPr>
          <w:rFonts w:hint="default" w:cs="华文楷体" w:asciiTheme="minorEastAsia" w:hAnsiTheme="minorEastAsia"/>
          <w:sz w:val="24"/>
          <w:szCs w:val="24"/>
          <w:highlight w:val="none"/>
          <w:lang w:val="en-US" w:eastAsia="zh-CN"/>
        </w:rPr>
        <w:t>（</w:t>
      </w:r>
      <w:r>
        <w:rPr>
          <w:rFonts w:hint="eastAsia" w:cs="华文楷体" w:asciiTheme="minorEastAsia" w:hAnsiTheme="minorEastAsia"/>
          <w:sz w:val="24"/>
          <w:szCs w:val="24"/>
          <w:highlight w:val="none"/>
          <w:lang w:val="en-US" w:eastAsia="zh-CN"/>
        </w:rPr>
        <w:t>2</w:t>
      </w:r>
      <w:r>
        <w:rPr>
          <w:rFonts w:hint="default" w:cs="华文楷体" w:asciiTheme="minorEastAsia" w:hAnsiTheme="minorEastAsia"/>
          <w:sz w:val="24"/>
          <w:szCs w:val="24"/>
          <w:highlight w:val="none"/>
          <w:lang w:val="en-US" w:eastAsia="zh-CN"/>
        </w:rPr>
        <w:t>）投标文件有效期延长至合同履行完毕。</w:t>
      </w:r>
    </w:p>
    <w:p w14:paraId="38F32B86">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lang w:val="en-US" w:eastAsia="zh-CN"/>
        </w:rPr>
      </w:pPr>
      <w:r>
        <w:rPr>
          <w:rFonts w:hint="eastAsia" w:cs="华文楷体" w:asciiTheme="minorEastAsia" w:hAnsiTheme="minorEastAsia"/>
          <w:sz w:val="24"/>
          <w:szCs w:val="24"/>
          <w:highlight w:val="none"/>
          <w:lang w:val="en-US" w:eastAsia="zh-CN"/>
        </w:rPr>
        <w:t>8、我方完全理解最低报价不是成交的唯一条件，并尊重评标委员会的评标结论和定标结果。</w:t>
      </w:r>
    </w:p>
    <w:p w14:paraId="31BEBD28">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sz w:val="24"/>
          <w:szCs w:val="24"/>
          <w:highlight w:val="none"/>
        </w:rPr>
      </w:pPr>
      <w:r>
        <w:rPr>
          <w:rFonts w:hint="eastAsia" w:cs="华文楷体" w:asciiTheme="minorEastAsia" w:hAnsiTheme="minorEastAsia"/>
          <w:sz w:val="24"/>
          <w:szCs w:val="24"/>
          <w:highlight w:val="none"/>
          <w:lang w:val="en-US" w:eastAsia="zh-CN"/>
        </w:rPr>
        <w:t>9、</w:t>
      </w:r>
      <w:r>
        <w:rPr>
          <w:rFonts w:hint="eastAsia" w:cs="华文楷体" w:asciiTheme="minorEastAsia" w:hAnsiTheme="minorEastAsia"/>
          <w:sz w:val="24"/>
          <w:szCs w:val="24"/>
          <w:highlight w:val="none"/>
        </w:rPr>
        <w:t>我方完全理解并同意招标文件中有关没收投标保证金的条款。</w:t>
      </w:r>
    </w:p>
    <w:p w14:paraId="5CBA6010">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cs="华文楷体" w:asciiTheme="minorEastAsia" w:hAnsiTheme="minorEastAsia"/>
          <w:b/>
          <w:sz w:val="24"/>
          <w:szCs w:val="24"/>
          <w:highlight w:val="none"/>
        </w:rPr>
      </w:pPr>
      <w:r>
        <w:rPr>
          <w:rFonts w:hint="eastAsia" w:cs="华文楷体" w:asciiTheme="minorEastAsia" w:hAnsiTheme="minorEastAsia"/>
          <w:sz w:val="24"/>
          <w:szCs w:val="24"/>
          <w:highlight w:val="none"/>
          <w:lang w:val="en-US" w:eastAsia="zh-CN"/>
        </w:rPr>
        <w:t>10</w:t>
      </w:r>
      <w:r>
        <w:rPr>
          <w:rFonts w:hint="eastAsia" w:cs="华文楷体" w:asciiTheme="minorEastAsia" w:hAnsiTheme="minorEastAsia"/>
          <w:sz w:val="24"/>
          <w:szCs w:val="24"/>
          <w:highlight w:val="none"/>
        </w:rPr>
        <w:t>、我方同意按招标文件规定，遵守贵方有关招标的各项规定。</w:t>
      </w:r>
    </w:p>
    <w:p w14:paraId="1E678F98">
      <w:pPr>
        <w:keepNext w:val="0"/>
        <w:keepLines w:val="0"/>
        <w:pageBreakBefore w:val="0"/>
        <w:widowControl w:val="0"/>
        <w:kinsoku/>
        <w:wordWrap/>
        <w:overflowPunct/>
        <w:topLinePunct w:val="0"/>
        <w:autoSpaceDE/>
        <w:autoSpaceDN/>
        <w:bidi w:val="0"/>
        <w:adjustRightInd/>
        <w:snapToGrid/>
        <w:spacing w:line="432" w:lineRule="auto"/>
        <w:ind w:firstLine="470" w:firstLineChars="196"/>
        <w:textAlignment w:val="auto"/>
        <w:rPr>
          <w:rFonts w:hint="eastAsia" w:cs="华文楷体" w:asciiTheme="minorEastAsia" w:hAnsiTheme="minorEastAsia" w:eastAsiaTheme="minorEastAsia"/>
          <w:b/>
          <w:sz w:val="24"/>
          <w:szCs w:val="24"/>
          <w:highlight w:val="none"/>
          <w:lang w:eastAsia="zh-CN"/>
        </w:rPr>
      </w:pPr>
      <w:r>
        <w:rPr>
          <w:rFonts w:hint="eastAsia" w:cs="华文楷体" w:asciiTheme="minorEastAsia" w:hAnsiTheme="minorEastAsia"/>
          <w:sz w:val="24"/>
          <w:szCs w:val="24"/>
          <w:highlight w:val="none"/>
        </w:rPr>
        <w:t>11、所有关于本项目的函电，请按下列地址联系</w:t>
      </w:r>
      <w:r>
        <w:rPr>
          <w:rFonts w:hint="eastAsia" w:cs="华文楷体" w:asciiTheme="minorEastAsia" w:hAnsiTheme="minorEastAsia"/>
          <w:sz w:val="24"/>
          <w:szCs w:val="24"/>
          <w:highlight w:val="none"/>
          <w:lang w:val="en-US" w:eastAsia="zh-CN"/>
        </w:rPr>
        <w:t>。</w:t>
      </w:r>
    </w:p>
    <w:p w14:paraId="3C0EEEE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rPr>
          <w:rFonts w:hint="eastAsia" w:cs="华文楷体" w:asciiTheme="minorEastAsia" w:hAnsiTheme="minorEastAsia"/>
          <w:sz w:val="24"/>
          <w:szCs w:val="24"/>
          <w:highlight w:val="none"/>
        </w:rPr>
      </w:pPr>
    </w:p>
    <w:p w14:paraId="0C7D43BB">
      <w:pPr>
        <w:spacing w:beforeLines="50" w:line="360" w:lineRule="auto"/>
        <w:ind w:firstLine="3360" w:firstLineChars="1400"/>
        <w:rPr>
          <w:rFonts w:cs="华文楷体" w:asciiTheme="minorEastAsia" w:hAnsiTheme="minorEastAsia"/>
          <w:sz w:val="24"/>
          <w:szCs w:val="24"/>
          <w:highlight w:val="none"/>
        </w:rPr>
      </w:pPr>
      <w:r>
        <w:rPr>
          <w:rFonts w:hint="eastAsia" w:cs="华文楷体" w:asciiTheme="minorEastAsia" w:hAnsiTheme="minorEastAsia"/>
          <w:sz w:val="24"/>
          <w:szCs w:val="24"/>
          <w:highlight w:val="none"/>
          <w:lang w:eastAsia="zh-CN"/>
        </w:rPr>
        <w:t>供应商</w:t>
      </w:r>
      <w:r>
        <w:rPr>
          <w:rFonts w:hint="eastAsia" w:cs="华文楷体" w:asciiTheme="minorEastAsia" w:hAnsiTheme="minorEastAsia"/>
          <w:sz w:val="24"/>
          <w:szCs w:val="24"/>
          <w:highlight w:val="none"/>
        </w:rPr>
        <w:t>：</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rPr>
        <w:t xml:space="preserve">（盖单位章） </w:t>
      </w:r>
    </w:p>
    <w:p w14:paraId="56E7BA86">
      <w:pPr>
        <w:pStyle w:val="9"/>
        <w:spacing w:beforeLines="50" w:after="0" w:line="360" w:lineRule="auto"/>
        <w:ind w:firstLine="3360" w:firstLineChars="1400"/>
        <w:rPr>
          <w:rFonts w:cs="华文楷体" w:asciiTheme="minorEastAsia" w:hAnsiTheme="minorEastAsia" w:eastAsiaTheme="minorEastAsia"/>
          <w:sz w:val="24"/>
          <w:szCs w:val="24"/>
          <w:highlight w:val="none"/>
          <w:lang w:val="zh-CN"/>
        </w:rPr>
      </w:pPr>
      <w:r>
        <w:rPr>
          <w:rFonts w:hint="eastAsia" w:cs="华文楷体" w:asciiTheme="minorEastAsia" w:hAnsiTheme="minorEastAsia" w:eastAsiaTheme="minorEastAsia"/>
          <w:sz w:val="24"/>
          <w:szCs w:val="24"/>
          <w:highlight w:val="none"/>
          <w:lang w:val="zh-CN"/>
        </w:rPr>
        <w:t>法定代表人或授权代表：</w:t>
      </w:r>
      <w:r>
        <w:rPr>
          <w:rFonts w:hint="eastAsia" w:cs="华文楷体" w:asciiTheme="minorEastAsia" w:hAnsiTheme="minorEastAsia" w:eastAsiaTheme="minorEastAsia"/>
          <w:sz w:val="24"/>
          <w:szCs w:val="24"/>
          <w:highlight w:val="none"/>
          <w:u w:val="single"/>
          <w:lang w:val="zh-CN"/>
        </w:rPr>
        <w:t xml:space="preserve">   </w:t>
      </w:r>
      <w:r>
        <w:rPr>
          <w:rFonts w:hint="eastAsia" w:cs="华文楷体" w:asciiTheme="minorEastAsia" w:hAnsiTheme="minorEastAsia" w:eastAsiaTheme="minorEastAsia"/>
          <w:sz w:val="24"/>
          <w:szCs w:val="24"/>
          <w:highlight w:val="none"/>
          <w:u w:val="single"/>
          <w:lang w:val="en-US" w:eastAsia="zh-CN"/>
        </w:rPr>
        <w:t xml:space="preserve">     </w:t>
      </w:r>
      <w:r>
        <w:rPr>
          <w:rFonts w:hint="eastAsia" w:cs="华文楷体" w:asciiTheme="minorEastAsia" w:hAnsiTheme="minorEastAsia" w:eastAsiaTheme="minorEastAsia"/>
          <w:sz w:val="24"/>
          <w:szCs w:val="24"/>
          <w:highlight w:val="none"/>
          <w:lang w:val="zh-CN"/>
        </w:rPr>
        <w:t>（签字或盖章）</w:t>
      </w:r>
    </w:p>
    <w:p w14:paraId="6D1F0E17">
      <w:pPr>
        <w:pStyle w:val="9"/>
        <w:spacing w:beforeLines="50" w:after="0" w:line="360" w:lineRule="auto"/>
        <w:ind w:firstLine="3360" w:firstLineChars="1400"/>
        <w:rPr>
          <w:rFonts w:cs="华文楷体" w:asciiTheme="minorEastAsia" w:hAnsiTheme="minorEastAsia" w:eastAsiaTheme="minorEastAsia"/>
          <w:sz w:val="24"/>
          <w:szCs w:val="24"/>
          <w:highlight w:val="none"/>
          <w:u w:val="single"/>
        </w:rPr>
      </w:pPr>
      <w:r>
        <w:rPr>
          <w:rFonts w:hint="eastAsia" w:cs="华文楷体" w:asciiTheme="minorEastAsia" w:hAnsiTheme="minorEastAsia" w:eastAsiaTheme="minorEastAsia"/>
          <w:sz w:val="24"/>
          <w:szCs w:val="24"/>
          <w:highlight w:val="none"/>
        </w:rPr>
        <w:t xml:space="preserve">地 </w:t>
      </w:r>
      <w:r>
        <w:rPr>
          <w:rFonts w:hint="eastAsia" w:cs="华文楷体" w:asciiTheme="minorEastAsia" w:hAnsiTheme="minorEastAsia" w:eastAsiaTheme="minorEastAsia"/>
          <w:sz w:val="24"/>
          <w:szCs w:val="24"/>
          <w:highlight w:val="none"/>
          <w:lang w:val="en-US" w:eastAsia="zh-CN"/>
        </w:rPr>
        <w:t xml:space="preserve">  </w:t>
      </w:r>
      <w:r>
        <w:rPr>
          <w:rFonts w:hint="eastAsia" w:cs="华文楷体" w:asciiTheme="minorEastAsia" w:hAnsiTheme="minorEastAsia" w:eastAsiaTheme="minorEastAsia"/>
          <w:sz w:val="24"/>
          <w:szCs w:val="24"/>
          <w:highlight w:val="none"/>
        </w:rPr>
        <w:t>址：</w:t>
      </w:r>
      <w:r>
        <w:rPr>
          <w:rFonts w:hint="eastAsia" w:cs="华文楷体" w:asciiTheme="minorEastAsia" w:hAnsiTheme="minorEastAsia" w:eastAsiaTheme="minorEastAsia"/>
          <w:sz w:val="24"/>
          <w:szCs w:val="24"/>
          <w:highlight w:val="none"/>
          <w:u w:val="single"/>
        </w:rPr>
        <w:t xml:space="preserve">        </w:t>
      </w:r>
      <w:r>
        <w:rPr>
          <w:rFonts w:hint="eastAsia" w:cs="华文楷体" w:asciiTheme="minorEastAsia" w:hAnsiTheme="minorEastAsia" w:eastAsiaTheme="minorEastAsia"/>
          <w:sz w:val="24"/>
          <w:szCs w:val="24"/>
          <w:highlight w:val="none"/>
          <w:u w:val="single"/>
          <w:lang w:val="en-US" w:eastAsia="zh-CN"/>
        </w:rPr>
        <w:t xml:space="preserve">    </w:t>
      </w:r>
      <w:r>
        <w:rPr>
          <w:rFonts w:hint="eastAsia" w:cs="华文楷体" w:asciiTheme="minorEastAsia" w:hAnsiTheme="minorEastAsia" w:eastAsiaTheme="minorEastAsia"/>
          <w:sz w:val="24"/>
          <w:szCs w:val="24"/>
          <w:highlight w:val="none"/>
          <w:u w:val="single"/>
        </w:rPr>
        <w:t xml:space="preserve">        </w:t>
      </w:r>
      <w:r>
        <w:rPr>
          <w:rFonts w:hint="eastAsia" w:cs="华文楷体" w:asciiTheme="minorEastAsia" w:hAnsiTheme="minorEastAsia" w:eastAsiaTheme="minorEastAsia"/>
          <w:sz w:val="24"/>
          <w:szCs w:val="24"/>
          <w:highlight w:val="none"/>
          <w:u w:val="single"/>
          <w:lang w:val="en-US" w:eastAsia="zh-CN"/>
        </w:rPr>
        <w:t xml:space="preserve">       </w:t>
      </w:r>
      <w:r>
        <w:rPr>
          <w:rFonts w:hint="eastAsia" w:cs="华文楷体" w:asciiTheme="minorEastAsia" w:hAnsiTheme="minorEastAsia" w:eastAsiaTheme="minorEastAsia"/>
          <w:sz w:val="24"/>
          <w:szCs w:val="24"/>
          <w:highlight w:val="none"/>
          <w:u w:val="single"/>
        </w:rPr>
        <w:t xml:space="preserve">       </w:t>
      </w:r>
    </w:p>
    <w:p w14:paraId="1586A0F6">
      <w:pPr>
        <w:spacing w:beforeLines="50" w:line="360" w:lineRule="auto"/>
        <w:ind w:firstLine="480" w:firstLineChars="200"/>
        <w:rPr>
          <w:rFonts w:hint="eastAsia" w:cs="华文楷体" w:asciiTheme="minorEastAsia" w:hAnsiTheme="minorEastAsia"/>
          <w:sz w:val="24"/>
          <w:szCs w:val="24"/>
          <w:highlight w:val="none"/>
          <w:u w:val="none"/>
        </w:rPr>
      </w:pPr>
      <w:r>
        <w:rPr>
          <w:rFonts w:hint="eastAsia" w:cs="华文楷体" w:asciiTheme="minorEastAsia" w:hAnsiTheme="minorEastAsia"/>
          <w:sz w:val="24"/>
          <w:szCs w:val="24"/>
          <w:highlight w:val="none"/>
        </w:rPr>
        <w:t xml:space="preserve">                  </w:t>
      </w:r>
      <w:r>
        <w:rPr>
          <w:rFonts w:hint="eastAsia" w:cs="华文楷体" w:asciiTheme="minorEastAsia" w:hAnsiTheme="minorEastAsia"/>
          <w:sz w:val="24"/>
          <w:szCs w:val="24"/>
          <w:highlight w:val="none"/>
          <w:lang w:val="en-US" w:eastAsia="zh-CN"/>
        </w:rPr>
        <w:t xml:space="preserve">      </w:t>
      </w:r>
      <w:r>
        <w:rPr>
          <w:rFonts w:hint="eastAsia" w:cs="华文楷体" w:asciiTheme="minorEastAsia" w:hAnsiTheme="minorEastAsia"/>
          <w:sz w:val="24"/>
          <w:szCs w:val="24"/>
          <w:highlight w:val="none"/>
        </w:rPr>
        <w:t>邮政编码：</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rPr>
        <w:t xml:space="preserve">        </w:t>
      </w:r>
    </w:p>
    <w:p w14:paraId="1BE9EBF3">
      <w:pPr>
        <w:spacing w:beforeLines="50" w:line="360" w:lineRule="auto"/>
        <w:ind w:firstLine="3360" w:firstLineChars="1400"/>
        <w:rPr>
          <w:rFonts w:cs="华文楷体" w:asciiTheme="minorEastAsia" w:hAnsiTheme="minorEastAsia"/>
          <w:sz w:val="24"/>
          <w:szCs w:val="24"/>
          <w:highlight w:val="none"/>
          <w:u w:val="single"/>
        </w:rPr>
      </w:pPr>
      <w:r>
        <w:rPr>
          <w:rFonts w:hint="eastAsia" w:cs="华文楷体" w:asciiTheme="minorEastAsia" w:hAnsiTheme="minorEastAsia"/>
          <w:sz w:val="24"/>
          <w:szCs w:val="24"/>
          <w:highlight w:val="none"/>
          <w:lang w:val="zh-CN"/>
        </w:rPr>
        <w:t xml:space="preserve">电 </w:t>
      </w:r>
      <w:r>
        <w:rPr>
          <w:rFonts w:hint="eastAsia" w:cs="华文楷体" w:asciiTheme="minorEastAsia" w:hAnsiTheme="minorEastAsia"/>
          <w:sz w:val="24"/>
          <w:szCs w:val="24"/>
          <w:highlight w:val="none"/>
          <w:lang w:val="en-US" w:eastAsia="zh-CN"/>
        </w:rPr>
        <w:t xml:space="preserve">  </w:t>
      </w:r>
      <w:r>
        <w:rPr>
          <w:rFonts w:hint="eastAsia" w:cs="华文楷体" w:asciiTheme="minorEastAsia" w:hAnsiTheme="minorEastAsia"/>
          <w:sz w:val="24"/>
          <w:szCs w:val="24"/>
          <w:highlight w:val="none"/>
          <w:lang w:val="zh-CN"/>
        </w:rPr>
        <w:t xml:space="preserve"> 话：</w:t>
      </w:r>
      <w:r>
        <w:rPr>
          <w:rFonts w:hint="eastAsia" w:cs="华文楷体" w:asciiTheme="minorEastAsia" w:hAnsiTheme="minorEastAsia"/>
          <w:sz w:val="24"/>
          <w:szCs w:val="24"/>
          <w:highlight w:val="none"/>
          <w:u w:val="single"/>
          <w:lang w:val="zh-CN"/>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lang w:val="zh-CN"/>
        </w:rPr>
        <w:t xml:space="preserve">    </w:t>
      </w:r>
    </w:p>
    <w:p w14:paraId="5AEBA70E">
      <w:pPr>
        <w:spacing w:beforeLines="50" w:line="360" w:lineRule="auto"/>
        <w:ind w:firstLine="480" w:firstLineChars="200"/>
        <w:rPr>
          <w:rFonts w:cs="华文楷体" w:asciiTheme="minorEastAsia" w:hAnsiTheme="minorEastAsia"/>
          <w:sz w:val="24"/>
          <w:szCs w:val="24"/>
          <w:highlight w:val="none"/>
          <w:u w:val="single"/>
        </w:rPr>
      </w:pPr>
      <w:r>
        <w:rPr>
          <w:rFonts w:hint="eastAsia" w:cs="华文楷体" w:asciiTheme="minorEastAsia" w:hAnsiTheme="minorEastAsia"/>
          <w:sz w:val="24"/>
          <w:szCs w:val="24"/>
          <w:highlight w:val="none"/>
          <w:lang w:val="zh-CN"/>
        </w:rPr>
        <w:t xml:space="preserve">                 </w:t>
      </w:r>
      <w:r>
        <w:rPr>
          <w:rFonts w:hint="eastAsia" w:cs="华文楷体" w:asciiTheme="minorEastAsia" w:hAnsiTheme="minorEastAsia"/>
          <w:sz w:val="24"/>
          <w:szCs w:val="24"/>
          <w:highlight w:val="none"/>
          <w:lang w:val="en-US" w:eastAsia="zh-CN"/>
        </w:rPr>
        <w:t xml:space="preserve">      </w:t>
      </w:r>
      <w:r>
        <w:rPr>
          <w:rFonts w:hint="eastAsia" w:cs="华文楷体" w:asciiTheme="minorEastAsia" w:hAnsiTheme="minorEastAsia"/>
          <w:sz w:val="24"/>
          <w:szCs w:val="24"/>
          <w:highlight w:val="none"/>
          <w:lang w:val="zh-CN"/>
        </w:rPr>
        <w:t xml:space="preserve"> 传    真：</w:t>
      </w:r>
      <w:r>
        <w:rPr>
          <w:rFonts w:hint="eastAsia" w:cs="华文楷体" w:asciiTheme="minorEastAsia" w:hAnsiTheme="minorEastAsia"/>
          <w:sz w:val="24"/>
          <w:szCs w:val="24"/>
          <w:highlight w:val="none"/>
          <w:u w:val="single"/>
          <w:lang w:val="zh-CN"/>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lang w:val="zh-CN"/>
        </w:rPr>
        <w:t xml:space="preserve">     </w:t>
      </w:r>
    </w:p>
    <w:p w14:paraId="4A991040">
      <w:pPr>
        <w:spacing w:beforeLines="50" w:line="360" w:lineRule="auto"/>
        <w:ind w:firstLine="480" w:firstLineChars="200"/>
        <w:rPr>
          <w:rFonts w:hint="eastAsia" w:cs="华文楷体" w:asciiTheme="minorEastAsia" w:hAnsiTheme="minorEastAsia" w:eastAsiaTheme="minorEastAsia"/>
          <w:sz w:val="24"/>
          <w:szCs w:val="24"/>
          <w:highlight w:val="none"/>
          <w:u w:val="single"/>
          <w:lang w:val="en-US" w:eastAsia="zh-CN"/>
        </w:rPr>
      </w:pPr>
      <w:r>
        <w:rPr>
          <w:rFonts w:hint="eastAsia" w:cs="华文楷体" w:asciiTheme="minorEastAsia" w:hAnsiTheme="minorEastAsia"/>
          <w:sz w:val="24"/>
          <w:szCs w:val="24"/>
          <w:highlight w:val="none"/>
        </w:rPr>
        <w:t xml:space="preserve">                 </w:t>
      </w:r>
      <w:r>
        <w:rPr>
          <w:rFonts w:hint="eastAsia" w:cs="华文楷体" w:asciiTheme="minorEastAsia" w:hAnsiTheme="minorEastAsia"/>
          <w:sz w:val="24"/>
          <w:szCs w:val="24"/>
          <w:highlight w:val="none"/>
          <w:lang w:val="en-US" w:eastAsia="zh-CN"/>
        </w:rPr>
        <w:t xml:space="preserve">      </w:t>
      </w:r>
      <w:r>
        <w:rPr>
          <w:rFonts w:hint="eastAsia" w:cs="华文楷体" w:asciiTheme="minorEastAsia" w:hAnsiTheme="minorEastAsia"/>
          <w:sz w:val="24"/>
          <w:szCs w:val="24"/>
          <w:highlight w:val="none"/>
        </w:rPr>
        <w:t xml:space="preserve"> 电子邮件：</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u w:val="single"/>
          <w:lang w:val="en-US" w:eastAsia="zh-CN"/>
        </w:rPr>
        <w:t xml:space="preserve"> </w:t>
      </w:r>
      <w:r>
        <w:rPr>
          <w:rFonts w:hint="eastAsia" w:cs="华文楷体" w:asciiTheme="minorEastAsia" w:hAnsiTheme="minorEastAsia"/>
          <w:sz w:val="24"/>
          <w:szCs w:val="24"/>
          <w:highlight w:val="none"/>
          <w:u w:val="single"/>
        </w:rPr>
        <w:t xml:space="preserve">   </w:t>
      </w:r>
      <w:r>
        <w:rPr>
          <w:rFonts w:hint="eastAsia" w:cs="华文楷体" w:asciiTheme="minorEastAsia" w:hAnsiTheme="minorEastAsia"/>
          <w:sz w:val="24"/>
          <w:szCs w:val="24"/>
          <w:highlight w:val="none"/>
          <w:u w:val="single"/>
          <w:lang w:val="en-US" w:eastAsia="zh-CN"/>
        </w:rPr>
        <w:t xml:space="preserve"> </w:t>
      </w:r>
    </w:p>
    <w:p w14:paraId="3031CDBF">
      <w:pPr>
        <w:spacing w:beforeLines="50" w:line="360" w:lineRule="auto"/>
        <w:ind w:firstLine="4560" w:firstLineChars="1900"/>
        <w:jc w:val="left"/>
        <w:rPr>
          <w:rFonts w:hint="eastAsia" w:cs="华文楷体" w:asciiTheme="minorEastAsia" w:hAnsiTheme="minorEastAsia"/>
          <w:sz w:val="24"/>
          <w:szCs w:val="24"/>
          <w:highlight w:val="none"/>
        </w:rPr>
      </w:pPr>
      <w:r>
        <w:rPr>
          <w:rFonts w:hint="eastAsia" w:cs="华文楷体" w:asciiTheme="minorEastAsia" w:hAnsiTheme="minorEastAsia"/>
          <w:kern w:val="0"/>
          <w:sz w:val="24"/>
          <w:szCs w:val="24"/>
          <w:highlight w:val="none"/>
          <w:u w:val="single"/>
        </w:rPr>
        <w:t xml:space="preserve">       </w:t>
      </w:r>
      <w:r>
        <w:rPr>
          <w:rFonts w:hint="eastAsia" w:cs="华文楷体" w:asciiTheme="minorEastAsia" w:hAnsiTheme="minorEastAsia"/>
          <w:kern w:val="0"/>
          <w:sz w:val="24"/>
          <w:szCs w:val="24"/>
          <w:highlight w:val="none"/>
        </w:rPr>
        <w:t>年</w:t>
      </w:r>
      <w:r>
        <w:rPr>
          <w:rFonts w:hint="eastAsia" w:cs="华文楷体" w:asciiTheme="minorEastAsia" w:hAnsiTheme="minorEastAsia"/>
          <w:kern w:val="0"/>
          <w:sz w:val="24"/>
          <w:szCs w:val="24"/>
          <w:highlight w:val="none"/>
          <w:u w:val="single"/>
        </w:rPr>
        <w:t xml:space="preserve">      </w:t>
      </w:r>
      <w:r>
        <w:rPr>
          <w:rFonts w:hint="eastAsia" w:cs="华文楷体" w:asciiTheme="minorEastAsia" w:hAnsiTheme="minorEastAsia"/>
          <w:kern w:val="0"/>
          <w:sz w:val="24"/>
          <w:szCs w:val="24"/>
          <w:highlight w:val="none"/>
        </w:rPr>
        <w:t>月</w:t>
      </w:r>
      <w:r>
        <w:rPr>
          <w:rFonts w:hint="eastAsia" w:cs="华文楷体" w:asciiTheme="minorEastAsia" w:hAnsiTheme="minorEastAsia"/>
          <w:kern w:val="0"/>
          <w:sz w:val="24"/>
          <w:szCs w:val="24"/>
          <w:highlight w:val="none"/>
          <w:u w:val="single"/>
        </w:rPr>
        <w:t xml:space="preserve">       </w:t>
      </w:r>
      <w:r>
        <w:rPr>
          <w:rFonts w:hint="eastAsia" w:cs="华文楷体" w:asciiTheme="minorEastAsia" w:hAnsiTheme="minorEastAsia"/>
          <w:sz w:val="24"/>
          <w:szCs w:val="24"/>
          <w:highlight w:val="none"/>
        </w:rPr>
        <w:t>日</w:t>
      </w:r>
    </w:p>
    <w:p w14:paraId="1DB52B5B">
      <w:pPr>
        <w:pStyle w:val="14"/>
        <w:rPr>
          <w:rFonts w:hint="eastAsia" w:cs="华文楷体" w:asciiTheme="minorEastAsia" w:hAnsiTheme="minorEastAsia"/>
          <w:sz w:val="24"/>
          <w:szCs w:val="24"/>
          <w:highlight w:val="none"/>
        </w:rPr>
      </w:pPr>
    </w:p>
    <w:p w14:paraId="5BD07749">
      <w:pPr>
        <w:spacing w:line="312" w:lineRule="auto"/>
        <w:ind w:firstLine="472" w:firstLineChars="196"/>
        <w:rPr>
          <w:rFonts w:hint="eastAsia" w:cs="华文楷体" w:asciiTheme="minorEastAsia" w:hAnsiTheme="minorEastAsia"/>
          <w:b/>
          <w:bCs/>
          <w:sz w:val="24"/>
          <w:szCs w:val="24"/>
          <w:highlight w:val="none"/>
        </w:rPr>
      </w:pPr>
    </w:p>
    <w:p w14:paraId="0E7507B5">
      <w:pPr>
        <w:spacing w:line="312" w:lineRule="auto"/>
        <w:ind w:firstLine="551" w:firstLineChars="196"/>
        <w:rPr>
          <w:rFonts w:hint="eastAsia" w:cs="华文楷体" w:asciiTheme="minorEastAsia" w:hAnsiTheme="minorEastAsia"/>
          <w:b/>
          <w:bCs/>
          <w:sz w:val="28"/>
          <w:szCs w:val="28"/>
          <w:highlight w:val="none"/>
        </w:rPr>
      </w:pPr>
    </w:p>
    <w:p w14:paraId="626687DC">
      <w:pPr>
        <w:spacing w:line="312" w:lineRule="auto"/>
        <w:ind w:firstLine="551" w:firstLineChars="196"/>
        <w:rPr>
          <w:rFonts w:hint="eastAsia" w:cs="华文楷体" w:asciiTheme="minorEastAsia" w:hAnsiTheme="minorEastAsia"/>
          <w:b/>
          <w:bCs/>
          <w:sz w:val="28"/>
          <w:szCs w:val="28"/>
          <w:highlight w:val="none"/>
        </w:rPr>
      </w:pPr>
    </w:p>
    <w:p w14:paraId="5755620F">
      <w:pPr>
        <w:spacing w:line="312" w:lineRule="auto"/>
        <w:ind w:firstLine="551" w:firstLineChars="196"/>
        <w:rPr>
          <w:rFonts w:hint="eastAsia" w:cs="华文楷体" w:asciiTheme="minorEastAsia" w:hAnsiTheme="minorEastAsia"/>
          <w:b/>
          <w:bCs/>
          <w:sz w:val="28"/>
          <w:szCs w:val="28"/>
          <w:highlight w:val="none"/>
        </w:rPr>
      </w:pPr>
    </w:p>
    <w:p w14:paraId="55E80CDE">
      <w:pPr>
        <w:spacing w:line="312" w:lineRule="auto"/>
        <w:ind w:firstLine="551" w:firstLineChars="196"/>
        <w:rPr>
          <w:rFonts w:hint="eastAsia" w:cs="华文楷体" w:asciiTheme="minorEastAsia" w:hAnsiTheme="minorEastAsia"/>
          <w:b/>
          <w:bCs/>
          <w:sz w:val="28"/>
          <w:szCs w:val="28"/>
          <w:highlight w:val="none"/>
        </w:rPr>
      </w:pPr>
    </w:p>
    <w:p w14:paraId="29A8B9D2">
      <w:pPr>
        <w:spacing w:line="312" w:lineRule="auto"/>
        <w:ind w:firstLine="551" w:firstLineChars="196"/>
        <w:rPr>
          <w:rFonts w:hint="eastAsia" w:cs="华文楷体" w:asciiTheme="minorEastAsia" w:hAnsiTheme="minorEastAsia"/>
          <w:b/>
          <w:bCs/>
          <w:sz w:val="28"/>
          <w:szCs w:val="28"/>
          <w:highlight w:val="none"/>
        </w:rPr>
      </w:pPr>
    </w:p>
    <w:p w14:paraId="0F05F5DE">
      <w:pPr>
        <w:spacing w:line="312" w:lineRule="auto"/>
        <w:ind w:firstLine="551" w:firstLineChars="196"/>
        <w:rPr>
          <w:rFonts w:hint="eastAsia" w:cs="华文楷体" w:asciiTheme="minorEastAsia" w:hAnsiTheme="minorEastAsia"/>
          <w:b/>
          <w:bCs/>
          <w:sz w:val="28"/>
          <w:szCs w:val="28"/>
          <w:highlight w:val="none"/>
        </w:rPr>
      </w:pPr>
    </w:p>
    <w:p w14:paraId="52E6E69F">
      <w:pPr>
        <w:pStyle w:val="9"/>
        <w:rPr>
          <w:rFonts w:hint="eastAsia"/>
          <w:highlight w:val="none"/>
        </w:rPr>
      </w:pPr>
    </w:p>
    <w:p w14:paraId="08BE3941">
      <w:pPr>
        <w:spacing w:line="312" w:lineRule="auto"/>
        <w:ind w:firstLine="551" w:firstLineChars="196"/>
        <w:rPr>
          <w:rFonts w:hint="eastAsia" w:cs="华文楷体" w:asciiTheme="minorEastAsia" w:hAnsiTheme="minorEastAsia"/>
          <w:b/>
          <w:bCs/>
          <w:sz w:val="28"/>
          <w:szCs w:val="28"/>
          <w:highlight w:val="none"/>
        </w:rPr>
      </w:pPr>
    </w:p>
    <w:p w14:paraId="162E5603">
      <w:pPr>
        <w:spacing w:line="312" w:lineRule="auto"/>
        <w:ind w:firstLine="241" w:firstLineChars="100"/>
        <w:rPr>
          <w:rFonts w:hint="eastAsia" w:cs="华文楷体" w:asciiTheme="minorEastAsia" w:hAnsiTheme="minorEastAsia"/>
          <w:sz w:val="24"/>
          <w:szCs w:val="24"/>
          <w:highlight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cs="华文楷体" w:asciiTheme="minorEastAsia" w:hAnsiTheme="minorEastAsia"/>
          <w:b/>
          <w:bCs/>
          <w:sz w:val="24"/>
          <w:szCs w:val="24"/>
          <w:highlight w:val="none"/>
        </w:rPr>
        <w:t>注</w:t>
      </w:r>
      <w:r>
        <w:rPr>
          <w:rFonts w:hint="eastAsia" w:cs="华文楷体" w:asciiTheme="minorEastAsia" w:hAnsiTheme="minorEastAsia"/>
          <w:sz w:val="24"/>
          <w:szCs w:val="24"/>
          <w:highlight w:val="none"/>
        </w:rPr>
        <w:t>：除可填报</w:t>
      </w:r>
      <w:r>
        <w:rPr>
          <w:rFonts w:hint="eastAsia" w:cs="华文楷体" w:asciiTheme="minorEastAsia" w:hAnsiTheme="minorEastAsia"/>
          <w:sz w:val="24"/>
          <w:szCs w:val="24"/>
          <w:highlight w:val="none"/>
          <w:lang w:eastAsia="zh-CN"/>
        </w:rPr>
        <w:t>内容</w:t>
      </w:r>
      <w:r>
        <w:rPr>
          <w:rFonts w:hint="eastAsia" w:cs="华文楷体" w:asciiTheme="minorEastAsia" w:hAnsiTheme="minorEastAsia"/>
          <w:sz w:val="24"/>
          <w:szCs w:val="24"/>
          <w:highlight w:val="none"/>
        </w:rPr>
        <w:t>外对本投标函的任何修改将被视为非实质性响应投标而导致该投标被拒绝</w:t>
      </w:r>
      <w:r>
        <w:rPr>
          <w:rFonts w:hint="eastAsia" w:cs="华文楷体" w:asciiTheme="minorEastAsia" w:hAnsiTheme="minorEastAsia"/>
          <w:sz w:val="24"/>
          <w:szCs w:val="24"/>
          <w:highlight w:val="none"/>
          <w:lang w:eastAsia="zh-CN"/>
        </w:rPr>
        <w:t>。</w:t>
      </w:r>
    </w:p>
    <w:p w14:paraId="52427840">
      <w:pPr>
        <w:spacing w:line="360" w:lineRule="auto"/>
        <w:ind w:left="240" w:leftChars="100"/>
        <w:jc w:val="center"/>
        <w:outlineLvl w:val="1"/>
        <w:rPr>
          <w:rFonts w:hint="eastAsia" w:ascii="宋体" w:hAnsi="宋体" w:eastAsia="宋体" w:cs="宋体"/>
          <w:b/>
          <w:bCs/>
          <w:sz w:val="28"/>
          <w:szCs w:val="28"/>
          <w:highlight w:val="none"/>
        </w:rPr>
      </w:pPr>
      <w:bookmarkStart w:id="562" w:name="_Toc3580"/>
      <w:bookmarkStart w:id="563" w:name="_Toc28026"/>
      <w:bookmarkStart w:id="564" w:name="_Toc1784"/>
      <w:bookmarkStart w:id="565" w:name="_Toc12759"/>
      <w:bookmarkStart w:id="566" w:name="_Toc16263"/>
      <w:bookmarkStart w:id="567" w:name="_Toc3353"/>
      <w:bookmarkStart w:id="568" w:name="_Toc6484"/>
      <w:bookmarkStart w:id="569" w:name="_Toc10825"/>
      <w:bookmarkStart w:id="570" w:name="_Toc9964"/>
      <w:r>
        <w:rPr>
          <w:rFonts w:hint="eastAsia" w:asciiTheme="minorEastAsia" w:hAnsiTheme="minorEastAsia" w:eastAsiaTheme="minorEastAsia"/>
          <w:b/>
          <w:bCs/>
          <w:sz w:val="28"/>
          <w:szCs w:val="28"/>
          <w:highlight w:val="none"/>
          <w:lang w:eastAsia="zh-CN"/>
        </w:rPr>
        <w:t>二、法定代表人资格证明书</w:t>
      </w:r>
      <w:bookmarkEnd w:id="552"/>
      <w:bookmarkEnd w:id="553"/>
      <w:bookmarkEnd w:id="554"/>
      <w:bookmarkEnd w:id="562"/>
      <w:bookmarkEnd w:id="563"/>
      <w:bookmarkEnd w:id="564"/>
      <w:bookmarkEnd w:id="565"/>
      <w:bookmarkEnd w:id="566"/>
      <w:bookmarkEnd w:id="567"/>
      <w:bookmarkEnd w:id="568"/>
      <w:bookmarkEnd w:id="569"/>
      <w:bookmarkEnd w:id="570"/>
      <w:bookmarkStart w:id="571" w:name="_Toc47418256"/>
      <w:bookmarkStart w:id="572" w:name="_Toc47418732"/>
      <w:bookmarkStart w:id="573" w:name="_Toc49019498"/>
      <w:bookmarkStart w:id="574" w:name="_Toc47262070"/>
      <w:bookmarkStart w:id="575" w:name="_Toc48995852"/>
      <w:bookmarkStart w:id="576" w:name="_Toc47261691"/>
      <w:bookmarkStart w:id="577" w:name="_Toc48791236"/>
      <w:bookmarkStart w:id="578" w:name="_Toc47261886"/>
      <w:bookmarkStart w:id="579" w:name="_Toc47418939"/>
      <w:bookmarkStart w:id="580" w:name="_Toc49019237"/>
    </w:p>
    <w:tbl>
      <w:tblPr>
        <w:tblStyle w:val="2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166"/>
        <w:gridCol w:w="2117"/>
        <w:gridCol w:w="1000"/>
        <w:gridCol w:w="1967"/>
      </w:tblGrid>
      <w:tr w14:paraId="68B1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76" w:type="dxa"/>
            <w:gridSpan w:val="5"/>
            <w:vAlign w:val="center"/>
          </w:tcPr>
          <w:p w14:paraId="04630F17">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rPr>
              <w:t>致：</w:t>
            </w:r>
            <w:r>
              <w:rPr>
                <w:rFonts w:hint="eastAsia" w:ascii="宋体" w:hAnsi="宋体" w:eastAsia="宋体" w:cs="宋体"/>
                <w:bCs/>
                <w:caps/>
                <w:sz w:val="24"/>
                <w:szCs w:val="24"/>
                <w:highlight w:val="none"/>
                <w:lang w:val="en-US" w:eastAsia="zh-CN"/>
              </w:rPr>
              <w:t>宝鸡市陈仓区渭河综合治理保护中心</w:t>
            </w:r>
          </w:p>
        </w:tc>
      </w:tr>
      <w:tr w14:paraId="624B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Align w:val="center"/>
          </w:tcPr>
          <w:p w14:paraId="044E7534">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rPr>
              <w:t>项目名称</w:t>
            </w:r>
          </w:p>
        </w:tc>
        <w:tc>
          <w:tcPr>
            <w:tcW w:w="7250" w:type="dxa"/>
            <w:gridSpan w:val="4"/>
            <w:vAlign w:val="center"/>
          </w:tcPr>
          <w:p w14:paraId="3435AB4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p>
        </w:tc>
      </w:tr>
      <w:tr w14:paraId="666A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Align w:val="center"/>
          </w:tcPr>
          <w:p w14:paraId="1619CD75">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rPr>
              <w:t>项目</w:t>
            </w:r>
            <w:r>
              <w:rPr>
                <w:rFonts w:hint="eastAsia" w:ascii="宋体" w:hAnsi="宋体" w:eastAsia="宋体" w:cs="宋体"/>
                <w:bCs/>
                <w:caps/>
                <w:sz w:val="24"/>
                <w:szCs w:val="24"/>
                <w:lang w:eastAsia="zh-CN"/>
              </w:rPr>
              <w:t>编号</w:t>
            </w:r>
          </w:p>
        </w:tc>
        <w:tc>
          <w:tcPr>
            <w:tcW w:w="7250" w:type="dxa"/>
            <w:gridSpan w:val="4"/>
            <w:vAlign w:val="center"/>
          </w:tcPr>
          <w:p w14:paraId="6C461E2C">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p>
        </w:tc>
      </w:tr>
      <w:tr w14:paraId="6276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26" w:type="dxa"/>
            <w:vAlign w:val="center"/>
          </w:tcPr>
          <w:p w14:paraId="12F65075">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权限</w:t>
            </w:r>
          </w:p>
        </w:tc>
        <w:tc>
          <w:tcPr>
            <w:tcW w:w="7250" w:type="dxa"/>
            <w:gridSpan w:val="4"/>
            <w:vAlign w:val="center"/>
          </w:tcPr>
          <w:p w14:paraId="43172FC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办理本次招标项目的投标、联系、洽谈、签约、执行等具体事务，签署全部有关文件、文书、协议及合同。</w:t>
            </w:r>
          </w:p>
        </w:tc>
      </w:tr>
      <w:tr w14:paraId="506C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Align w:val="center"/>
          </w:tcPr>
          <w:p w14:paraId="5350AE5A">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有效期</w:t>
            </w:r>
          </w:p>
        </w:tc>
        <w:tc>
          <w:tcPr>
            <w:tcW w:w="7250" w:type="dxa"/>
            <w:gridSpan w:val="4"/>
            <w:vAlign w:val="center"/>
          </w:tcPr>
          <w:p w14:paraId="41E65B43">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p>
        </w:tc>
      </w:tr>
      <w:tr w14:paraId="2F98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restart"/>
            <w:vAlign w:val="center"/>
          </w:tcPr>
          <w:p w14:paraId="05BBA0F1">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供应商</w:t>
            </w:r>
            <w:r>
              <w:rPr>
                <w:rFonts w:hint="eastAsia" w:ascii="宋体" w:hAnsi="宋体" w:eastAsia="宋体" w:cs="宋体"/>
                <w:bCs/>
                <w:caps/>
                <w:sz w:val="24"/>
                <w:szCs w:val="24"/>
                <w:highlight w:val="none"/>
              </w:rPr>
              <w:t>信息</w:t>
            </w:r>
          </w:p>
        </w:tc>
        <w:tc>
          <w:tcPr>
            <w:tcW w:w="2166" w:type="dxa"/>
            <w:vAlign w:val="center"/>
          </w:tcPr>
          <w:p w14:paraId="74E6F010">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供应商</w:t>
            </w:r>
            <w:r>
              <w:rPr>
                <w:rFonts w:hint="eastAsia" w:ascii="宋体" w:hAnsi="宋体" w:eastAsia="宋体" w:cs="宋体"/>
                <w:bCs/>
                <w:caps/>
                <w:sz w:val="24"/>
                <w:szCs w:val="24"/>
                <w:highlight w:val="none"/>
              </w:rPr>
              <w:t>名称</w:t>
            </w:r>
          </w:p>
        </w:tc>
        <w:tc>
          <w:tcPr>
            <w:tcW w:w="5084" w:type="dxa"/>
            <w:gridSpan w:val="3"/>
            <w:vAlign w:val="center"/>
          </w:tcPr>
          <w:p w14:paraId="2B967CDB">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4FB4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2569047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7DEE5B17">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注册</w:t>
            </w:r>
            <w:r>
              <w:rPr>
                <w:rFonts w:hint="eastAsia" w:ascii="宋体" w:hAnsi="宋体" w:eastAsia="宋体" w:cs="宋体"/>
                <w:bCs/>
                <w:caps/>
                <w:sz w:val="24"/>
                <w:szCs w:val="24"/>
                <w:highlight w:val="none"/>
              </w:rPr>
              <w:t>地址</w:t>
            </w:r>
          </w:p>
        </w:tc>
        <w:tc>
          <w:tcPr>
            <w:tcW w:w="5084" w:type="dxa"/>
            <w:gridSpan w:val="3"/>
            <w:vAlign w:val="center"/>
          </w:tcPr>
          <w:p w14:paraId="491B72B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1571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3D8CE402">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021BD8EA">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营业执照注册证号</w:t>
            </w:r>
          </w:p>
        </w:tc>
        <w:tc>
          <w:tcPr>
            <w:tcW w:w="5084" w:type="dxa"/>
            <w:gridSpan w:val="3"/>
            <w:vAlign w:val="center"/>
          </w:tcPr>
          <w:p w14:paraId="4D38B620">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44C9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31779E46">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78A7B142">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成立时间</w:t>
            </w:r>
          </w:p>
        </w:tc>
        <w:tc>
          <w:tcPr>
            <w:tcW w:w="5084" w:type="dxa"/>
            <w:gridSpan w:val="3"/>
            <w:vAlign w:val="center"/>
          </w:tcPr>
          <w:p w14:paraId="0F3726F4">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2DDA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67B87520">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3E4AE64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经营期限</w:t>
            </w:r>
          </w:p>
        </w:tc>
        <w:tc>
          <w:tcPr>
            <w:tcW w:w="5084" w:type="dxa"/>
            <w:gridSpan w:val="3"/>
            <w:vAlign w:val="center"/>
          </w:tcPr>
          <w:p w14:paraId="7DEA7BB2">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3F4D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658FAAD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6C9E6E36">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经营范围</w:t>
            </w:r>
          </w:p>
        </w:tc>
        <w:tc>
          <w:tcPr>
            <w:tcW w:w="5084" w:type="dxa"/>
            <w:gridSpan w:val="3"/>
            <w:vAlign w:val="center"/>
          </w:tcPr>
          <w:p w14:paraId="74307F40">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1860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restart"/>
            <w:vAlign w:val="center"/>
          </w:tcPr>
          <w:p w14:paraId="461CE17C">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w:t>
            </w:r>
          </w:p>
        </w:tc>
        <w:tc>
          <w:tcPr>
            <w:tcW w:w="2166" w:type="dxa"/>
            <w:vAlign w:val="center"/>
          </w:tcPr>
          <w:p w14:paraId="097721F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姓名</w:t>
            </w:r>
          </w:p>
        </w:tc>
        <w:tc>
          <w:tcPr>
            <w:tcW w:w="2117" w:type="dxa"/>
          </w:tcPr>
          <w:p w14:paraId="56EFCA4A">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caps/>
                <w:sz w:val="24"/>
                <w:szCs w:val="24"/>
                <w:highlight w:val="none"/>
              </w:rPr>
            </w:pPr>
          </w:p>
        </w:tc>
        <w:tc>
          <w:tcPr>
            <w:tcW w:w="1000" w:type="dxa"/>
            <w:vAlign w:val="center"/>
          </w:tcPr>
          <w:p w14:paraId="65546B3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性别</w:t>
            </w:r>
          </w:p>
        </w:tc>
        <w:tc>
          <w:tcPr>
            <w:tcW w:w="1967" w:type="dxa"/>
          </w:tcPr>
          <w:p w14:paraId="4282513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caps/>
                <w:sz w:val="24"/>
                <w:szCs w:val="24"/>
                <w:highlight w:val="none"/>
              </w:rPr>
            </w:pPr>
          </w:p>
        </w:tc>
      </w:tr>
      <w:tr w14:paraId="3CDB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44BA5B2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3EDFBCE3">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年龄</w:t>
            </w:r>
          </w:p>
        </w:tc>
        <w:tc>
          <w:tcPr>
            <w:tcW w:w="2117" w:type="dxa"/>
          </w:tcPr>
          <w:p w14:paraId="3BAA706A">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caps/>
                <w:sz w:val="24"/>
                <w:szCs w:val="24"/>
                <w:highlight w:val="none"/>
              </w:rPr>
            </w:pPr>
          </w:p>
        </w:tc>
        <w:tc>
          <w:tcPr>
            <w:tcW w:w="1000" w:type="dxa"/>
            <w:vAlign w:val="center"/>
          </w:tcPr>
          <w:p w14:paraId="471F6F44">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职务</w:t>
            </w:r>
          </w:p>
        </w:tc>
        <w:tc>
          <w:tcPr>
            <w:tcW w:w="1967" w:type="dxa"/>
          </w:tcPr>
          <w:p w14:paraId="5F36AF4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caps/>
                <w:sz w:val="24"/>
                <w:szCs w:val="24"/>
                <w:highlight w:val="none"/>
              </w:rPr>
            </w:pPr>
          </w:p>
        </w:tc>
      </w:tr>
      <w:tr w14:paraId="53E9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508F7D0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500F881C">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联系电话</w:t>
            </w:r>
          </w:p>
        </w:tc>
        <w:tc>
          <w:tcPr>
            <w:tcW w:w="5084" w:type="dxa"/>
            <w:gridSpan w:val="3"/>
            <w:vAlign w:val="center"/>
          </w:tcPr>
          <w:p w14:paraId="29C1056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6DAB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26" w:type="dxa"/>
            <w:vMerge w:val="continue"/>
            <w:vAlign w:val="center"/>
          </w:tcPr>
          <w:p w14:paraId="4950C1E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c>
          <w:tcPr>
            <w:tcW w:w="2166" w:type="dxa"/>
            <w:vAlign w:val="center"/>
          </w:tcPr>
          <w:p w14:paraId="13E1A5A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通讯地址</w:t>
            </w:r>
          </w:p>
        </w:tc>
        <w:tc>
          <w:tcPr>
            <w:tcW w:w="5084" w:type="dxa"/>
            <w:gridSpan w:val="3"/>
            <w:vAlign w:val="center"/>
          </w:tcPr>
          <w:p w14:paraId="23628354">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tc>
      </w:tr>
      <w:tr w14:paraId="1E8F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976" w:type="dxa"/>
            <w:gridSpan w:val="5"/>
          </w:tcPr>
          <w:p w14:paraId="32028C19">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p w14:paraId="3A06CFCE">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p>
          <w:p w14:paraId="6D514A9F">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法定代表人身份证复印件正、反面（粘贴处）</w:t>
            </w:r>
          </w:p>
          <w:p w14:paraId="63959645">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p>
        </w:tc>
      </w:tr>
      <w:tr w14:paraId="329A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76" w:type="dxa"/>
            <w:gridSpan w:val="5"/>
            <w:vAlign w:val="center"/>
          </w:tcPr>
          <w:p w14:paraId="59A40AB1">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法定代表人签字或盖章：</w:t>
            </w:r>
          </w:p>
        </w:tc>
      </w:tr>
    </w:tbl>
    <w:p w14:paraId="20B8BF6F">
      <w:pPr>
        <w:spacing w:line="360" w:lineRule="auto"/>
        <w:ind w:firstLine="2880" w:firstLineChars="1200"/>
        <w:jc w:val="left"/>
        <w:rPr>
          <w:rFonts w:hint="eastAsia" w:ascii="宋体" w:hAnsi="宋体" w:eastAsia="宋体" w:cs="宋体"/>
          <w:bCs/>
          <w:kern w:val="0"/>
          <w:szCs w:val="24"/>
          <w:highlight w:val="none"/>
        </w:rPr>
      </w:pPr>
    </w:p>
    <w:p w14:paraId="3223CD3E">
      <w:pPr>
        <w:spacing w:line="360" w:lineRule="auto"/>
        <w:ind w:firstLine="2880" w:firstLineChars="1200"/>
        <w:jc w:val="left"/>
        <w:rPr>
          <w:rFonts w:hint="eastAsia" w:ascii="宋体" w:hAnsi="宋体" w:eastAsia="宋体" w:cs="宋体"/>
          <w:sz w:val="24"/>
          <w:szCs w:val="24"/>
          <w:highlight w:val="none"/>
        </w:rPr>
      </w:pPr>
      <w:r>
        <w:rPr>
          <w:rFonts w:hint="eastAsia" w:ascii="宋体" w:hAnsi="宋体" w:eastAsia="宋体" w:cs="宋体"/>
          <w:bCs/>
          <w:kern w:val="0"/>
          <w:szCs w:val="24"/>
          <w:highlight w:val="none"/>
        </w:rPr>
        <w:t xml:space="preserve"> </w:t>
      </w:r>
      <w:r>
        <w:rPr>
          <w:rFonts w:hint="eastAsia" w:ascii="宋体" w:hAnsi="宋体" w:eastAsia="宋体" w:cs="宋体"/>
          <w:bCs/>
          <w:kern w:val="0"/>
          <w:szCs w:val="24"/>
          <w:highlight w:val="none"/>
          <w:lang w:val="en-US" w:eastAsia="zh-CN"/>
        </w:rPr>
        <w:t xml:space="preserve">  </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333D4BEF">
      <w:pPr>
        <w:spacing w:line="360" w:lineRule="auto"/>
        <w:ind w:firstLine="4320" w:firstLineChars="1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14:paraId="78A1C8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4"/>
          <w:szCs w:val="24"/>
          <w:highlight w:val="none"/>
          <w:lang w:eastAsia="zh-CN"/>
        </w:rPr>
      </w:pPr>
    </w:p>
    <w:p w14:paraId="78E62E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4"/>
          <w:szCs w:val="24"/>
          <w:highlight w:val="none"/>
          <w:lang w:eastAsia="zh-CN"/>
        </w:rPr>
      </w:pPr>
    </w:p>
    <w:p w14:paraId="256875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b/>
          <w:bCs/>
          <w:sz w:val="24"/>
          <w:szCs w:val="24"/>
          <w:highlight w:val="none"/>
          <w:lang w:eastAsia="zh-CN"/>
        </w:rPr>
        <w:t>注：</w:t>
      </w:r>
      <w:r>
        <w:rPr>
          <w:rFonts w:hint="eastAsia" w:ascii="宋体" w:hAnsi="宋体" w:eastAsia="宋体" w:cs="宋体"/>
          <w:b w:val="0"/>
          <w:bCs w:val="0"/>
          <w:sz w:val="24"/>
          <w:szCs w:val="24"/>
          <w:highlight w:val="none"/>
        </w:rPr>
        <w:t>仅限法定代表人参加投标时提供。</w:t>
      </w:r>
    </w:p>
    <w:p w14:paraId="61A97AC7">
      <w:pPr>
        <w:spacing w:line="360" w:lineRule="auto"/>
        <w:ind w:left="240" w:leftChars="100"/>
        <w:jc w:val="center"/>
        <w:outlineLvl w:val="1"/>
        <w:rPr>
          <w:rFonts w:hint="eastAsia" w:ascii="宋体" w:hAnsi="宋体" w:eastAsia="宋体" w:cs="宋体"/>
          <w:b/>
          <w:bCs/>
          <w:sz w:val="28"/>
          <w:szCs w:val="28"/>
          <w:highlight w:val="none"/>
          <w:lang w:val="en-US" w:eastAsia="zh-CN"/>
        </w:rPr>
      </w:pPr>
      <w:bookmarkStart w:id="581" w:name="_Toc14865"/>
      <w:bookmarkStart w:id="582" w:name="_Toc2116"/>
      <w:bookmarkStart w:id="583" w:name="_Toc1651"/>
      <w:bookmarkStart w:id="584" w:name="_Toc21473"/>
      <w:bookmarkStart w:id="585" w:name="_Toc25581"/>
      <w:bookmarkStart w:id="586" w:name="_Toc12984"/>
      <w:bookmarkStart w:id="587" w:name="_Toc26010"/>
      <w:r>
        <w:rPr>
          <w:rFonts w:hint="eastAsia" w:ascii="宋体" w:hAnsi="宋体" w:eastAsia="宋体" w:cs="宋体"/>
          <w:b/>
          <w:bCs/>
          <w:sz w:val="28"/>
          <w:szCs w:val="28"/>
          <w:highlight w:val="none"/>
          <w:lang w:val="en-US" w:eastAsia="zh-CN"/>
        </w:rPr>
        <w:t>二、法定代表人授权委托书</w:t>
      </w:r>
      <w:bookmarkEnd w:id="581"/>
      <w:bookmarkEnd w:id="582"/>
      <w:bookmarkEnd w:id="583"/>
      <w:bookmarkEnd w:id="584"/>
      <w:bookmarkEnd w:id="585"/>
      <w:bookmarkEnd w:id="586"/>
      <w:bookmarkEnd w:id="587"/>
    </w:p>
    <w:tbl>
      <w:tblPr>
        <w:tblStyle w:val="24"/>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66"/>
        <w:gridCol w:w="522"/>
        <w:gridCol w:w="762"/>
        <w:gridCol w:w="1729"/>
        <w:gridCol w:w="1225"/>
        <w:gridCol w:w="1862"/>
      </w:tblGrid>
      <w:tr w14:paraId="175B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51" w:type="dxa"/>
            <w:gridSpan w:val="7"/>
            <w:vAlign w:val="center"/>
          </w:tcPr>
          <w:p w14:paraId="57C3137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致：</w:t>
            </w:r>
            <w:r>
              <w:rPr>
                <w:rFonts w:hint="eastAsia" w:ascii="宋体" w:hAnsi="宋体" w:eastAsia="宋体" w:cs="宋体"/>
                <w:bCs/>
                <w:caps/>
                <w:sz w:val="24"/>
                <w:szCs w:val="24"/>
                <w:highlight w:val="none"/>
                <w:lang w:val="en-US" w:eastAsia="zh-CN"/>
              </w:rPr>
              <w:t>宝鸡市陈仓区渭河综合治理保护中心</w:t>
            </w:r>
          </w:p>
        </w:tc>
      </w:tr>
      <w:tr w14:paraId="7B2E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1FFEA7A7">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被授权项目与内容</w:t>
            </w:r>
          </w:p>
        </w:tc>
        <w:tc>
          <w:tcPr>
            <w:tcW w:w="1666" w:type="dxa"/>
            <w:tcBorders>
              <w:right w:val="single" w:color="auto" w:sz="4" w:space="0"/>
            </w:tcBorders>
            <w:vAlign w:val="center"/>
          </w:tcPr>
          <w:p w14:paraId="1997A4C5">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rPr>
              <w:t>项目名称</w:t>
            </w:r>
          </w:p>
        </w:tc>
        <w:tc>
          <w:tcPr>
            <w:tcW w:w="6100" w:type="dxa"/>
            <w:gridSpan w:val="5"/>
            <w:tcBorders>
              <w:left w:val="single" w:color="auto" w:sz="4" w:space="0"/>
            </w:tcBorders>
            <w:vAlign w:val="center"/>
          </w:tcPr>
          <w:p w14:paraId="0271D38F">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14:paraId="5D66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14:paraId="7B53FA2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14:paraId="401CACF1">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rPr>
              <w:t>项目</w:t>
            </w:r>
            <w:r>
              <w:rPr>
                <w:rFonts w:hint="eastAsia" w:ascii="宋体" w:hAnsi="宋体" w:eastAsia="宋体" w:cs="宋体"/>
                <w:bCs/>
                <w:caps/>
                <w:sz w:val="24"/>
                <w:szCs w:val="24"/>
                <w:lang w:eastAsia="zh-CN"/>
              </w:rPr>
              <w:t>编号</w:t>
            </w:r>
          </w:p>
        </w:tc>
        <w:tc>
          <w:tcPr>
            <w:tcW w:w="6100" w:type="dxa"/>
            <w:gridSpan w:val="5"/>
            <w:tcBorders>
              <w:left w:val="single" w:color="auto" w:sz="4" w:space="0"/>
            </w:tcBorders>
            <w:vAlign w:val="center"/>
          </w:tcPr>
          <w:p w14:paraId="241296AA">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firstLine="1200" w:firstLineChars="500"/>
              <w:jc w:val="both"/>
              <w:rPr>
                <w:rFonts w:hint="eastAsia" w:ascii="宋体" w:hAnsi="宋体" w:eastAsia="宋体" w:cs="宋体"/>
                <w:bCs/>
                <w:caps/>
                <w:sz w:val="24"/>
                <w:szCs w:val="24"/>
                <w:highlight w:val="none"/>
              </w:rPr>
            </w:pPr>
          </w:p>
        </w:tc>
      </w:tr>
      <w:tr w14:paraId="7279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85" w:type="dxa"/>
            <w:vMerge w:val="continue"/>
          </w:tcPr>
          <w:p w14:paraId="1CD643EE">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14:paraId="3A1900AB">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授权范围</w:t>
            </w:r>
          </w:p>
        </w:tc>
        <w:tc>
          <w:tcPr>
            <w:tcW w:w="6100" w:type="dxa"/>
            <w:gridSpan w:val="5"/>
            <w:tcBorders>
              <w:left w:val="single" w:color="auto" w:sz="4" w:space="0"/>
            </w:tcBorders>
            <w:vAlign w:val="center"/>
          </w:tcPr>
          <w:p w14:paraId="0A6DFB92">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全权办理本次招标项目的投标、联系、洽谈、签约、执行等具体事务，签署全部有关文件、文书、协议及合同。</w:t>
            </w:r>
          </w:p>
        </w:tc>
      </w:tr>
      <w:tr w14:paraId="6339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14:paraId="03630D2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14:paraId="35758351">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法律责任</w:t>
            </w:r>
          </w:p>
        </w:tc>
        <w:tc>
          <w:tcPr>
            <w:tcW w:w="6100" w:type="dxa"/>
            <w:gridSpan w:val="5"/>
            <w:tcBorders>
              <w:left w:val="single" w:color="auto" w:sz="4" w:space="0"/>
            </w:tcBorders>
            <w:vAlign w:val="center"/>
          </w:tcPr>
          <w:p w14:paraId="3E3E61A3">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本公司对被授权人在本项目中的签名承担全部法律责任。</w:t>
            </w:r>
          </w:p>
        </w:tc>
      </w:tr>
      <w:tr w14:paraId="2E9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14:paraId="449B6925">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14:paraId="3DB871DF">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授权期限</w:t>
            </w:r>
          </w:p>
        </w:tc>
        <w:tc>
          <w:tcPr>
            <w:tcW w:w="6100" w:type="dxa"/>
            <w:gridSpan w:val="5"/>
            <w:tcBorders>
              <w:left w:val="single" w:color="auto" w:sz="4" w:space="0"/>
            </w:tcBorders>
            <w:vAlign w:val="center"/>
          </w:tcPr>
          <w:p w14:paraId="466E6BD5">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14:paraId="43B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502C1326">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供应商</w:t>
            </w:r>
            <w:r>
              <w:rPr>
                <w:rFonts w:hint="eastAsia" w:ascii="宋体" w:hAnsi="宋体" w:eastAsia="宋体" w:cs="宋体"/>
                <w:bCs/>
                <w:caps/>
                <w:sz w:val="24"/>
                <w:szCs w:val="24"/>
                <w:highlight w:val="none"/>
              </w:rPr>
              <w:t>信息</w:t>
            </w:r>
          </w:p>
        </w:tc>
        <w:tc>
          <w:tcPr>
            <w:tcW w:w="2188" w:type="dxa"/>
            <w:gridSpan w:val="2"/>
            <w:vAlign w:val="center"/>
          </w:tcPr>
          <w:p w14:paraId="57D17974">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供应商</w:t>
            </w:r>
            <w:r>
              <w:rPr>
                <w:rFonts w:hint="eastAsia" w:ascii="宋体" w:hAnsi="宋体" w:eastAsia="宋体" w:cs="宋体"/>
                <w:bCs/>
                <w:caps/>
                <w:sz w:val="24"/>
                <w:szCs w:val="24"/>
                <w:highlight w:val="none"/>
              </w:rPr>
              <w:t>名称</w:t>
            </w:r>
          </w:p>
        </w:tc>
        <w:tc>
          <w:tcPr>
            <w:tcW w:w="5578" w:type="dxa"/>
            <w:gridSpan w:val="4"/>
            <w:vAlign w:val="center"/>
          </w:tcPr>
          <w:p w14:paraId="5474CAE3">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0533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431DD8F3">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188" w:type="dxa"/>
            <w:gridSpan w:val="2"/>
            <w:vAlign w:val="center"/>
          </w:tcPr>
          <w:p w14:paraId="6ECB1228">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注册</w:t>
            </w:r>
            <w:r>
              <w:rPr>
                <w:rFonts w:hint="eastAsia" w:ascii="宋体" w:hAnsi="宋体" w:eastAsia="宋体" w:cs="宋体"/>
                <w:bCs/>
                <w:caps/>
                <w:sz w:val="24"/>
                <w:szCs w:val="24"/>
                <w:highlight w:val="none"/>
              </w:rPr>
              <w:t>地址</w:t>
            </w:r>
          </w:p>
        </w:tc>
        <w:tc>
          <w:tcPr>
            <w:tcW w:w="2491" w:type="dxa"/>
            <w:gridSpan w:val="2"/>
            <w:vAlign w:val="center"/>
          </w:tcPr>
          <w:p w14:paraId="27607399">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60A2EDC1">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成立时间</w:t>
            </w:r>
          </w:p>
        </w:tc>
        <w:tc>
          <w:tcPr>
            <w:tcW w:w="1862" w:type="dxa"/>
            <w:vAlign w:val="center"/>
          </w:tcPr>
          <w:p w14:paraId="2937ED0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4B2F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35AF4AAE">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188" w:type="dxa"/>
            <w:gridSpan w:val="2"/>
            <w:vAlign w:val="center"/>
          </w:tcPr>
          <w:p w14:paraId="7CB5DFFB">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营业执照注册证号</w:t>
            </w:r>
          </w:p>
        </w:tc>
        <w:tc>
          <w:tcPr>
            <w:tcW w:w="2491" w:type="dxa"/>
            <w:gridSpan w:val="2"/>
            <w:vAlign w:val="center"/>
          </w:tcPr>
          <w:p w14:paraId="5CDAFCCE">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1C339CE6">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经营期限</w:t>
            </w:r>
          </w:p>
        </w:tc>
        <w:tc>
          <w:tcPr>
            <w:tcW w:w="1862" w:type="dxa"/>
            <w:vAlign w:val="center"/>
          </w:tcPr>
          <w:p w14:paraId="2C0F07DE">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76E3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0B4DBD32">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188" w:type="dxa"/>
            <w:gridSpan w:val="2"/>
            <w:vAlign w:val="center"/>
          </w:tcPr>
          <w:p w14:paraId="0105718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经营范围</w:t>
            </w:r>
          </w:p>
        </w:tc>
        <w:tc>
          <w:tcPr>
            <w:tcW w:w="5578" w:type="dxa"/>
            <w:gridSpan w:val="4"/>
            <w:vAlign w:val="center"/>
          </w:tcPr>
          <w:p w14:paraId="560C5F1F">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39C0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732C068C">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w:t>
            </w:r>
          </w:p>
        </w:tc>
        <w:tc>
          <w:tcPr>
            <w:tcW w:w="2188" w:type="dxa"/>
            <w:gridSpan w:val="2"/>
            <w:vAlign w:val="center"/>
          </w:tcPr>
          <w:p w14:paraId="38B3F07A">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姓名</w:t>
            </w:r>
          </w:p>
        </w:tc>
        <w:tc>
          <w:tcPr>
            <w:tcW w:w="2491" w:type="dxa"/>
            <w:gridSpan w:val="2"/>
            <w:vAlign w:val="center"/>
          </w:tcPr>
          <w:p w14:paraId="157D612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5D4E3DE5">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性别</w:t>
            </w:r>
          </w:p>
        </w:tc>
        <w:tc>
          <w:tcPr>
            <w:tcW w:w="1862" w:type="dxa"/>
            <w:vAlign w:val="center"/>
          </w:tcPr>
          <w:p w14:paraId="06871EB7">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3B08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75AF8632">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188" w:type="dxa"/>
            <w:gridSpan w:val="2"/>
            <w:vAlign w:val="center"/>
          </w:tcPr>
          <w:p w14:paraId="4D419B8F">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职务</w:t>
            </w:r>
          </w:p>
        </w:tc>
        <w:tc>
          <w:tcPr>
            <w:tcW w:w="2491" w:type="dxa"/>
            <w:gridSpan w:val="2"/>
            <w:vAlign w:val="center"/>
          </w:tcPr>
          <w:p w14:paraId="2167042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6FF487E1">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职务</w:t>
            </w:r>
          </w:p>
        </w:tc>
        <w:tc>
          <w:tcPr>
            <w:tcW w:w="1862" w:type="dxa"/>
            <w:vAlign w:val="center"/>
          </w:tcPr>
          <w:p w14:paraId="40055385">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4CDE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2B01728F">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w:t>
            </w:r>
          </w:p>
        </w:tc>
        <w:tc>
          <w:tcPr>
            <w:tcW w:w="2188" w:type="dxa"/>
            <w:gridSpan w:val="2"/>
            <w:vAlign w:val="center"/>
          </w:tcPr>
          <w:p w14:paraId="7BE308F0">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姓名</w:t>
            </w:r>
          </w:p>
        </w:tc>
        <w:tc>
          <w:tcPr>
            <w:tcW w:w="2491" w:type="dxa"/>
            <w:gridSpan w:val="2"/>
            <w:vAlign w:val="center"/>
          </w:tcPr>
          <w:p w14:paraId="1500354B">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6F92DFD6">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性别</w:t>
            </w:r>
          </w:p>
        </w:tc>
        <w:tc>
          <w:tcPr>
            <w:tcW w:w="1862" w:type="dxa"/>
            <w:vAlign w:val="center"/>
          </w:tcPr>
          <w:p w14:paraId="50DCCC3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3ED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22E8B27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188" w:type="dxa"/>
            <w:gridSpan w:val="2"/>
            <w:vAlign w:val="center"/>
          </w:tcPr>
          <w:p w14:paraId="3D309DBA">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职务</w:t>
            </w:r>
          </w:p>
        </w:tc>
        <w:tc>
          <w:tcPr>
            <w:tcW w:w="2491" w:type="dxa"/>
            <w:gridSpan w:val="2"/>
            <w:vAlign w:val="center"/>
          </w:tcPr>
          <w:p w14:paraId="66787429">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1225" w:type="dxa"/>
            <w:vAlign w:val="center"/>
          </w:tcPr>
          <w:p w14:paraId="38AF96A9">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职务</w:t>
            </w:r>
          </w:p>
        </w:tc>
        <w:tc>
          <w:tcPr>
            <w:tcW w:w="1862" w:type="dxa"/>
            <w:vAlign w:val="center"/>
          </w:tcPr>
          <w:p w14:paraId="73EEF426">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r>
      <w:tr w14:paraId="48D2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4435" w:type="dxa"/>
            <w:gridSpan w:val="4"/>
            <w:vAlign w:val="center"/>
          </w:tcPr>
          <w:p w14:paraId="1876670A">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法定代表人身份证正、反面</w:t>
            </w:r>
          </w:p>
          <w:p w14:paraId="4A10DA8D">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（复印件粘贴处）</w:t>
            </w:r>
          </w:p>
        </w:tc>
        <w:tc>
          <w:tcPr>
            <w:tcW w:w="4816" w:type="dxa"/>
            <w:gridSpan w:val="3"/>
            <w:vAlign w:val="center"/>
          </w:tcPr>
          <w:p w14:paraId="197EC707">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被授权人身份证正、反面</w:t>
            </w:r>
          </w:p>
          <w:p w14:paraId="6C5476D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（复印件粘贴处）</w:t>
            </w:r>
          </w:p>
        </w:tc>
      </w:tr>
      <w:tr w14:paraId="63B0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435" w:type="dxa"/>
            <w:gridSpan w:val="4"/>
            <w:tcBorders>
              <w:bottom w:val="single" w:color="auto" w:sz="4" w:space="0"/>
            </w:tcBorders>
            <w:vAlign w:val="center"/>
          </w:tcPr>
          <w:p w14:paraId="2EAE2471">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法定代表人签字或盖章：</w:t>
            </w:r>
          </w:p>
        </w:tc>
        <w:tc>
          <w:tcPr>
            <w:tcW w:w="4816" w:type="dxa"/>
            <w:gridSpan w:val="3"/>
            <w:tcBorders>
              <w:bottom w:val="single" w:color="auto" w:sz="4" w:space="0"/>
            </w:tcBorders>
            <w:vAlign w:val="center"/>
          </w:tcPr>
          <w:p w14:paraId="7CB7ECB3">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被授权人签字或盖章：</w:t>
            </w:r>
          </w:p>
        </w:tc>
      </w:tr>
      <w:bookmarkEnd w:id="571"/>
      <w:bookmarkEnd w:id="572"/>
      <w:bookmarkEnd w:id="573"/>
      <w:bookmarkEnd w:id="574"/>
      <w:bookmarkEnd w:id="575"/>
      <w:bookmarkEnd w:id="576"/>
      <w:bookmarkEnd w:id="577"/>
      <w:bookmarkEnd w:id="578"/>
      <w:bookmarkEnd w:id="579"/>
      <w:bookmarkEnd w:id="580"/>
    </w:tbl>
    <w:p w14:paraId="3848CA77">
      <w:pPr>
        <w:spacing w:line="276" w:lineRule="auto"/>
        <w:jc w:val="left"/>
        <w:rPr>
          <w:rFonts w:hint="eastAsia" w:ascii="宋体" w:hAnsi="宋体" w:eastAsia="宋体" w:cs="宋体"/>
          <w:bCs/>
          <w:kern w:val="0"/>
          <w:szCs w:val="24"/>
          <w:highlight w:val="none"/>
        </w:rPr>
      </w:pPr>
    </w:p>
    <w:p w14:paraId="60AFD837">
      <w:pPr>
        <w:spacing w:line="360" w:lineRule="auto"/>
        <w:ind w:firstLine="2880" w:firstLineChars="1200"/>
        <w:jc w:val="left"/>
        <w:rPr>
          <w:rFonts w:hint="eastAsia" w:ascii="宋体" w:hAnsi="宋体" w:eastAsia="宋体" w:cs="宋体"/>
          <w:sz w:val="24"/>
          <w:szCs w:val="24"/>
          <w:highlight w:val="none"/>
        </w:rPr>
      </w:pPr>
      <w:r>
        <w:rPr>
          <w:rFonts w:hint="eastAsia" w:ascii="宋体" w:hAnsi="宋体" w:eastAsia="宋体" w:cs="宋体"/>
          <w:bCs/>
          <w:kern w:val="0"/>
          <w:szCs w:val="24"/>
          <w:highlight w:val="none"/>
        </w:rPr>
        <w:t xml:space="preserve"> </w:t>
      </w:r>
      <w:r>
        <w:rPr>
          <w:rFonts w:hint="eastAsia" w:ascii="宋体" w:hAnsi="宋体" w:eastAsia="宋体" w:cs="宋体"/>
          <w:bCs/>
          <w:kern w:val="0"/>
          <w:szCs w:val="24"/>
          <w:highlight w:val="none"/>
          <w:lang w:val="en-US" w:eastAsia="zh-CN"/>
        </w:rPr>
        <w:t xml:space="preserve">            </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2F8051EC">
      <w:pPr>
        <w:spacing w:line="360" w:lineRule="auto"/>
        <w:ind w:firstLine="5280" w:firstLineChars="2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日</w:t>
      </w:r>
    </w:p>
    <w:p w14:paraId="2B14133C">
      <w:pPr>
        <w:pStyle w:val="2"/>
        <w:spacing w:line="240" w:lineRule="auto"/>
        <w:outlineLvl w:val="9"/>
        <w:rPr>
          <w:rFonts w:hint="eastAsia" w:ascii="宋体" w:hAnsi="宋体" w:eastAsia="宋体" w:cs="宋体"/>
          <w:highlight w:val="none"/>
        </w:rPr>
      </w:pPr>
    </w:p>
    <w:p w14:paraId="17B54557">
      <w:pPr>
        <w:pStyle w:val="14"/>
        <w:rPr>
          <w:rFonts w:hint="eastAsia" w:ascii="宋体" w:hAnsi="宋体" w:eastAsia="宋体" w:cs="宋体"/>
          <w:b w:val="0"/>
          <w:bCs w:val="0"/>
          <w:sz w:val="24"/>
          <w:szCs w:val="24"/>
          <w:highlight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b/>
          <w:bCs/>
          <w:sz w:val="24"/>
          <w:szCs w:val="24"/>
          <w:highlight w:val="none"/>
          <w:lang w:eastAsia="zh-CN"/>
        </w:rPr>
        <w:t>注：</w:t>
      </w:r>
      <w:r>
        <w:rPr>
          <w:rFonts w:hint="eastAsia" w:ascii="宋体" w:hAnsi="宋体" w:eastAsia="宋体" w:cs="宋体"/>
          <w:b w:val="0"/>
          <w:bCs w:val="0"/>
          <w:sz w:val="24"/>
          <w:szCs w:val="24"/>
          <w:highlight w:val="none"/>
          <w:lang w:eastAsia="zh-CN"/>
        </w:rPr>
        <w:t>授权代表参加投标时提供。</w:t>
      </w:r>
    </w:p>
    <w:p w14:paraId="298F7816">
      <w:pPr>
        <w:pStyle w:val="2"/>
        <w:jc w:val="center"/>
        <w:outlineLvl w:val="0"/>
        <w:rPr>
          <w:rFonts w:hint="eastAsia" w:asciiTheme="minorEastAsia" w:hAnsiTheme="minorEastAsia" w:eastAsiaTheme="minorEastAsia"/>
          <w:sz w:val="28"/>
          <w:szCs w:val="28"/>
          <w:highlight w:val="none"/>
          <w:lang w:eastAsia="zh-CN"/>
        </w:rPr>
      </w:pPr>
      <w:bookmarkStart w:id="588" w:name="_Toc5677"/>
      <w:bookmarkStart w:id="589" w:name="_Toc29133"/>
      <w:bookmarkStart w:id="590" w:name="_Toc7154"/>
      <w:bookmarkStart w:id="591" w:name="_Toc469"/>
      <w:bookmarkStart w:id="592" w:name="_Toc11190"/>
      <w:bookmarkStart w:id="593" w:name="_Toc31652"/>
      <w:bookmarkStart w:id="594" w:name="_Toc3649"/>
      <w:bookmarkStart w:id="595" w:name="_Toc30064"/>
      <w:bookmarkStart w:id="596" w:name="_Toc7879"/>
      <w:r>
        <w:rPr>
          <w:rFonts w:hint="eastAsia" w:asciiTheme="minorEastAsia" w:hAnsiTheme="minorEastAsia" w:eastAsiaTheme="minorEastAsia"/>
          <w:sz w:val="28"/>
          <w:szCs w:val="28"/>
          <w:highlight w:val="none"/>
          <w:lang w:eastAsia="zh-CN"/>
        </w:rPr>
        <w:t>三、开标一览表</w:t>
      </w:r>
      <w:bookmarkEnd w:id="588"/>
      <w:bookmarkEnd w:id="589"/>
      <w:bookmarkEnd w:id="590"/>
      <w:bookmarkEnd w:id="591"/>
      <w:bookmarkEnd w:id="592"/>
      <w:bookmarkEnd w:id="593"/>
      <w:bookmarkEnd w:id="594"/>
      <w:bookmarkEnd w:id="595"/>
      <w:bookmarkEnd w:id="596"/>
    </w:p>
    <w:tbl>
      <w:tblPr>
        <w:tblStyle w:val="25"/>
        <w:tblW w:w="914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7243"/>
      </w:tblGrid>
      <w:tr w14:paraId="1FABC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Align w:val="center"/>
          </w:tcPr>
          <w:p w14:paraId="3E2233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项目名称</w:t>
            </w:r>
          </w:p>
        </w:tc>
        <w:tc>
          <w:tcPr>
            <w:tcW w:w="7243" w:type="dxa"/>
            <w:vAlign w:val="center"/>
          </w:tcPr>
          <w:p w14:paraId="4E8E49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p>
        </w:tc>
      </w:tr>
      <w:tr w14:paraId="2D50E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Align w:val="center"/>
          </w:tcPr>
          <w:p w14:paraId="4A1E975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w:t>
            </w:r>
            <w:r>
              <w:rPr>
                <w:rFonts w:hint="eastAsia" w:ascii="宋体" w:hAnsi="宋体" w:eastAsia="宋体" w:cs="宋体"/>
                <w:b w:val="0"/>
                <w:bCs/>
                <w:sz w:val="24"/>
                <w:szCs w:val="24"/>
                <w:highlight w:val="none"/>
                <w:lang w:eastAsia="zh-CN"/>
              </w:rPr>
              <w:t>编号</w:t>
            </w:r>
          </w:p>
        </w:tc>
        <w:tc>
          <w:tcPr>
            <w:tcW w:w="7243" w:type="dxa"/>
            <w:vAlign w:val="center"/>
          </w:tcPr>
          <w:p w14:paraId="2F7BEE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p>
        </w:tc>
      </w:tr>
      <w:tr w14:paraId="71A15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Merge w:val="restart"/>
            <w:vAlign w:val="center"/>
          </w:tcPr>
          <w:p w14:paraId="251C8BD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投标总价</w:t>
            </w:r>
          </w:p>
          <w:p w14:paraId="3A2FBC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（人民币:元）</w:t>
            </w:r>
          </w:p>
        </w:tc>
        <w:tc>
          <w:tcPr>
            <w:tcW w:w="7243" w:type="dxa"/>
            <w:vAlign w:val="center"/>
          </w:tcPr>
          <w:p w14:paraId="61B23B4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（大写）：</w:t>
            </w:r>
          </w:p>
        </w:tc>
      </w:tr>
      <w:tr w14:paraId="67FF0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Merge w:val="continue"/>
            <w:vAlign w:val="center"/>
          </w:tcPr>
          <w:p w14:paraId="4B000B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rPr>
            </w:pPr>
          </w:p>
        </w:tc>
        <w:tc>
          <w:tcPr>
            <w:tcW w:w="7243" w:type="dxa"/>
            <w:vAlign w:val="center"/>
          </w:tcPr>
          <w:p w14:paraId="7A1DBBB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（小写）￥：</w:t>
            </w:r>
          </w:p>
        </w:tc>
      </w:tr>
      <w:tr w14:paraId="1585F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Align w:val="center"/>
          </w:tcPr>
          <w:p w14:paraId="3117494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服务期限</w:t>
            </w:r>
          </w:p>
        </w:tc>
        <w:tc>
          <w:tcPr>
            <w:tcW w:w="7243" w:type="dxa"/>
            <w:vAlign w:val="center"/>
          </w:tcPr>
          <w:p w14:paraId="2FB5AE2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p>
        </w:tc>
      </w:tr>
      <w:tr w14:paraId="1AB02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Align w:val="center"/>
          </w:tcPr>
          <w:p w14:paraId="312AD1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质量要求</w:t>
            </w:r>
          </w:p>
        </w:tc>
        <w:tc>
          <w:tcPr>
            <w:tcW w:w="7243" w:type="dxa"/>
            <w:vAlign w:val="center"/>
          </w:tcPr>
          <w:p w14:paraId="664133E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p>
        </w:tc>
      </w:tr>
      <w:tr w14:paraId="4797A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04" w:type="dxa"/>
            <w:vAlign w:val="center"/>
          </w:tcPr>
          <w:p w14:paraId="63CC4BF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备注</w:t>
            </w:r>
          </w:p>
        </w:tc>
        <w:tc>
          <w:tcPr>
            <w:tcW w:w="7243" w:type="dxa"/>
            <w:vAlign w:val="center"/>
          </w:tcPr>
          <w:p w14:paraId="7BC1CE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sz w:val="24"/>
                <w:szCs w:val="24"/>
                <w:highlight w:val="none"/>
              </w:rPr>
            </w:pPr>
          </w:p>
        </w:tc>
      </w:tr>
      <w:tr w14:paraId="702F1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147" w:type="dxa"/>
            <w:gridSpan w:val="2"/>
            <w:vAlign w:val="center"/>
          </w:tcPr>
          <w:p w14:paraId="3D3EF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eastAsia="zh-CN"/>
              </w:rPr>
              <w:t>投标</w:t>
            </w:r>
            <w:r>
              <w:rPr>
                <w:rFonts w:hint="eastAsia" w:ascii="宋体" w:hAnsi="宋体" w:eastAsia="宋体" w:cs="宋体"/>
                <w:bCs/>
                <w:kern w:val="0"/>
                <w:sz w:val="24"/>
                <w:szCs w:val="24"/>
                <w:highlight w:val="none"/>
              </w:rPr>
              <w:t>总报价以元为单位，大小写不一致时，以大写为准。</w:t>
            </w:r>
          </w:p>
          <w:p w14:paraId="1506F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.除可填报项目外对本开标一览表的任何修改将被视为非实质性响应投标而导致该投标被拒绝。</w:t>
            </w:r>
          </w:p>
        </w:tc>
      </w:tr>
    </w:tbl>
    <w:p w14:paraId="54F30031">
      <w:pPr>
        <w:spacing w:beforeLines="50" w:line="500" w:lineRule="exact"/>
        <w:jc w:val="left"/>
        <w:rPr>
          <w:rFonts w:cs="华文楷体" w:asciiTheme="minorEastAsia" w:hAnsiTheme="minorEastAsia"/>
          <w:bCs/>
          <w:kern w:val="0"/>
          <w:szCs w:val="24"/>
          <w:highlight w:val="none"/>
        </w:rPr>
      </w:pPr>
    </w:p>
    <w:p w14:paraId="63008ABC">
      <w:pPr>
        <w:spacing w:line="360" w:lineRule="auto"/>
        <w:jc w:val="left"/>
        <w:rPr>
          <w:rFonts w:hint="eastAsia" w:ascii="宋体" w:hAnsi="宋体" w:eastAsia="宋体" w:cs="宋体"/>
          <w:sz w:val="24"/>
          <w:szCs w:val="24"/>
          <w:highlight w:val="none"/>
        </w:rPr>
      </w:pPr>
      <w:r>
        <w:rPr>
          <w:rFonts w:hint="eastAsia" w:cs="华文楷体" w:asciiTheme="minorEastAsia" w:hAnsiTheme="minorEastAsia"/>
          <w:bCs/>
          <w:kern w:val="0"/>
          <w:szCs w:val="24"/>
          <w:highlight w:val="none"/>
        </w:rPr>
        <w:t xml:space="preserve">                        </w:t>
      </w:r>
      <w:r>
        <w:rPr>
          <w:rFonts w:hint="eastAsia" w:cs="华文楷体" w:asciiTheme="minorEastAsia" w:hAnsiTheme="minorEastAsia"/>
          <w:bCs/>
          <w:kern w:val="0"/>
          <w:szCs w:val="24"/>
          <w:highlight w:val="none"/>
          <w:lang w:val="en-US" w:eastAsia="zh-CN"/>
        </w:rPr>
        <w:t xml:space="preserve"> </w:t>
      </w:r>
      <w:r>
        <w:rPr>
          <w:rFonts w:hint="eastAsia" w:cs="华文楷体" w:asciiTheme="minorEastAsia" w:hAnsiTheme="minorEastAsia"/>
          <w:bCs/>
          <w:kern w:val="0"/>
          <w:szCs w:val="24"/>
          <w:highlight w:val="none"/>
        </w:rPr>
        <w:t xml:space="preserve"> </w:t>
      </w:r>
      <w:r>
        <w:rPr>
          <w:rFonts w:hint="eastAsia" w:cs="华文楷体" w:asciiTheme="minorEastAsia" w:hAnsiTheme="minorEastAsia"/>
          <w:bCs/>
          <w:kern w:val="0"/>
          <w:szCs w:val="24"/>
          <w:highlight w:val="none"/>
          <w:lang w:val="en-US" w:eastAsia="zh-CN"/>
        </w:rPr>
        <w:t xml:space="preserve"> </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04933D2A">
      <w:pPr>
        <w:spacing w:line="36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w:t>
      </w:r>
      <w:r>
        <w:rPr>
          <w:rFonts w:hint="eastAsia" w:cs="华文楷体" w:asciiTheme="minorEastAsia" w:hAnsiTheme="minorEastAsia" w:eastAsiaTheme="minorEastAsia"/>
          <w:sz w:val="24"/>
          <w:szCs w:val="24"/>
          <w:highlight w:val="none"/>
          <w:lang w:val="zh-CN"/>
        </w:rPr>
        <w:t>或授权代表：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（签字或盖章）</w:t>
      </w:r>
    </w:p>
    <w:p w14:paraId="6F9371B5">
      <w:pPr>
        <w:pStyle w:val="9"/>
        <w:spacing w:line="360" w:lineRule="auto"/>
        <w:ind w:firstLine="4080" w:firstLineChars="17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日</w:t>
      </w:r>
    </w:p>
    <w:p w14:paraId="578D7286">
      <w:pPr>
        <w:pStyle w:val="14"/>
        <w:rPr>
          <w:rFonts w:hint="eastAsia" w:ascii="宋体" w:hAnsi="宋体" w:eastAsia="宋体" w:cs="宋体"/>
          <w:b w:val="0"/>
          <w:bCs w:val="0"/>
          <w:sz w:val="24"/>
          <w:szCs w:val="24"/>
          <w:highlight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bookmarkEnd w:id="537"/>
    <w:bookmarkEnd w:id="538"/>
    <w:bookmarkEnd w:id="539"/>
    <w:bookmarkEnd w:id="540"/>
    <w:p w14:paraId="0D2735A6">
      <w:pPr>
        <w:pStyle w:val="2"/>
        <w:jc w:val="center"/>
        <w:outlineLvl w:val="0"/>
        <w:rPr>
          <w:rFonts w:hint="eastAsia" w:ascii="宋体" w:hAnsi="宋体" w:eastAsia="宋体" w:cs="宋体"/>
          <w:highlight w:val="none"/>
        </w:rPr>
      </w:pPr>
      <w:bookmarkStart w:id="597" w:name="_Toc8942"/>
      <w:bookmarkStart w:id="598" w:name="_Toc30375"/>
      <w:bookmarkStart w:id="599" w:name="_Toc23555"/>
      <w:bookmarkStart w:id="600" w:name="_Toc1568"/>
      <w:bookmarkStart w:id="601" w:name="_Toc23585"/>
      <w:bookmarkStart w:id="602" w:name="_Toc97"/>
      <w:bookmarkStart w:id="603" w:name="_Toc7371"/>
      <w:bookmarkStart w:id="604" w:name="_Toc167591047"/>
      <w:bookmarkStart w:id="605" w:name="_Toc167591334"/>
      <w:bookmarkStart w:id="606" w:name="_Toc170980457"/>
      <w:bookmarkStart w:id="607" w:name="_Toc154482483"/>
      <w:bookmarkStart w:id="608" w:name="_Toc30970"/>
      <w:bookmarkStart w:id="609" w:name="_Toc167591496"/>
      <w:bookmarkStart w:id="610" w:name="_Toc175032441"/>
      <w:bookmarkStart w:id="611" w:name="_Toc188808836"/>
      <w:bookmarkStart w:id="612" w:name="_Toc169838536"/>
      <w:bookmarkStart w:id="613" w:name="_Toc193126885"/>
      <w:bookmarkStart w:id="614" w:name="_Toc167849364"/>
      <w:bookmarkStart w:id="615" w:name="_Toc173549982"/>
      <w:bookmarkStart w:id="616" w:name="_Toc167591148"/>
      <w:bookmarkStart w:id="617" w:name="_Toc170980556"/>
      <w:bookmarkStart w:id="618" w:name="_Toc194663922"/>
      <w:bookmarkStart w:id="619" w:name="_Toc167590779"/>
      <w:bookmarkStart w:id="620" w:name="_Toc175033596"/>
      <w:bookmarkStart w:id="621" w:name="_Toc169846877"/>
      <w:bookmarkStart w:id="622" w:name="_Toc169846780"/>
      <w:bookmarkStart w:id="623" w:name="_Toc5721"/>
      <w:bookmarkStart w:id="624" w:name="_Toc193187101"/>
      <w:bookmarkStart w:id="625" w:name="_Toc193126889"/>
      <w:bookmarkStart w:id="626" w:name="_Toc194663926"/>
      <w:bookmarkStart w:id="627" w:name="_Toc193187105"/>
      <w:bookmarkStart w:id="628" w:name="_Toc188808840"/>
      <w:r>
        <w:rPr>
          <w:rFonts w:hint="eastAsia" w:asciiTheme="minorEastAsia" w:hAnsiTheme="minorEastAsia" w:eastAsiaTheme="minorEastAsia"/>
          <w:szCs w:val="28"/>
          <w:lang w:eastAsia="zh-CN"/>
        </w:rPr>
        <w:t>费用组成明细表</w:t>
      </w:r>
      <w:bookmarkEnd w:id="597"/>
    </w:p>
    <w:p w14:paraId="7B27913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项目名称：宝鸡市陈仓区渭河中游段绿化管护卫生保洁及设施管理项目</w:t>
      </w:r>
      <w:r>
        <w:rPr>
          <w:rFonts w:hint="eastAsia" w:ascii="宋体" w:hAnsi="宋体" w:eastAsia="宋体" w:cs="宋体"/>
          <w:b w:val="0"/>
          <w:bCs w:val="0"/>
          <w:sz w:val="21"/>
          <w:szCs w:val="21"/>
          <w:lang w:val="en-US" w:eastAsia="zh-CN"/>
        </w:rPr>
        <w:t xml:space="preserve">  </w:t>
      </w:r>
    </w:p>
    <w:p w14:paraId="00FA2DF0">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b w:val="0"/>
          <w:bCs w:val="0"/>
          <w:sz w:val="21"/>
          <w:szCs w:val="21"/>
          <w:lang w:val="en-US" w:eastAsia="zh-CN"/>
        </w:rPr>
      </w:pPr>
      <w:r>
        <w:rPr>
          <w:rFonts w:hint="eastAsia" w:ascii="宋体" w:hAnsi="宋体" w:eastAsia="宋体" w:cs="宋体"/>
          <w:b w:val="0"/>
          <w:bCs w:val="0"/>
          <w:sz w:val="21"/>
          <w:szCs w:val="21"/>
          <w:lang w:val="en-US" w:eastAsia="zh-CN"/>
        </w:rPr>
        <w:t>项目编号：ZYCCG-2024-020</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850"/>
        <w:gridCol w:w="900"/>
        <w:gridCol w:w="1333"/>
        <w:gridCol w:w="1291"/>
        <w:gridCol w:w="1239"/>
      </w:tblGrid>
      <w:tr w14:paraId="50B7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85" w:type="dxa"/>
            <w:noWrap w:val="0"/>
            <w:vAlign w:val="center"/>
          </w:tcPr>
          <w:p w14:paraId="38206E62">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850" w:type="dxa"/>
            <w:noWrap w:val="0"/>
            <w:vAlign w:val="center"/>
          </w:tcPr>
          <w:p w14:paraId="6573A813">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900" w:type="dxa"/>
            <w:noWrap w:val="0"/>
            <w:vAlign w:val="center"/>
          </w:tcPr>
          <w:p w14:paraId="25B8F4BD">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333" w:type="dxa"/>
            <w:noWrap w:val="0"/>
            <w:vAlign w:val="center"/>
          </w:tcPr>
          <w:p w14:paraId="6017051B">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291" w:type="dxa"/>
            <w:noWrap w:val="0"/>
            <w:vAlign w:val="center"/>
          </w:tcPr>
          <w:p w14:paraId="35480A9D">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239" w:type="dxa"/>
            <w:noWrap w:val="0"/>
            <w:vAlign w:val="center"/>
          </w:tcPr>
          <w:p w14:paraId="34386FAC">
            <w:pPr>
              <w:pStyle w:val="14"/>
              <w:keepNext w:val="0"/>
              <w:keepLines w:val="0"/>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合价（元）</w:t>
            </w:r>
          </w:p>
        </w:tc>
      </w:tr>
      <w:tr w14:paraId="1E0C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4AFB67D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3850" w:type="dxa"/>
            <w:noWrap w:val="0"/>
            <w:vAlign w:val="center"/>
          </w:tcPr>
          <w:p w14:paraId="27DCCDD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第一部分  绿化管护</w:t>
            </w:r>
          </w:p>
        </w:tc>
        <w:tc>
          <w:tcPr>
            <w:tcW w:w="900" w:type="dxa"/>
            <w:noWrap w:val="0"/>
            <w:vAlign w:val="center"/>
          </w:tcPr>
          <w:p w14:paraId="72A08AA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333" w:type="dxa"/>
            <w:noWrap w:val="0"/>
            <w:vAlign w:val="center"/>
          </w:tcPr>
          <w:p w14:paraId="74ACAAA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91" w:type="dxa"/>
            <w:noWrap w:val="0"/>
            <w:vAlign w:val="center"/>
          </w:tcPr>
          <w:p w14:paraId="1721A55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148DAFB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52D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0D101FEF">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w:t>
            </w:r>
          </w:p>
        </w:tc>
        <w:tc>
          <w:tcPr>
            <w:tcW w:w="3850" w:type="dxa"/>
            <w:noWrap w:val="0"/>
            <w:vAlign w:val="center"/>
          </w:tcPr>
          <w:p w14:paraId="1EC3242F">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堤顶绿化管护</w:t>
            </w:r>
          </w:p>
        </w:tc>
        <w:tc>
          <w:tcPr>
            <w:tcW w:w="900" w:type="dxa"/>
            <w:noWrap w:val="0"/>
            <w:vAlign w:val="center"/>
          </w:tcPr>
          <w:p w14:paraId="3B4F134E">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km</w:t>
            </w:r>
          </w:p>
        </w:tc>
        <w:tc>
          <w:tcPr>
            <w:tcW w:w="1333" w:type="dxa"/>
            <w:noWrap w:val="0"/>
            <w:vAlign w:val="center"/>
          </w:tcPr>
          <w:p w14:paraId="4DADE38F">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24.95</w:t>
            </w:r>
          </w:p>
        </w:tc>
        <w:tc>
          <w:tcPr>
            <w:tcW w:w="1291" w:type="dxa"/>
            <w:noWrap w:val="0"/>
            <w:vAlign w:val="center"/>
          </w:tcPr>
          <w:p w14:paraId="421C499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36A16C5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BA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12498A7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850" w:type="dxa"/>
            <w:noWrap w:val="0"/>
            <w:vAlign w:val="center"/>
          </w:tcPr>
          <w:p w14:paraId="4C6B212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城防段（西起凤凰大桥东至西秦村）</w:t>
            </w:r>
          </w:p>
        </w:tc>
        <w:tc>
          <w:tcPr>
            <w:tcW w:w="900" w:type="dxa"/>
            <w:noWrap w:val="0"/>
            <w:vAlign w:val="center"/>
          </w:tcPr>
          <w:p w14:paraId="31D1399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km</w:t>
            </w:r>
          </w:p>
        </w:tc>
        <w:tc>
          <w:tcPr>
            <w:tcW w:w="1333" w:type="dxa"/>
            <w:noWrap w:val="0"/>
            <w:vAlign w:val="center"/>
          </w:tcPr>
          <w:p w14:paraId="67DFA86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8.343</w:t>
            </w:r>
          </w:p>
        </w:tc>
        <w:tc>
          <w:tcPr>
            <w:tcW w:w="1291" w:type="dxa"/>
            <w:noWrap w:val="0"/>
            <w:vAlign w:val="center"/>
          </w:tcPr>
          <w:p w14:paraId="136C5A8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3D4331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2082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B77838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850" w:type="dxa"/>
            <w:noWrap w:val="0"/>
            <w:vAlign w:val="center"/>
          </w:tcPr>
          <w:p w14:paraId="5873310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堤顶中间2.5m绿化隔离带</w:t>
            </w:r>
          </w:p>
        </w:tc>
        <w:tc>
          <w:tcPr>
            <w:tcW w:w="900" w:type="dxa"/>
            <w:noWrap w:val="0"/>
            <w:vAlign w:val="center"/>
          </w:tcPr>
          <w:p w14:paraId="13C282A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12FF329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20858.00</w:t>
            </w:r>
          </w:p>
        </w:tc>
        <w:tc>
          <w:tcPr>
            <w:tcW w:w="1291" w:type="dxa"/>
            <w:noWrap w:val="0"/>
            <w:vAlign w:val="center"/>
          </w:tcPr>
          <w:p w14:paraId="58B28F7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B7C38C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0D8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492C89B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850" w:type="dxa"/>
            <w:noWrap w:val="0"/>
            <w:vAlign w:val="center"/>
          </w:tcPr>
          <w:p w14:paraId="0A30CF9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堤顶南侧1.0米绿化带</w:t>
            </w:r>
          </w:p>
        </w:tc>
        <w:tc>
          <w:tcPr>
            <w:tcW w:w="900" w:type="dxa"/>
            <w:noWrap w:val="0"/>
            <w:vAlign w:val="center"/>
          </w:tcPr>
          <w:p w14:paraId="0644D72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2EE6FE7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8343.00</w:t>
            </w:r>
          </w:p>
        </w:tc>
        <w:tc>
          <w:tcPr>
            <w:tcW w:w="1291" w:type="dxa"/>
            <w:noWrap w:val="0"/>
            <w:vAlign w:val="center"/>
          </w:tcPr>
          <w:p w14:paraId="62BA18B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78CCB8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2639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85" w:type="dxa"/>
            <w:noWrap w:val="0"/>
            <w:vAlign w:val="center"/>
          </w:tcPr>
          <w:p w14:paraId="480A52C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3850" w:type="dxa"/>
            <w:noWrap w:val="0"/>
            <w:vAlign w:val="center"/>
          </w:tcPr>
          <w:p w14:paraId="7F9BC36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南北两侧堤肩行道树及行道树</w:t>
            </w:r>
          </w:p>
          <w:p w14:paraId="20FD4B7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之间绿篱</w:t>
            </w:r>
          </w:p>
        </w:tc>
        <w:tc>
          <w:tcPr>
            <w:tcW w:w="900" w:type="dxa"/>
            <w:noWrap w:val="0"/>
            <w:vAlign w:val="center"/>
          </w:tcPr>
          <w:p w14:paraId="75BCF0C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320EF86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100116.00</w:t>
            </w:r>
          </w:p>
        </w:tc>
        <w:tc>
          <w:tcPr>
            <w:tcW w:w="1291" w:type="dxa"/>
            <w:noWrap w:val="0"/>
            <w:vAlign w:val="center"/>
          </w:tcPr>
          <w:p w14:paraId="0038BEE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34D6306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C3B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67AF8B1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850" w:type="dxa"/>
            <w:noWrap w:val="0"/>
            <w:vAlign w:val="center"/>
          </w:tcPr>
          <w:p w14:paraId="2FBA8CD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迎水坡、背水坡各约18米草</w:t>
            </w:r>
          </w:p>
        </w:tc>
        <w:tc>
          <w:tcPr>
            <w:tcW w:w="900" w:type="dxa"/>
            <w:noWrap w:val="0"/>
            <w:vAlign w:val="center"/>
          </w:tcPr>
          <w:p w14:paraId="45F8B7F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06B549D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300348.00</w:t>
            </w:r>
          </w:p>
        </w:tc>
        <w:tc>
          <w:tcPr>
            <w:tcW w:w="1291" w:type="dxa"/>
            <w:noWrap w:val="0"/>
            <w:vAlign w:val="center"/>
          </w:tcPr>
          <w:p w14:paraId="22E6BC1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5A12E93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054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785" w:type="dxa"/>
            <w:noWrap w:val="0"/>
            <w:vAlign w:val="center"/>
          </w:tcPr>
          <w:p w14:paraId="2E8084A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3850" w:type="dxa"/>
            <w:noWrap w:val="0"/>
            <w:vAlign w:val="center"/>
          </w:tcPr>
          <w:p w14:paraId="07182513">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迎水坡13处踏步两侧绿篱及坡面造型绿化</w:t>
            </w:r>
          </w:p>
        </w:tc>
        <w:tc>
          <w:tcPr>
            <w:tcW w:w="900" w:type="dxa"/>
            <w:noWrap w:val="0"/>
            <w:vAlign w:val="center"/>
          </w:tcPr>
          <w:p w14:paraId="3DDDE5A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39BDAD8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150174.00</w:t>
            </w:r>
          </w:p>
        </w:tc>
        <w:tc>
          <w:tcPr>
            <w:tcW w:w="1291" w:type="dxa"/>
            <w:noWrap w:val="0"/>
            <w:vAlign w:val="center"/>
          </w:tcPr>
          <w:p w14:paraId="39DD16D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47C5597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90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F1CD61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3850" w:type="dxa"/>
            <w:noWrap w:val="0"/>
            <w:vAlign w:val="center"/>
          </w:tcPr>
          <w:p w14:paraId="0E92200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补植、涂白、修剪、养护</w:t>
            </w:r>
          </w:p>
        </w:tc>
        <w:tc>
          <w:tcPr>
            <w:tcW w:w="900" w:type="dxa"/>
            <w:noWrap w:val="0"/>
            <w:vAlign w:val="center"/>
          </w:tcPr>
          <w:p w14:paraId="7E5EB36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km</w:t>
            </w:r>
          </w:p>
        </w:tc>
        <w:tc>
          <w:tcPr>
            <w:tcW w:w="1333" w:type="dxa"/>
            <w:noWrap w:val="0"/>
            <w:vAlign w:val="center"/>
          </w:tcPr>
          <w:p w14:paraId="6D493DD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8.343</w:t>
            </w:r>
          </w:p>
        </w:tc>
        <w:tc>
          <w:tcPr>
            <w:tcW w:w="1291" w:type="dxa"/>
            <w:noWrap w:val="0"/>
            <w:vAlign w:val="center"/>
          </w:tcPr>
          <w:p w14:paraId="79416FA3">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1239" w:type="dxa"/>
            <w:noWrap w:val="0"/>
            <w:vAlign w:val="center"/>
          </w:tcPr>
          <w:p w14:paraId="52B377A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2BD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222C7DF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3850" w:type="dxa"/>
            <w:noWrap w:val="0"/>
            <w:vAlign w:val="center"/>
          </w:tcPr>
          <w:p w14:paraId="1994E9F3">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清理垃圾</w:t>
            </w:r>
          </w:p>
        </w:tc>
        <w:tc>
          <w:tcPr>
            <w:tcW w:w="900" w:type="dxa"/>
            <w:noWrap w:val="0"/>
            <w:vAlign w:val="center"/>
          </w:tcPr>
          <w:p w14:paraId="3E0AAB4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km</w:t>
            </w:r>
          </w:p>
        </w:tc>
        <w:tc>
          <w:tcPr>
            <w:tcW w:w="1333" w:type="dxa"/>
            <w:noWrap w:val="0"/>
            <w:vAlign w:val="center"/>
          </w:tcPr>
          <w:p w14:paraId="34B275E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8.343</w:t>
            </w:r>
          </w:p>
        </w:tc>
        <w:tc>
          <w:tcPr>
            <w:tcW w:w="1291" w:type="dxa"/>
            <w:noWrap w:val="0"/>
            <w:vAlign w:val="center"/>
          </w:tcPr>
          <w:p w14:paraId="152209B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2E5C060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F74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19096E6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3850" w:type="dxa"/>
            <w:noWrap w:val="0"/>
            <w:vAlign w:val="center"/>
          </w:tcPr>
          <w:p w14:paraId="093727B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机械购置费、油料及低值易耗品</w:t>
            </w:r>
          </w:p>
        </w:tc>
        <w:tc>
          <w:tcPr>
            <w:tcW w:w="900" w:type="dxa"/>
            <w:noWrap w:val="0"/>
            <w:vAlign w:val="center"/>
          </w:tcPr>
          <w:p w14:paraId="4113337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333" w:type="dxa"/>
            <w:noWrap w:val="0"/>
            <w:vAlign w:val="center"/>
          </w:tcPr>
          <w:p w14:paraId="09C1AB7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91" w:type="dxa"/>
            <w:noWrap w:val="0"/>
            <w:vAlign w:val="center"/>
          </w:tcPr>
          <w:p w14:paraId="01FF0C7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36E99B0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2765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785" w:type="dxa"/>
            <w:noWrap w:val="0"/>
            <w:vAlign w:val="center"/>
          </w:tcPr>
          <w:p w14:paraId="7B4B678C">
            <w:pPr>
              <w:pStyle w:val="14"/>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w:t>
            </w:r>
          </w:p>
        </w:tc>
        <w:tc>
          <w:tcPr>
            <w:tcW w:w="3850" w:type="dxa"/>
            <w:noWrap w:val="0"/>
            <w:vAlign w:val="center"/>
          </w:tcPr>
          <w:p w14:paraId="45BDD716">
            <w:pPr>
              <w:pStyle w:val="14"/>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城防段（背水坡坡脚至滨河路人行道）</w:t>
            </w:r>
          </w:p>
        </w:tc>
        <w:tc>
          <w:tcPr>
            <w:tcW w:w="900" w:type="dxa"/>
            <w:noWrap w:val="0"/>
            <w:vAlign w:val="center"/>
          </w:tcPr>
          <w:p w14:paraId="08050D2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km</w:t>
            </w:r>
          </w:p>
        </w:tc>
        <w:tc>
          <w:tcPr>
            <w:tcW w:w="1333" w:type="dxa"/>
            <w:noWrap w:val="0"/>
            <w:vAlign w:val="center"/>
          </w:tcPr>
          <w:p w14:paraId="61D41550">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7.06</w:t>
            </w:r>
          </w:p>
        </w:tc>
        <w:tc>
          <w:tcPr>
            <w:tcW w:w="1291" w:type="dxa"/>
            <w:noWrap w:val="0"/>
            <w:vAlign w:val="center"/>
          </w:tcPr>
          <w:p w14:paraId="22A185F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01909B0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6C3E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85" w:type="dxa"/>
            <w:noWrap w:val="0"/>
            <w:vAlign w:val="center"/>
          </w:tcPr>
          <w:p w14:paraId="661ACA40">
            <w:pPr>
              <w:pStyle w:val="14"/>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w:t>
            </w:r>
          </w:p>
        </w:tc>
        <w:tc>
          <w:tcPr>
            <w:tcW w:w="3850" w:type="dxa"/>
            <w:noWrap w:val="0"/>
            <w:vAlign w:val="center"/>
          </w:tcPr>
          <w:p w14:paraId="1F64DCE5">
            <w:pPr>
              <w:pStyle w:val="14"/>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杂草清理</w:t>
            </w:r>
          </w:p>
        </w:tc>
        <w:tc>
          <w:tcPr>
            <w:tcW w:w="900" w:type="dxa"/>
            <w:noWrap w:val="0"/>
            <w:vAlign w:val="center"/>
          </w:tcPr>
          <w:p w14:paraId="16CA5B0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m²</w:t>
            </w:r>
          </w:p>
        </w:tc>
        <w:tc>
          <w:tcPr>
            <w:tcW w:w="1333" w:type="dxa"/>
            <w:noWrap w:val="0"/>
            <w:vAlign w:val="center"/>
          </w:tcPr>
          <w:p w14:paraId="4621162E">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70600.00</w:t>
            </w:r>
          </w:p>
        </w:tc>
        <w:tc>
          <w:tcPr>
            <w:tcW w:w="1291" w:type="dxa"/>
            <w:noWrap w:val="0"/>
            <w:vAlign w:val="center"/>
          </w:tcPr>
          <w:p w14:paraId="060A587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204D66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445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785" w:type="dxa"/>
            <w:noWrap w:val="0"/>
            <w:vAlign w:val="center"/>
          </w:tcPr>
          <w:p w14:paraId="14EA371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3850" w:type="dxa"/>
            <w:noWrap w:val="0"/>
            <w:vAlign w:val="center"/>
          </w:tcPr>
          <w:p w14:paraId="05510E2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农防段（西起西秦村，东至法士特大桥）</w:t>
            </w:r>
          </w:p>
        </w:tc>
        <w:tc>
          <w:tcPr>
            <w:tcW w:w="900" w:type="dxa"/>
            <w:noWrap w:val="0"/>
            <w:vAlign w:val="center"/>
          </w:tcPr>
          <w:p w14:paraId="3210E86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km</w:t>
            </w:r>
          </w:p>
        </w:tc>
        <w:tc>
          <w:tcPr>
            <w:tcW w:w="1333" w:type="dxa"/>
            <w:noWrap w:val="0"/>
            <w:vAlign w:val="center"/>
          </w:tcPr>
          <w:p w14:paraId="254DE87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16.607</w:t>
            </w:r>
          </w:p>
        </w:tc>
        <w:tc>
          <w:tcPr>
            <w:tcW w:w="1291" w:type="dxa"/>
            <w:noWrap w:val="0"/>
            <w:vAlign w:val="center"/>
          </w:tcPr>
          <w:p w14:paraId="4AFDF0B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1949941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4ED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53B740E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3850" w:type="dxa"/>
            <w:noWrap w:val="0"/>
            <w:vAlign w:val="center"/>
          </w:tcPr>
          <w:p w14:paraId="4995BD8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堤顶中间2.5m绿化隔离带</w:t>
            </w:r>
          </w:p>
        </w:tc>
        <w:tc>
          <w:tcPr>
            <w:tcW w:w="900" w:type="dxa"/>
            <w:noWrap w:val="0"/>
            <w:vAlign w:val="center"/>
          </w:tcPr>
          <w:p w14:paraId="7D0EA13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7EDF7D0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41518.00</w:t>
            </w:r>
          </w:p>
        </w:tc>
        <w:tc>
          <w:tcPr>
            <w:tcW w:w="1291" w:type="dxa"/>
            <w:noWrap w:val="0"/>
            <w:vAlign w:val="center"/>
          </w:tcPr>
          <w:p w14:paraId="1A6E25B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CC328F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B83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2D0AB5F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3850" w:type="dxa"/>
            <w:noWrap w:val="0"/>
            <w:vAlign w:val="center"/>
          </w:tcPr>
          <w:p w14:paraId="5ADB166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北侧1.0米绿化带</w:t>
            </w:r>
          </w:p>
        </w:tc>
        <w:tc>
          <w:tcPr>
            <w:tcW w:w="900" w:type="dxa"/>
            <w:noWrap w:val="0"/>
            <w:vAlign w:val="center"/>
          </w:tcPr>
          <w:p w14:paraId="7FB1D103">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258DD39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16607.00</w:t>
            </w:r>
          </w:p>
        </w:tc>
        <w:tc>
          <w:tcPr>
            <w:tcW w:w="1291" w:type="dxa"/>
            <w:noWrap w:val="0"/>
            <w:vAlign w:val="center"/>
          </w:tcPr>
          <w:p w14:paraId="6A9D261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67C3BD5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430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85" w:type="dxa"/>
            <w:noWrap w:val="0"/>
            <w:vAlign w:val="center"/>
          </w:tcPr>
          <w:p w14:paraId="51CF593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3.3</w:t>
            </w:r>
          </w:p>
        </w:tc>
        <w:tc>
          <w:tcPr>
            <w:tcW w:w="3850" w:type="dxa"/>
            <w:noWrap w:val="0"/>
            <w:vAlign w:val="center"/>
          </w:tcPr>
          <w:p w14:paraId="669B4CF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南北两侧堤肩行道树及行道树</w:t>
            </w:r>
          </w:p>
          <w:p w14:paraId="12DBC00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之间绿篱</w:t>
            </w:r>
          </w:p>
        </w:tc>
        <w:tc>
          <w:tcPr>
            <w:tcW w:w="900" w:type="dxa"/>
            <w:noWrap w:val="0"/>
            <w:vAlign w:val="center"/>
          </w:tcPr>
          <w:p w14:paraId="5FE5120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m²</w:t>
            </w:r>
          </w:p>
        </w:tc>
        <w:tc>
          <w:tcPr>
            <w:tcW w:w="1333" w:type="dxa"/>
            <w:noWrap w:val="0"/>
            <w:vAlign w:val="center"/>
          </w:tcPr>
          <w:p w14:paraId="0926F69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199284.00</w:t>
            </w:r>
          </w:p>
        </w:tc>
        <w:tc>
          <w:tcPr>
            <w:tcW w:w="1291" w:type="dxa"/>
            <w:noWrap w:val="0"/>
            <w:vAlign w:val="center"/>
          </w:tcPr>
          <w:p w14:paraId="785348F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2E4DECF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588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797A6C4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3850" w:type="dxa"/>
            <w:noWrap w:val="0"/>
            <w:vAlign w:val="center"/>
          </w:tcPr>
          <w:p w14:paraId="6728E14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迎水坡、背水坡各约18米草</w:t>
            </w:r>
          </w:p>
        </w:tc>
        <w:tc>
          <w:tcPr>
            <w:tcW w:w="900" w:type="dxa"/>
            <w:noWrap w:val="0"/>
            <w:vAlign w:val="center"/>
          </w:tcPr>
          <w:p w14:paraId="292DCD8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m²</w:t>
            </w:r>
          </w:p>
        </w:tc>
        <w:tc>
          <w:tcPr>
            <w:tcW w:w="1333" w:type="dxa"/>
            <w:noWrap w:val="0"/>
            <w:vAlign w:val="center"/>
          </w:tcPr>
          <w:p w14:paraId="6D5C0C0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597852.00</w:t>
            </w:r>
          </w:p>
        </w:tc>
        <w:tc>
          <w:tcPr>
            <w:tcW w:w="1291" w:type="dxa"/>
            <w:noWrap w:val="0"/>
            <w:vAlign w:val="center"/>
          </w:tcPr>
          <w:p w14:paraId="05DD5FF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710B8E7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5DE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0EC521E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3.5</w:t>
            </w:r>
          </w:p>
        </w:tc>
        <w:tc>
          <w:tcPr>
            <w:tcW w:w="3850" w:type="dxa"/>
            <w:noWrap w:val="0"/>
            <w:vAlign w:val="center"/>
          </w:tcPr>
          <w:p w14:paraId="1AC564C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补植、涂白、修剪、养护</w:t>
            </w:r>
          </w:p>
        </w:tc>
        <w:tc>
          <w:tcPr>
            <w:tcW w:w="900" w:type="dxa"/>
            <w:noWrap w:val="0"/>
            <w:vAlign w:val="center"/>
          </w:tcPr>
          <w:p w14:paraId="145EA9C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km</w:t>
            </w:r>
          </w:p>
        </w:tc>
        <w:tc>
          <w:tcPr>
            <w:tcW w:w="1333" w:type="dxa"/>
            <w:noWrap w:val="0"/>
            <w:vAlign w:val="center"/>
          </w:tcPr>
          <w:p w14:paraId="01B948A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16.607</w:t>
            </w:r>
          </w:p>
        </w:tc>
        <w:tc>
          <w:tcPr>
            <w:tcW w:w="1291" w:type="dxa"/>
            <w:noWrap w:val="0"/>
            <w:vAlign w:val="center"/>
          </w:tcPr>
          <w:p w14:paraId="360B06F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2337BE6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029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37F4E8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3850" w:type="dxa"/>
            <w:noWrap w:val="0"/>
            <w:vAlign w:val="center"/>
          </w:tcPr>
          <w:p w14:paraId="6F82E6A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清理垃圾</w:t>
            </w:r>
          </w:p>
        </w:tc>
        <w:tc>
          <w:tcPr>
            <w:tcW w:w="900" w:type="dxa"/>
            <w:noWrap w:val="0"/>
            <w:vAlign w:val="center"/>
          </w:tcPr>
          <w:p w14:paraId="6F70E72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km</w:t>
            </w:r>
          </w:p>
        </w:tc>
        <w:tc>
          <w:tcPr>
            <w:tcW w:w="1333" w:type="dxa"/>
            <w:noWrap w:val="0"/>
            <w:vAlign w:val="center"/>
          </w:tcPr>
          <w:p w14:paraId="4BFE2FB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16.607</w:t>
            </w:r>
          </w:p>
        </w:tc>
        <w:tc>
          <w:tcPr>
            <w:tcW w:w="1291" w:type="dxa"/>
            <w:noWrap w:val="0"/>
            <w:vAlign w:val="center"/>
          </w:tcPr>
          <w:p w14:paraId="548B214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18B6BDB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E0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53BF4E4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3850" w:type="dxa"/>
            <w:noWrap w:val="0"/>
            <w:vAlign w:val="center"/>
          </w:tcPr>
          <w:p w14:paraId="68C1D6D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机械购置费、油料及低值易耗品</w:t>
            </w:r>
          </w:p>
        </w:tc>
        <w:tc>
          <w:tcPr>
            <w:tcW w:w="900" w:type="dxa"/>
            <w:noWrap w:val="0"/>
            <w:vAlign w:val="center"/>
          </w:tcPr>
          <w:p w14:paraId="7A32762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333" w:type="dxa"/>
            <w:noWrap w:val="0"/>
            <w:vAlign w:val="center"/>
          </w:tcPr>
          <w:p w14:paraId="6344B4E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91" w:type="dxa"/>
            <w:noWrap w:val="0"/>
            <w:vAlign w:val="center"/>
          </w:tcPr>
          <w:p w14:paraId="244B922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0EE5EEC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110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134E2B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3.8</w:t>
            </w:r>
          </w:p>
        </w:tc>
        <w:tc>
          <w:tcPr>
            <w:tcW w:w="3850" w:type="dxa"/>
            <w:noWrap w:val="0"/>
            <w:vAlign w:val="center"/>
          </w:tcPr>
          <w:p w14:paraId="3B92CD8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滩区绿植（子堤到堤角所有范围）</w:t>
            </w:r>
          </w:p>
        </w:tc>
        <w:tc>
          <w:tcPr>
            <w:tcW w:w="900" w:type="dxa"/>
            <w:noWrap w:val="0"/>
            <w:vAlign w:val="center"/>
          </w:tcPr>
          <w:p w14:paraId="0F708CC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w:t>
            </w:r>
          </w:p>
        </w:tc>
        <w:tc>
          <w:tcPr>
            <w:tcW w:w="1333" w:type="dxa"/>
            <w:noWrap w:val="0"/>
            <w:vAlign w:val="center"/>
          </w:tcPr>
          <w:p w14:paraId="74C1D607">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1.00</w:t>
            </w:r>
          </w:p>
        </w:tc>
        <w:tc>
          <w:tcPr>
            <w:tcW w:w="1291" w:type="dxa"/>
            <w:noWrap w:val="0"/>
            <w:vAlign w:val="center"/>
          </w:tcPr>
          <w:p w14:paraId="170523D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yellow"/>
                <w:vertAlign w:val="baseline"/>
                <w:lang w:val="en-US" w:eastAsia="zh-CN"/>
              </w:rPr>
            </w:pPr>
          </w:p>
        </w:tc>
        <w:tc>
          <w:tcPr>
            <w:tcW w:w="1239" w:type="dxa"/>
            <w:noWrap w:val="0"/>
            <w:vAlign w:val="center"/>
          </w:tcPr>
          <w:p w14:paraId="08B817D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088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2A8B0B2F">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w:t>
            </w:r>
          </w:p>
        </w:tc>
        <w:tc>
          <w:tcPr>
            <w:tcW w:w="3850" w:type="dxa"/>
            <w:noWrap w:val="0"/>
            <w:vAlign w:val="center"/>
          </w:tcPr>
          <w:p w14:paraId="780EBD0A">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渭河生态运动公园绿化管护</w:t>
            </w:r>
          </w:p>
        </w:tc>
        <w:tc>
          <w:tcPr>
            <w:tcW w:w="900" w:type="dxa"/>
            <w:noWrap w:val="0"/>
            <w:vAlign w:val="center"/>
          </w:tcPr>
          <w:p w14:paraId="56A8D170">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km</w:t>
            </w:r>
          </w:p>
        </w:tc>
        <w:tc>
          <w:tcPr>
            <w:tcW w:w="1333" w:type="dxa"/>
            <w:noWrap w:val="0"/>
            <w:vAlign w:val="center"/>
          </w:tcPr>
          <w:p w14:paraId="230AA0D9">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7.06</w:t>
            </w:r>
          </w:p>
        </w:tc>
        <w:tc>
          <w:tcPr>
            <w:tcW w:w="1291" w:type="dxa"/>
            <w:noWrap w:val="0"/>
            <w:vAlign w:val="center"/>
          </w:tcPr>
          <w:p w14:paraId="3EB57C7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4EE060C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C71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85" w:type="dxa"/>
            <w:noWrap w:val="0"/>
            <w:vAlign w:val="center"/>
          </w:tcPr>
          <w:p w14:paraId="2A311B34">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三</w:t>
            </w:r>
          </w:p>
        </w:tc>
        <w:tc>
          <w:tcPr>
            <w:tcW w:w="3850" w:type="dxa"/>
            <w:noWrap w:val="0"/>
            <w:vAlign w:val="center"/>
          </w:tcPr>
          <w:p w14:paraId="49522364">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中水湿地绿化管护（东西长2.3公里，南北宽约100米）</w:t>
            </w:r>
          </w:p>
        </w:tc>
        <w:tc>
          <w:tcPr>
            <w:tcW w:w="900" w:type="dxa"/>
            <w:noWrap w:val="0"/>
            <w:vAlign w:val="center"/>
          </w:tcPr>
          <w:p w14:paraId="60FDEE06">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km</w:t>
            </w:r>
          </w:p>
        </w:tc>
        <w:tc>
          <w:tcPr>
            <w:tcW w:w="1333" w:type="dxa"/>
            <w:noWrap w:val="0"/>
            <w:vAlign w:val="center"/>
          </w:tcPr>
          <w:p w14:paraId="0D638789">
            <w:pPr>
              <w:pStyle w:val="14"/>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c>
          <w:tcPr>
            <w:tcW w:w="1291" w:type="dxa"/>
            <w:noWrap w:val="0"/>
            <w:vAlign w:val="center"/>
          </w:tcPr>
          <w:p w14:paraId="468B8D03">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5631DB3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E2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280AE08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四</w:t>
            </w:r>
          </w:p>
        </w:tc>
        <w:tc>
          <w:tcPr>
            <w:tcW w:w="3850" w:type="dxa"/>
            <w:noWrap w:val="0"/>
            <w:vAlign w:val="center"/>
          </w:tcPr>
          <w:p w14:paraId="4D16EF7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苗圃绿化管护</w:t>
            </w:r>
          </w:p>
        </w:tc>
        <w:tc>
          <w:tcPr>
            <w:tcW w:w="900" w:type="dxa"/>
            <w:noWrap w:val="0"/>
            <w:vAlign w:val="center"/>
          </w:tcPr>
          <w:p w14:paraId="2901B24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w:t>
            </w:r>
          </w:p>
        </w:tc>
        <w:tc>
          <w:tcPr>
            <w:tcW w:w="1333" w:type="dxa"/>
            <w:noWrap w:val="0"/>
            <w:vAlign w:val="center"/>
          </w:tcPr>
          <w:p w14:paraId="47FFC81B">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1.00</w:t>
            </w:r>
          </w:p>
        </w:tc>
        <w:tc>
          <w:tcPr>
            <w:tcW w:w="1291" w:type="dxa"/>
            <w:noWrap w:val="0"/>
            <w:vAlign w:val="center"/>
          </w:tcPr>
          <w:p w14:paraId="23CA446B">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0407A4A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725C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AE1151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3850" w:type="dxa"/>
            <w:noWrap w:val="0"/>
            <w:vAlign w:val="center"/>
          </w:tcPr>
          <w:p w14:paraId="2618443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第二部分  卫生保洁</w:t>
            </w:r>
          </w:p>
        </w:tc>
        <w:tc>
          <w:tcPr>
            <w:tcW w:w="900" w:type="dxa"/>
            <w:noWrap w:val="0"/>
            <w:vAlign w:val="center"/>
          </w:tcPr>
          <w:p w14:paraId="0A5ACB4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333" w:type="dxa"/>
            <w:noWrap w:val="0"/>
            <w:vAlign w:val="center"/>
          </w:tcPr>
          <w:p w14:paraId="2B01120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91" w:type="dxa"/>
            <w:noWrap w:val="0"/>
            <w:vAlign w:val="center"/>
          </w:tcPr>
          <w:p w14:paraId="57D9E83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58B8767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4BC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3ECEC4A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w:t>
            </w:r>
          </w:p>
        </w:tc>
        <w:tc>
          <w:tcPr>
            <w:tcW w:w="3850" w:type="dxa"/>
            <w:noWrap w:val="0"/>
            <w:vAlign w:val="center"/>
          </w:tcPr>
          <w:p w14:paraId="4CCB7C3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管理人员费用</w:t>
            </w:r>
          </w:p>
        </w:tc>
        <w:tc>
          <w:tcPr>
            <w:tcW w:w="900" w:type="dxa"/>
            <w:noWrap w:val="0"/>
            <w:vAlign w:val="center"/>
          </w:tcPr>
          <w:p w14:paraId="36BF688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年/人</w:t>
            </w:r>
          </w:p>
        </w:tc>
        <w:tc>
          <w:tcPr>
            <w:tcW w:w="1333" w:type="dxa"/>
            <w:noWrap w:val="0"/>
            <w:vAlign w:val="center"/>
          </w:tcPr>
          <w:p w14:paraId="63C2EDCC">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r>
              <w:rPr>
                <w:rFonts w:hint="eastAsia" w:ascii="宋体" w:hAnsi="宋体" w:cs="宋体"/>
                <w:sz w:val="24"/>
                <w:szCs w:val="24"/>
                <w:vertAlign w:val="baseline"/>
                <w:lang w:val="en-US" w:eastAsia="zh-CN"/>
              </w:rPr>
              <w:t>.00</w:t>
            </w:r>
          </w:p>
        </w:tc>
        <w:tc>
          <w:tcPr>
            <w:tcW w:w="1291" w:type="dxa"/>
            <w:noWrap w:val="0"/>
            <w:vAlign w:val="center"/>
          </w:tcPr>
          <w:p w14:paraId="74053DE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73550F90">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2900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59DB323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二</w:t>
            </w:r>
          </w:p>
        </w:tc>
        <w:tc>
          <w:tcPr>
            <w:tcW w:w="3850" w:type="dxa"/>
            <w:noWrap w:val="0"/>
            <w:vAlign w:val="center"/>
          </w:tcPr>
          <w:p w14:paraId="489D7A2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卫生保洁人员费用</w:t>
            </w:r>
          </w:p>
        </w:tc>
        <w:tc>
          <w:tcPr>
            <w:tcW w:w="900" w:type="dxa"/>
            <w:noWrap w:val="0"/>
            <w:vAlign w:val="center"/>
          </w:tcPr>
          <w:p w14:paraId="24A52ED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年/人</w:t>
            </w:r>
          </w:p>
        </w:tc>
        <w:tc>
          <w:tcPr>
            <w:tcW w:w="1333" w:type="dxa"/>
            <w:noWrap w:val="0"/>
            <w:vAlign w:val="center"/>
          </w:tcPr>
          <w:p w14:paraId="140A1E68">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46</w:t>
            </w:r>
            <w:r>
              <w:rPr>
                <w:rFonts w:hint="eastAsia" w:ascii="宋体" w:hAnsi="宋体" w:cs="宋体"/>
                <w:sz w:val="24"/>
                <w:szCs w:val="24"/>
                <w:highlight w:val="none"/>
                <w:vertAlign w:val="baseline"/>
                <w:lang w:val="en-US" w:eastAsia="zh-CN"/>
              </w:rPr>
              <w:t>.00</w:t>
            </w:r>
          </w:p>
        </w:tc>
        <w:tc>
          <w:tcPr>
            <w:tcW w:w="1291" w:type="dxa"/>
            <w:noWrap w:val="0"/>
            <w:vAlign w:val="center"/>
          </w:tcPr>
          <w:p w14:paraId="78F5F65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2D8AB71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C1C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5962A1C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w:t>
            </w:r>
          </w:p>
        </w:tc>
        <w:tc>
          <w:tcPr>
            <w:tcW w:w="3850" w:type="dxa"/>
            <w:noWrap w:val="0"/>
            <w:vAlign w:val="center"/>
          </w:tcPr>
          <w:p w14:paraId="183C21C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卫生保洁用具</w:t>
            </w:r>
          </w:p>
        </w:tc>
        <w:tc>
          <w:tcPr>
            <w:tcW w:w="900" w:type="dxa"/>
            <w:noWrap w:val="0"/>
            <w:vAlign w:val="center"/>
          </w:tcPr>
          <w:p w14:paraId="69E04727">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333" w:type="dxa"/>
            <w:noWrap w:val="0"/>
            <w:vAlign w:val="center"/>
          </w:tcPr>
          <w:p w14:paraId="79F70F4D">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91" w:type="dxa"/>
            <w:noWrap w:val="0"/>
            <w:vAlign w:val="center"/>
          </w:tcPr>
          <w:p w14:paraId="5AD9A36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4E0FC354">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4E7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4C53B2E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3850" w:type="dxa"/>
            <w:noWrap w:val="0"/>
            <w:vAlign w:val="center"/>
          </w:tcPr>
          <w:p w14:paraId="6CE1473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900" w:type="dxa"/>
            <w:noWrap w:val="0"/>
            <w:vAlign w:val="center"/>
          </w:tcPr>
          <w:p w14:paraId="2CAF1BAA">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1333" w:type="dxa"/>
            <w:noWrap w:val="0"/>
            <w:vAlign w:val="center"/>
          </w:tcPr>
          <w:p w14:paraId="2C2412D8">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1291" w:type="dxa"/>
            <w:noWrap w:val="0"/>
            <w:vAlign w:val="center"/>
          </w:tcPr>
          <w:p w14:paraId="291E9342">
            <w:pPr>
              <w:pStyle w:val="14"/>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vertAlign w:val="baseline"/>
                <w:lang w:val="en-US" w:eastAsia="zh-CN"/>
              </w:rPr>
            </w:pPr>
          </w:p>
        </w:tc>
        <w:tc>
          <w:tcPr>
            <w:tcW w:w="1239" w:type="dxa"/>
            <w:noWrap w:val="0"/>
            <w:vAlign w:val="center"/>
          </w:tcPr>
          <w:p w14:paraId="0B2EBC3F">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r>
      <w:tr w14:paraId="2E4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06BF33BC">
            <w:pPr>
              <w:pStyle w:val="14"/>
              <w:keepNext w:val="0"/>
              <w:keepLines w:val="0"/>
              <w:suppressLineNumbers w:val="0"/>
              <w:spacing w:before="0" w:beforeAutospacing="0" w:after="0" w:afterAutospacing="0"/>
              <w:ind w:left="0" w:right="0"/>
              <w:jc w:val="center"/>
              <w:rPr>
                <w:rFonts w:hint="eastAsia" w:ascii="宋体" w:hAnsi="宋体" w:cs="宋体"/>
                <w:sz w:val="24"/>
                <w:szCs w:val="24"/>
                <w:highlight w:val="none"/>
                <w:vertAlign w:val="baseline"/>
                <w:lang w:val="en-US" w:eastAsia="zh-CN"/>
              </w:rPr>
            </w:pPr>
          </w:p>
        </w:tc>
        <w:tc>
          <w:tcPr>
            <w:tcW w:w="3850" w:type="dxa"/>
            <w:noWrap w:val="0"/>
            <w:vAlign w:val="center"/>
          </w:tcPr>
          <w:p w14:paraId="528DF703">
            <w:pPr>
              <w:pStyle w:val="14"/>
              <w:keepNext w:val="0"/>
              <w:keepLines w:val="0"/>
              <w:suppressLineNumbers w:val="0"/>
              <w:spacing w:before="0" w:beforeAutospacing="0" w:after="0" w:afterAutospacing="0"/>
              <w:ind w:left="0" w:right="0"/>
              <w:jc w:val="center"/>
              <w:rPr>
                <w:rFonts w:hint="eastAsia" w:ascii="宋体" w:hAnsi="宋体" w:cs="宋体"/>
                <w:sz w:val="24"/>
                <w:szCs w:val="24"/>
                <w:highlight w:val="none"/>
                <w:vertAlign w:val="baseline"/>
                <w:lang w:val="en-US" w:eastAsia="zh-CN"/>
              </w:rPr>
            </w:pPr>
          </w:p>
        </w:tc>
        <w:tc>
          <w:tcPr>
            <w:tcW w:w="900" w:type="dxa"/>
            <w:noWrap w:val="0"/>
            <w:vAlign w:val="center"/>
          </w:tcPr>
          <w:p w14:paraId="650170F2">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1333" w:type="dxa"/>
            <w:noWrap w:val="0"/>
            <w:vAlign w:val="center"/>
          </w:tcPr>
          <w:p w14:paraId="2E11A2E7">
            <w:pPr>
              <w:pStyle w:val="14"/>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highlight w:val="none"/>
                <w:vertAlign w:val="baseline"/>
                <w:lang w:val="en-US" w:eastAsia="zh-CN"/>
              </w:rPr>
            </w:pPr>
          </w:p>
        </w:tc>
        <w:tc>
          <w:tcPr>
            <w:tcW w:w="1291" w:type="dxa"/>
            <w:noWrap w:val="0"/>
            <w:vAlign w:val="center"/>
          </w:tcPr>
          <w:p w14:paraId="18A729A7">
            <w:pPr>
              <w:pStyle w:val="14"/>
              <w:keepNext w:val="0"/>
              <w:keepLines w:val="0"/>
              <w:suppressLineNumbers w:val="0"/>
              <w:spacing w:before="0" w:beforeAutospacing="0" w:after="0" w:afterAutospacing="0"/>
              <w:ind w:left="0" w:leftChars="0" w:right="0" w:rightChars="0"/>
              <w:jc w:val="center"/>
              <w:rPr>
                <w:rFonts w:hint="eastAsia" w:ascii="宋体" w:hAnsi="宋体" w:cs="宋体"/>
                <w:sz w:val="24"/>
                <w:szCs w:val="24"/>
                <w:highlight w:val="none"/>
                <w:vertAlign w:val="baseline"/>
                <w:lang w:val="en-US" w:eastAsia="zh-CN"/>
              </w:rPr>
            </w:pPr>
          </w:p>
        </w:tc>
        <w:tc>
          <w:tcPr>
            <w:tcW w:w="1239" w:type="dxa"/>
            <w:noWrap w:val="0"/>
            <w:vAlign w:val="center"/>
          </w:tcPr>
          <w:p w14:paraId="7CF7EB4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r>
      <w:tr w14:paraId="03C6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5" w:type="dxa"/>
            <w:noWrap w:val="0"/>
            <w:vAlign w:val="center"/>
          </w:tcPr>
          <w:p w14:paraId="6730F05C">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3850" w:type="dxa"/>
            <w:noWrap w:val="0"/>
            <w:vAlign w:val="center"/>
          </w:tcPr>
          <w:p w14:paraId="763D47D5">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900" w:type="dxa"/>
            <w:noWrap w:val="0"/>
            <w:vAlign w:val="center"/>
          </w:tcPr>
          <w:p w14:paraId="558EFB56">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333" w:type="dxa"/>
            <w:noWrap w:val="0"/>
            <w:vAlign w:val="center"/>
          </w:tcPr>
          <w:p w14:paraId="46F917B9">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91" w:type="dxa"/>
            <w:noWrap w:val="0"/>
            <w:vAlign w:val="center"/>
          </w:tcPr>
          <w:p w14:paraId="2C92546E">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1239" w:type="dxa"/>
            <w:noWrap w:val="0"/>
            <w:vAlign w:val="center"/>
          </w:tcPr>
          <w:p w14:paraId="0905D861">
            <w:pPr>
              <w:pStyle w:val="14"/>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bl>
    <w:p w14:paraId="15AFC004">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highlight w:val="none"/>
          <w:lang w:eastAsia="zh-CN"/>
        </w:rPr>
      </w:pPr>
    </w:p>
    <w:p w14:paraId="0E78A485">
      <w:pPr>
        <w:pageBreakBefore w:val="0"/>
        <w:widowControl w:val="0"/>
        <w:kinsoku/>
        <w:wordWrap/>
        <w:overflowPunct/>
        <w:topLinePunct w:val="0"/>
        <w:autoSpaceDE/>
        <w:autoSpaceDN/>
        <w:bidi w:val="0"/>
        <w:adjustRightInd/>
        <w:snapToGrid/>
        <w:spacing w:line="360" w:lineRule="auto"/>
        <w:ind w:firstLine="3600" w:firstLineChars="1500"/>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547D83D7">
      <w:pPr>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w:t>
      </w:r>
      <w:r>
        <w:rPr>
          <w:rFonts w:hint="eastAsia" w:cs="华文楷体" w:asciiTheme="minorEastAsia" w:hAnsiTheme="minorEastAsia" w:eastAsiaTheme="minorEastAsia"/>
          <w:sz w:val="24"/>
          <w:szCs w:val="24"/>
          <w:highlight w:val="none"/>
          <w:lang w:val="zh-CN"/>
        </w:rPr>
        <w:t>或授权代表：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（签字或盖章）</w:t>
      </w:r>
    </w:p>
    <w:p w14:paraId="3209D280">
      <w:pPr>
        <w:pStyle w:val="2"/>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single"/>
        </w:rPr>
        <w:t xml:space="preserve">       </w:t>
      </w:r>
      <w:bookmarkStart w:id="629" w:name="_Toc12127"/>
      <w:bookmarkStart w:id="630" w:name="_Toc26369"/>
      <w:bookmarkStart w:id="631" w:name="_Toc13769"/>
      <w:bookmarkStart w:id="632" w:name="_Toc1831"/>
      <w:bookmarkStart w:id="633" w:name="_Toc13296"/>
      <w:bookmarkStart w:id="634" w:name="_Toc31850"/>
      <w:r>
        <w:rPr>
          <w:rFonts w:hint="eastAsia" w:ascii="宋体" w:hAnsi="宋体" w:eastAsia="宋体" w:cs="宋体"/>
          <w:b w:val="0"/>
          <w:bCs w:val="0"/>
          <w:kern w:val="0"/>
          <w:sz w:val="24"/>
          <w:szCs w:val="24"/>
          <w:highlight w:val="none"/>
        </w:rPr>
        <w:t>年</w:t>
      </w:r>
      <w:r>
        <w:rPr>
          <w:rFonts w:hint="eastAsia" w:ascii="宋体" w:hAnsi="宋体" w:eastAsia="宋体" w:cs="宋体"/>
          <w:b w:val="0"/>
          <w:bCs w:val="0"/>
          <w:kern w:val="0"/>
          <w:sz w:val="24"/>
          <w:szCs w:val="24"/>
          <w:highlight w:val="none"/>
          <w:u w:val="single"/>
        </w:rPr>
        <w:t xml:space="preserve">      </w:t>
      </w:r>
      <w:r>
        <w:rPr>
          <w:rFonts w:hint="eastAsia" w:ascii="宋体" w:hAnsi="宋体" w:eastAsia="宋体" w:cs="宋体"/>
          <w:b w:val="0"/>
          <w:bCs w:val="0"/>
          <w:kern w:val="0"/>
          <w:sz w:val="24"/>
          <w:szCs w:val="24"/>
          <w:highlight w:val="none"/>
        </w:rPr>
        <w:t>月</w:t>
      </w:r>
      <w:r>
        <w:rPr>
          <w:rFonts w:hint="eastAsia" w:ascii="宋体" w:hAnsi="宋体" w:eastAsia="宋体" w:cs="宋体"/>
          <w:b w:val="0"/>
          <w:bCs w:val="0"/>
          <w:kern w:val="0"/>
          <w:sz w:val="24"/>
          <w:szCs w:val="24"/>
          <w:highlight w:val="none"/>
          <w:u w:val="single"/>
        </w:rPr>
        <w:t xml:space="preserve">       </w:t>
      </w:r>
      <w:r>
        <w:rPr>
          <w:rFonts w:hint="eastAsia" w:ascii="宋体" w:hAnsi="宋体" w:eastAsia="宋体" w:cs="宋体"/>
          <w:b w:val="0"/>
          <w:bCs w:val="0"/>
          <w:kern w:val="0"/>
          <w:sz w:val="24"/>
          <w:szCs w:val="24"/>
          <w:highlight w:val="none"/>
        </w:rPr>
        <w:t>日</w:t>
      </w:r>
      <w:bookmarkEnd w:id="629"/>
      <w:bookmarkEnd w:id="630"/>
      <w:bookmarkEnd w:id="631"/>
      <w:bookmarkEnd w:id="632"/>
      <w:bookmarkEnd w:id="633"/>
      <w:bookmarkEnd w:id="634"/>
    </w:p>
    <w:p w14:paraId="42C85173">
      <w:pPr>
        <w:rPr>
          <w:rFonts w:hint="eastAsia" w:eastAsia="宋体"/>
          <w:highlight w:val="none"/>
          <w:lang w:eastAsia="zh-CN"/>
        </w:rPr>
        <w:sectPr>
          <w:headerReference r:id="rId22" w:type="default"/>
          <w:footerReference r:id="rId23" w:type="default"/>
          <w:pgSz w:w="11906" w:h="16838"/>
          <w:pgMar w:top="1417" w:right="1361" w:bottom="1417" w:left="1361" w:header="907" w:footer="907" w:gutter="0"/>
          <w:pgBorders>
            <w:top w:val="none" w:sz="0" w:space="0"/>
            <w:left w:val="none" w:sz="0" w:space="0"/>
            <w:bottom w:val="none" w:sz="0" w:space="0"/>
            <w:right w:val="none" w:sz="0" w:space="0"/>
          </w:pgBorders>
          <w:pgNumType w:fmt="decimal"/>
          <w:cols w:space="720" w:num="1"/>
          <w:docGrid w:linePitch="381" w:charSpace="0"/>
        </w:sectPr>
      </w:pPr>
    </w:p>
    <w:p w14:paraId="1564915E">
      <w:pPr>
        <w:pStyle w:val="2"/>
        <w:jc w:val="center"/>
        <w:outlineLvl w:val="0"/>
        <w:rPr>
          <w:rFonts w:hint="eastAsia" w:asciiTheme="minorEastAsia" w:hAnsiTheme="minorEastAsia" w:eastAsiaTheme="minorEastAsia"/>
          <w:sz w:val="28"/>
          <w:szCs w:val="28"/>
          <w:highlight w:val="none"/>
          <w:lang w:eastAsia="zh-CN"/>
        </w:rPr>
      </w:pPr>
      <w:bookmarkStart w:id="635" w:name="_Toc20353"/>
      <w:bookmarkStart w:id="636" w:name="_Toc25339"/>
      <w:bookmarkStart w:id="637" w:name="_Toc32149"/>
      <w:bookmarkStart w:id="638" w:name="_Toc14290"/>
      <w:bookmarkStart w:id="639" w:name="_Toc8873"/>
      <w:bookmarkStart w:id="640" w:name="_Toc22751"/>
      <w:r>
        <w:rPr>
          <w:rFonts w:hint="eastAsia" w:asciiTheme="minorEastAsia" w:hAnsiTheme="minorEastAsia" w:eastAsiaTheme="minorEastAsia"/>
          <w:sz w:val="28"/>
          <w:szCs w:val="28"/>
          <w:highlight w:val="none"/>
          <w:lang w:eastAsia="zh-CN"/>
        </w:rPr>
        <w:t>四、</w:t>
      </w:r>
      <w:bookmarkEnd w:id="598"/>
      <w:bookmarkEnd w:id="599"/>
      <w:r>
        <w:rPr>
          <w:rFonts w:hint="eastAsia" w:asciiTheme="minorEastAsia" w:hAnsiTheme="minorEastAsia" w:eastAsiaTheme="minorEastAsia"/>
          <w:sz w:val="28"/>
          <w:szCs w:val="28"/>
          <w:highlight w:val="none"/>
          <w:lang w:eastAsia="zh-CN"/>
        </w:rPr>
        <w:t>投标保证金</w:t>
      </w:r>
      <w:bookmarkEnd w:id="600"/>
      <w:bookmarkEnd w:id="601"/>
      <w:bookmarkEnd w:id="602"/>
      <w:bookmarkEnd w:id="603"/>
      <w:bookmarkEnd w:id="635"/>
      <w:bookmarkEnd w:id="636"/>
      <w:bookmarkEnd w:id="637"/>
      <w:bookmarkEnd w:id="638"/>
      <w:bookmarkEnd w:id="639"/>
      <w:bookmarkEnd w:id="640"/>
    </w:p>
    <w:p w14:paraId="7E9B8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投标保证金采用</w:t>
      </w:r>
      <w:r>
        <w:rPr>
          <w:rFonts w:hint="eastAsia" w:ascii="宋体" w:hAnsi="宋体" w:eastAsia="宋体" w:cs="宋体"/>
          <w:color w:val="000000"/>
          <w:sz w:val="24"/>
          <w:szCs w:val="24"/>
          <w:highlight w:val="none"/>
          <w:lang w:eastAsia="zh-CN"/>
        </w:rPr>
        <w:t>银行转账</w:t>
      </w:r>
      <w:r>
        <w:rPr>
          <w:rFonts w:hint="eastAsia" w:ascii="宋体" w:hAnsi="宋体" w:eastAsia="宋体" w:cs="宋体"/>
          <w:color w:val="000000"/>
          <w:sz w:val="24"/>
          <w:szCs w:val="24"/>
          <w:highlight w:val="none"/>
        </w:rPr>
        <w:t>形式</w:t>
      </w:r>
      <w:r>
        <w:rPr>
          <w:rFonts w:hint="eastAsia" w:ascii="宋体" w:hAnsi="宋体" w:eastAsia="宋体" w:cs="宋体"/>
          <w:color w:val="000000"/>
          <w:sz w:val="24"/>
          <w:szCs w:val="24"/>
          <w:highlight w:val="none"/>
          <w:lang w:eastAsia="zh-CN"/>
        </w:rPr>
        <w:t>递交</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须</w:t>
      </w:r>
      <w:r>
        <w:rPr>
          <w:rFonts w:hint="eastAsia" w:ascii="宋体" w:hAnsi="宋体" w:eastAsia="宋体" w:cs="宋体"/>
          <w:color w:val="000000"/>
          <w:sz w:val="24"/>
          <w:szCs w:val="24"/>
          <w:highlight w:val="none"/>
        </w:rPr>
        <w:t>附基本户开户许可证（或基本存款账户信息）</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基本户转账回执单复印件；</w:t>
      </w:r>
    </w:p>
    <w:p w14:paraId="69193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sz w:val="24"/>
          <w:lang w:val="en-US" w:eastAsia="zh-CN"/>
        </w:rPr>
        <w:t>如采用银行保函方式缴纳保证金的，</w:t>
      </w:r>
      <w:r>
        <w:rPr>
          <w:rFonts w:hint="eastAsia" w:ascii="宋体" w:hAnsi="宋体" w:eastAsia="宋体" w:cs="宋体"/>
          <w:sz w:val="24"/>
          <w:lang w:val="zh-CN" w:eastAsia="zh-CN"/>
        </w:rPr>
        <w:t>供应商应在此提供银行保函复印件</w:t>
      </w:r>
      <w:r>
        <w:rPr>
          <w:rFonts w:hint="eastAsia" w:ascii="宋体" w:hAnsi="宋体" w:eastAsia="宋体" w:cs="宋体"/>
          <w:color w:val="000000"/>
          <w:sz w:val="24"/>
          <w:szCs w:val="24"/>
          <w:highlight w:val="none"/>
          <w:lang w:eastAsia="zh-CN"/>
        </w:rPr>
        <w:t>。</w:t>
      </w:r>
    </w:p>
    <w:p w14:paraId="067850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highlight w:val="none"/>
          <w:lang w:eastAsia="zh-CN"/>
        </w:rPr>
        <w:sectPr>
          <w:headerReference r:id="rId25" w:type="first"/>
          <w:footerReference r:id="rId27" w:type="first"/>
          <w:headerReference r:id="rId24" w:type="default"/>
          <w:footerReference r:id="rId26" w:type="default"/>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70FE0D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b/>
          <w:kern w:val="0"/>
          <w:sz w:val="28"/>
          <w:szCs w:val="28"/>
          <w:highlight w:val="none"/>
          <w:lang w:eastAsia="zh-CN"/>
        </w:rPr>
        <w:t>五、服务内容响应偏离表</w:t>
      </w:r>
    </w:p>
    <w:p w14:paraId="2B272C51">
      <w:pPr>
        <w:pStyle w:val="42"/>
        <w:keepNext w:val="0"/>
        <w:keepLines w:val="0"/>
        <w:pageBreakBefore w:val="0"/>
        <w:widowControl/>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lang w:eastAsia="zh-CN"/>
        </w:rPr>
        <w:t>项目</w:t>
      </w:r>
      <w:r>
        <w:rPr>
          <w:rFonts w:hint="eastAsia" w:ascii="宋体" w:hAnsi="宋体" w:eastAsia="宋体" w:cs="宋体"/>
          <w:b/>
          <w:bCs/>
          <w:sz w:val="21"/>
          <w:szCs w:val="21"/>
          <w:highlight w:val="none"/>
        </w:rPr>
        <w:t>名称</w:t>
      </w: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bCs/>
          <w:sz w:val="21"/>
          <w:szCs w:val="21"/>
          <w:highlight w:val="none"/>
          <w:lang w:eastAsia="zh-CN"/>
        </w:rPr>
        <w:t>项目</w:t>
      </w:r>
      <w:r>
        <w:rPr>
          <w:rFonts w:hint="eastAsia" w:ascii="宋体" w:hAnsi="宋体" w:eastAsia="宋体" w:cs="宋体"/>
          <w:b/>
          <w:bCs/>
          <w:sz w:val="21"/>
          <w:szCs w:val="21"/>
          <w:highlight w:val="none"/>
        </w:rPr>
        <w:t>编号</w:t>
      </w:r>
      <w:r>
        <w:rPr>
          <w:rFonts w:hint="eastAsia" w:ascii="宋体" w:hAnsi="宋体" w:eastAsia="宋体" w:cs="宋体"/>
          <w:b/>
          <w:sz w:val="21"/>
          <w:szCs w:val="21"/>
          <w:highlight w:val="none"/>
        </w:rPr>
        <w:t xml:space="preserve">：           </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019"/>
        <w:gridCol w:w="2835"/>
        <w:gridCol w:w="2060"/>
      </w:tblGrid>
      <w:tr w14:paraId="0D88A2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5AE2AC00">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019" w:type="dxa"/>
            <w:noWrap w:val="0"/>
            <w:tcMar>
              <w:top w:w="57" w:type="dxa"/>
              <w:left w:w="28" w:type="dxa"/>
              <w:bottom w:w="57" w:type="dxa"/>
              <w:right w:w="28" w:type="dxa"/>
            </w:tcMar>
            <w:vAlign w:val="center"/>
          </w:tcPr>
          <w:p w14:paraId="6521D7F3">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招标文件要求</w:t>
            </w:r>
          </w:p>
        </w:tc>
        <w:tc>
          <w:tcPr>
            <w:tcW w:w="2835" w:type="dxa"/>
            <w:noWrap w:val="0"/>
            <w:tcMar>
              <w:top w:w="57" w:type="dxa"/>
              <w:left w:w="28" w:type="dxa"/>
              <w:bottom w:w="57" w:type="dxa"/>
              <w:right w:w="28" w:type="dxa"/>
            </w:tcMar>
            <w:vAlign w:val="center"/>
          </w:tcPr>
          <w:p w14:paraId="32972161">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投标文件响应</w:t>
            </w:r>
          </w:p>
        </w:tc>
        <w:tc>
          <w:tcPr>
            <w:tcW w:w="2060" w:type="dxa"/>
            <w:noWrap w:val="0"/>
            <w:tcMar>
              <w:top w:w="57" w:type="dxa"/>
              <w:left w:w="28" w:type="dxa"/>
              <w:bottom w:w="57" w:type="dxa"/>
              <w:right w:w="28" w:type="dxa"/>
            </w:tcMar>
            <w:vAlign w:val="center"/>
          </w:tcPr>
          <w:p w14:paraId="34738A39">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偏离情况说明</w:t>
            </w:r>
          </w:p>
        </w:tc>
      </w:tr>
      <w:tr w14:paraId="0BC01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tcBorders>
              <w:bottom w:val="single" w:color="auto" w:sz="4" w:space="0"/>
            </w:tcBorders>
            <w:noWrap w:val="0"/>
            <w:tcMar>
              <w:top w:w="57" w:type="dxa"/>
              <w:left w:w="28" w:type="dxa"/>
              <w:bottom w:w="57" w:type="dxa"/>
              <w:right w:w="28" w:type="dxa"/>
            </w:tcMar>
            <w:vAlign w:val="center"/>
          </w:tcPr>
          <w:p w14:paraId="02F44CD3">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tcBorders>
              <w:bottom w:val="single" w:color="auto" w:sz="4" w:space="0"/>
            </w:tcBorders>
            <w:noWrap w:val="0"/>
            <w:tcMar>
              <w:top w:w="57" w:type="dxa"/>
              <w:left w:w="28" w:type="dxa"/>
              <w:bottom w:w="57" w:type="dxa"/>
              <w:right w:w="28" w:type="dxa"/>
            </w:tcMar>
            <w:vAlign w:val="center"/>
          </w:tcPr>
          <w:p w14:paraId="541E491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tcBorders>
              <w:bottom w:val="single" w:color="auto" w:sz="4" w:space="0"/>
            </w:tcBorders>
            <w:noWrap w:val="0"/>
            <w:tcMar>
              <w:top w:w="57" w:type="dxa"/>
              <w:left w:w="28" w:type="dxa"/>
              <w:bottom w:w="57" w:type="dxa"/>
              <w:right w:w="28" w:type="dxa"/>
            </w:tcMar>
            <w:vAlign w:val="center"/>
          </w:tcPr>
          <w:p w14:paraId="592ED224">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tcBorders>
              <w:bottom w:val="single" w:color="auto" w:sz="4" w:space="0"/>
            </w:tcBorders>
            <w:noWrap w:val="0"/>
            <w:tcMar>
              <w:top w:w="57" w:type="dxa"/>
              <w:left w:w="28" w:type="dxa"/>
              <w:bottom w:w="57" w:type="dxa"/>
              <w:right w:w="28" w:type="dxa"/>
            </w:tcMar>
            <w:vAlign w:val="center"/>
          </w:tcPr>
          <w:p w14:paraId="0B119A1E">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118E7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tcBorders>
              <w:bottom w:val="single" w:color="auto" w:sz="4" w:space="0"/>
            </w:tcBorders>
            <w:noWrap w:val="0"/>
            <w:tcMar>
              <w:top w:w="57" w:type="dxa"/>
              <w:left w:w="28" w:type="dxa"/>
              <w:bottom w:w="57" w:type="dxa"/>
              <w:right w:w="28" w:type="dxa"/>
            </w:tcMar>
            <w:vAlign w:val="center"/>
          </w:tcPr>
          <w:p w14:paraId="38B7D51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tcBorders>
              <w:bottom w:val="single" w:color="auto" w:sz="4" w:space="0"/>
            </w:tcBorders>
            <w:noWrap w:val="0"/>
            <w:tcMar>
              <w:top w:w="57" w:type="dxa"/>
              <w:left w:w="28" w:type="dxa"/>
              <w:bottom w:w="57" w:type="dxa"/>
              <w:right w:w="28" w:type="dxa"/>
            </w:tcMar>
            <w:vAlign w:val="center"/>
          </w:tcPr>
          <w:p w14:paraId="7CA9B17A">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tcBorders>
              <w:bottom w:val="single" w:color="auto" w:sz="4" w:space="0"/>
            </w:tcBorders>
            <w:noWrap w:val="0"/>
            <w:tcMar>
              <w:top w:w="57" w:type="dxa"/>
              <w:left w:w="28" w:type="dxa"/>
              <w:bottom w:w="57" w:type="dxa"/>
              <w:right w:w="28" w:type="dxa"/>
            </w:tcMar>
            <w:vAlign w:val="center"/>
          </w:tcPr>
          <w:p w14:paraId="4959B5AE">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tcBorders>
              <w:bottom w:val="single" w:color="auto" w:sz="4" w:space="0"/>
            </w:tcBorders>
            <w:noWrap w:val="0"/>
            <w:tcMar>
              <w:top w:w="57" w:type="dxa"/>
              <w:left w:w="28" w:type="dxa"/>
              <w:bottom w:w="57" w:type="dxa"/>
              <w:right w:w="28" w:type="dxa"/>
            </w:tcMar>
            <w:vAlign w:val="center"/>
          </w:tcPr>
          <w:p w14:paraId="2B4465B9">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47F61E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759C0904">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70FB77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7D1DDE58">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3D6DD95E">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2E64F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4B331EC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55DBD7E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2FEA828B">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60D6DED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33F87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06BB45CA">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2FF5F3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645CA60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201662F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0C785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55431C30">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060FF88">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0770A8D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0EFB83BE">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45C24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054A08A4">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43552F52">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567FE6A3">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3DBF605B">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7F54A1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3ED118D4">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57190C1">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42EFE299">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1F0978E2">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5DB8A6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11F082E4">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5F3C8A4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3BEE081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4129517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5399B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598B9BFA">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6D42CF2">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6D7E59A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7C169F26">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4A428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28BF5C68">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271F0209">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6914B7FE">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0380CE91">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2D6F3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36126B1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F155058">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5479068A">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38449ED7">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r w14:paraId="0CCFE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9" w:type="dxa"/>
            <w:noWrap w:val="0"/>
            <w:tcMar>
              <w:top w:w="57" w:type="dxa"/>
              <w:left w:w="28" w:type="dxa"/>
              <w:bottom w:w="57" w:type="dxa"/>
              <w:right w:w="28" w:type="dxa"/>
            </w:tcMar>
            <w:vAlign w:val="center"/>
          </w:tcPr>
          <w:p w14:paraId="6473EA92">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3019" w:type="dxa"/>
            <w:noWrap w:val="0"/>
            <w:tcMar>
              <w:top w:w="57" w:type="dxa"/>
              <w:left w:w="28" w:type="dxa"/>
              <w:bottom w:w="57" w:type="dxa"/>
              <w:right w:w="28" w:type="dxa"/>
            </w:tcMar>
            <w:vAlign w:val="center"/>
          </w:tcPr>
          <w:p w14:paraId="0B37AABD">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835" w:type="dxa"/>
            <w:noWrap w:val="0"/>
            <w:tcMar>
              <w:top w:w="57" w:type="dxa"/>
              <w:left w:w="28" w:type="dxa"/>
              <w:bottom w:w="57" w:type="dxa"/>
              <w:right w:w="28" w:type="dxa"/>
            </w:tcMar>
            <w:vAlign w:val="center"/>
          </w:tcPr>
          <w:p w14:paraId="55D58075">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c>
          <w:tcPr>
            <w:tcW w:w="2060" w:type="dxa"/>
            <w:noWrap w:val="0"/>
            <w:tcMar>
              <w:top w:w="57" w:type="dxa"/>
              <w:left w:w="28" w:type="dxa"/>
              <w:bottom w:w="57" w:type="dxa"/>
              <w:right w:w="28" w:type="dxa"/>
            </w:tcMar>
            <w:vAlign w:val="center"/>
          </w:tcPr>
          <w:p w14:paraId="73131C58">
            <w:pPr>
              <w:keepNext w:val="0"/>
              <w:keepLines w:val="0"/>
              <w:suppressLineNumbers w:val="0"/>
              <w:spacing w:before="0" w:beforeAutospacing="0" w:after="0" w:afterAutospacing="0" w:line="240" w:lineRule="auto"/>
              <w:ind w:left="240" w:leftChars="100" w:right="0"/>
              <w:jc w:val="center"/>
              <w:rPr>
                <w:rFonts w:hint="eastAsia" w:ascii="宋体" w:hAnsi="宋体" w:eastAsia="宋体" w:cs="宋体"/>
                <w:sz w:val="21"/>
                <w:szCs w:val="21"/>
                <w:highlight w:val="none"/>
              </w:rPr>
            </w:pPr>
          </w:p>
        </w:tc>
      </w:tr>
    </w:tbl>
    <w:p w14:paraId="14F7F81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p w14:paraId="09BC3F83">
      <w:pPr>
        <w:spacing w:line="360" w:lineRule="auto"/>
        <w:ind w:firstLine="3600" w:firstLineChars="15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4F8471CB">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w:t>
      </w:r>
      <w:r>
        <w:rPr>
          <w:rFonts w:hint="eastAsia" w:cs="华文楷体" w:asciiTheme="minorEastAsia" w:hAnsiTheme="minorEastAsia" w:eastAsiaTheme="minorEastAsia"/>
          <w:sz w:val="24"/>
          <w:szCs w:val="24"/>
          <w:highlight w:val="none"/>
          <w:lang w:val="zh-CN"/>
        </w:rPr>
        <w:t>或授权代表：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（签字或盖章）</w:t>
      </w:r>
    </w:p>
    <w:p w14:paraId="70121E2F">
      <w:pPr>
        <w:spacing w:line="360" w:lineRule="auto"/>
        <w:ind w:firstLine="4560" w:firstLineChars="1900"/>
        <w:jc w:val="left"/>
        <w:rPr>
          <w:rFonts w:hint="eastAsia" w:ascii="宋体" w:hAnsi="宋体" w:eastAsia="宋体" w:cs="宋体"/>
          <w:kern w:val="0"/>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14:paraId="11DEB929">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0"/>
          <w:highlight w:val="none"/>
        </w:rPr>
      </w:pPr>
    </w:p>
    <w:p w14:paraId="29C8A622">
      <w:pPr>
        <w:rPr>
          <w:rFonts w:hint="eastAsia"/>
          <w:highlight w:val="none"/>
        </w:rPr>
      </w:pPr>
    </w:p>
    <w:p w14:paraId="13C9C8C1">
      <w:pPr>
        <w:pStyle w:val="14"/>
        <w:rPr>
          <w:rFonts w:hint="eastAsia"/>
          <w:highlight w:val="none"/>
        </w:rPr>
      </w:pPr>
    </w:p>
    <w:p w14:paraId="43FCA672">
      <w:pPr>
        <w:pStyle w:val="14"/>
        <w:rPr>
          <w:rFonts w:hint="eastAsia"/>
          <w:highlight w:val="none"/>
        </w:rPr>
      </w:pPr>
    </w:p>
    <w:p w14:paraId="34071A1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p>
    <w:p w14:paraId="6F54517A">
      <w:pPr>
        <w:pStyle w:val="5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注</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投标人应对第四章“采购内容与要求”中的项目作出实质性响应。本表</w:t>
      </w:r>
      <w:r>
        <w:rPr>
          <w:rFonts w:hint="eastAsia" w:ascii="宋体" w:hAnsi="宋体" w:eastAsia="宋体" w:cs="宋体"/>
          <w:sz w:val="21"/>
          <w:szCs w:val="21"/>
          <w:highlight w:val="none"/>
        </w:rPr>
        <w:t>只填写投标文件中与招标文件有偏离（包括正偏离和负偏离）的内容，投标文件中</w:t>
      </w:r>
      <w:r>
        <w:rPr>
          <w:rFonts w:hint="eastAsia" w:ascii="宋体" w:hAnsi="宋体" w:eastAsia="宋体" w:cs="宋体"/>
          <w:sz w:val="21"/>
          <w:szCs w:val="21"/>
          <w:highlight w:val="none"/>
          <w:lang w:eastAsia="zh-CN"/>
        </w:rPr>
        <w:t>服务内容</w:t>
      </w:r>
      <w:r>
        <w:rPr>
          <w:rFonts w:hint="eastAsia" w:ascii="宋体" w:hAnsi="宋体" w:eastAsia="宋体" w:cs="宋体"/>
          <w:sz w:val="21"/>
          <w:szCs w:val="21"/>
          <w:highlight w:val="none"/>
        </w:rPr>
        <w:t>响应与招标要求完全一致的，不用在此表中列出，但必须提交空白表。</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56F5007E">
      <w:pPr>
        <w:pStyle w:val="2"/>
        <w:jc w:val="center"/>
        <w:outlineLvl w:val="0"/>
        <w:rPr>
          <w:rFonts w:hint="eastAsia" w:ascii="宋体" w:hAnsi="宋体" w:eastAsia="宋体" w:cs="宋体"/>
          <w:b/>
          <w:bCs w:val="0"/>
          <w:kern w:val="0"/>
          <w:sz w:val="28"/>
          <w:szCs w:val="28"/>
          <w:highlight w:val="none"/>
          <w:lang w:val="en-US" w:eastAsia="zh-CN" w:bidi="ar-SA"/>
        </w:rPr>
        <w:sectPr>
          <w:headerReference r:id="rId28" w:type="default"/>
          <w:footerReference r:id="rId29" w:type="default"/>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bookmarkStart w:id="641" w:name="_Toc6712"/>
      <w:bookmarkStart w:id="642" w:name="_Toc7701"/>
      <w:bookmarkStart w:id="643" w:name="_Toc29484"/>
      <w:bookmarkStart w:id="644" w:name="_Toc9238"/>
      <w:bookmarkStart w:id="645" w:name="_Toc24449"/>
      <w:bookmarkStart w:id="646" w:name="_Toc7266"/>
      <w:bookmarkStart w:id="647" w:name="_Toc11449"/>
      <w:bookmarkStart w:id="648" w:name="_Toc8103"/>
      <w:bookmarkStart w:id="649" w:name="_Toc15816"/>
      <w:bookmarkStart w:id="650" w:name="_Toc9096"/>
      <w:bookmarkStart w:id="651" w:name="_Toc31877"/>
      <w:bookmarkStart w:id="652" w:name="_Toc5659"/>
      <w:bookmarkStart w:id="653" w:name="_Toc458617478"/>
      <w:bookmarkStart w:id="654" w:name="_Toc28085"/>
    </w:p>
    <w:p w14:paraId="51EBDC39">
      <w:pPr>
        <w:pStyle w:val="2"/>
        <w:jc w:val="center"/>
        <w:outlineLvl w:val="0"/>
        <w:rPr>
          <w:rFonts w:hint="eastAsia" w:asciiTheme="minorEastAsia" w:hAnsiTheme="minorEastAsia" w:eastAsiaTheme="minorEastAsia"/>
          <w:sz w:val="28"/>
          <w:szCs w:val="28"/>
          <w:highlight w:val="none"/>
          <w:lang w:eastAsia="zh-CN"/>
        </w:rPr>
      </w:pPr>
      <w:bookmarkStart w:id="655" w:name="_Toc532"/>
      <w:r>
        <w:rPr>
          <w:rFonts w:hint="eastAsia" w:ascii="宋体" w:hAnsi="宋体" w:eastAsia="宋体" w:cs="宋体"/>
          <w:b/>
          <w:bCs w:val="0"/>
          <w:kern w:val="0"/>
          <w:sz w:val="28"/>
          <w:szCs w:val="28"/>
          <w:highlight w:val="none"/>
          <w:lang w:val="en-US" w:eastAsia="zh-CN" w:bidi="ar-SA"/>
        </w:rPr>
        <w:t>六、资格</w:t>
      </w:r>
      <w:bookmarkEnd w:id="625"/>
      <w:bookmarkEnd w:id="626"/>
      <w:bookmarkEnd w:id="627"/>
      <w:bookmarkEnd w:id="628"/>
      <w:bookmarkEnd w:id="641"/>
      <w:bookmarkEnd w:id="642"/>
      <w:r>
        <w:rPr>
          <w:rFonts w:hint="eastAsia" w:ascii="宋体" w:hAnsi="宋体" w:eastAsia="宋体" w:cs="宋体"/>
          <w:b/>
          <w:bCs w:val="0"/>
          <w:kern w:val="0"/>
          <w:sz w:val="28"/>
          <w:szCs w:val="28"/>
          <w:highlight w:val="none"/>
          <w:lang w:val="en-US" w:eastAsia="zh-CN" w:bidi="ar-SA"/>
        </w:rPr>
        <w:t>审查资料</w:t>
      </w:r>
      <w:bookmarkEnd w:id="643"/>
      <w:bookmarkEnd w:id="644"/>
      <w:bookmarkEnd w:id="645"/>
      <w:bookmarkEnd w:id="646"/>
      <w:bookmarkEnd w:id="647"/>
      <w:bookmarkEnd w:id="648"/>
      <w:bookmarkEnd w:id="649"/>
      <w:bookmarkEnd w:id="650"/>
      <w:bookmarkEnd w:id="651"/>
      <w:bookmarkEnd w:id="655"/>
    </w:p>
    <w:p w14:paraId="160C00D1">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6.1、企业法人须提供有效存续的统一社会信用代码的营业执照/事业单位须提供事业单位法人证、组织机构代码证等证明文件/其他组织应提供合法证明文件/自然人参与的提供其身份证</w:t>
      </w:r>
    </w:p>
    <w:p w14:paraId="4A7794FB">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（复印件须加盖供应商公章）</w:t>
      </w:r>
    </w:p>
    <w:p w14:paraId="5D8170AD">
      <w:pPr>
        <w:pStyle w:val="2"/>
        <w:spacing w:line="360" w:lineRule="auto"/>
        <w:ind w:firstLine="482" w:firstLineChars="200"/>
        <w:jc w:val="both"/>
        <w:rPr>
          <w:rFonts w:hint="eastAsia"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bookmarkStart w:id="656" w:name="_Toc13631"/>
      <w:bookmarkStart w:id="657" w:name="_Toc23530"/>
      <w:bookmarkStart w:id="658" w:name="_Toc27829"/>
      <w:bookmarkStart w:id="659" w:name="_Toc12290"/>
    </w:p>
    <w:p w14:paraId="434EEA9B">
      <w:pPr>
        <w:tabs>
          <w:tab w:val="left" w:pos="0"/>
        </w:tabs>
        <w:adjustRightInd w:val="0"/>
        <w:snapToGrid w:val="0"/>
        <w:spacing w:line="360" w:lineRule="auto"/>
        <w:jc w:val="center"/>
        <w:rPr>
          <w:rFonts w:hint="eastAsia" w:ascii="宋体" w:hAnsi="宋体" w:eastAsia="宋体" w:cs="宋体"/>
          <w:b/>
          <w:kern w:val="0"/>
          <w:szCs w:val="21"/>
          <w:lang w:eastAsia="zh-CN"/>
        </w:rPr>
      </w:pPr>
      <w:r>
        <w:rPr>
          <w:rFonts w:hint="eastAsia" w:ascii="宋体" w:hAnsi="宋体" w:eastAsia="宋体" w:cs="宋体"/>
          <w:b/>
          <w:kern w:val="0"/>
          <w:szCs w:val="21"/>
          <w:lang w:val="en-US" w:eastAsia="zh-CN"/>
        </w:rPr>
        <w:t>6.2、提供</w:t>
      </w:r>
      <w:r>
        <w:rPr>
          <w:rFonts w:hint="eastAsia" w:ascii="宋体" w:hAnsi="宋体" w:eastAsia="宋体" w:cs="宋体"/>
          <w:b/>
          <w:kern w:val="0"/>
          <w:szCs w:val="21"/>
          <w:lang w:eastAsia="zh-CN"/>
        </w:rPr>
        <w:t>有效</w:t>
      </w:r>
      <w:r>
        <w:rPr>
          <w:rFonts w:hint="eastAsia" w:ascii="宋体" w:hAnsi="宋体" w:eastAsia="宋体" w:cs="宋体"/>
          <w:b/>
          <w:kern w:val="0"/>
          <w:szCs w:val="21"/>
          <w:lang w:val="en-US" w:eastAsia="zh-CN"/>
        </w:rPr>
        <w:t>的</w:t>
      </w:r>
      <w:r>
        <w:rPr>
          <w:rFonts w:hint="eastAsia" w:ascii="宋体" w:hAnsi="宋体" w:eastAsia="宋体" w:cs="宋体"/>
          <w:b/>
          <w:kern w:val="0"/>
          <w:szCs w:val="21"/>
          <w:lang w:eastAsia="zh-CN"/>
        </w:rPr>
        <w:t>资质证书及安全生产许可证</w:t>
      </w:r>
    </w:p>
    <w:p w14:paraId="5A3B7538">
      <w:pPr>
        <w:spacing w:line="360" w:lineRule="auto"/>
        <w:jc w:val="center"/>
        <w:rPr>
          <w:rFonts w:hint="eastAsia"/>
          <w:lang w:val="en-US"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b/>
          <w:kern w:val="0"/>
          <w:szCs w:val="21"/>
          <w:lang w:eastAsia="zh-CN"/>
        </w:rPr>
        <w:t>（复印件加盖</w:t>
      </w:r>
      <w:r>
        <w:rPr>
          <w:rFonts w:hint="eastAsia" w:ascii="宋体" w:hAnsi="宋体" w:eastAsia="宋体" w:cs="宋体"/>
          <w:b/>
          <w:kern w:val="0"/>
          <w:szCs w:val="21"/>
          <w:lang w:val="en-US" w:eastAsia="zh-CN"/>
        </w:rPr>
        <w:t>供应商</w:t>
      </w:r>
      <w:r>
        <w:rPr>
          <w:rFonts w:hint="eastAsia" w:ascii="宋体" w:hAnsi="宋体" w:eastAsia="宋体" w:cs="宋体"/>
          <w:b/>
          <w:kern w:val="0"/>
          <w:szCs w:val="21"/>
          <w:lang w:eastAsia="zh-CN"/>
        </w:rPr>
        <w:t>公章）</w:t>
      </w:r>
    </w:p>
    <w:p w14:paraId="6E07712D">
      <w:pPr>
        <w:pStyle w:val="2"/>
        <w:spacing w:line="360" w:lineRule="auto"/>
        <w:jc w:val="center"/>
        <w:rPr>
          <w:rFonts w:hint="eastAsia" w:ascii="宋体" w:hAnsi="宋体" w:eastAsia="宋体" w:cs="宋体"/>
          <w:b/>
          <w:bCs/>
          <w:kern w:val="2"/>
          <w:sz w:val="24"/>
          <w:szCs w:val="24"/>
          <w:highlight w:val="none"/>
          <w:lang w:val="en-US" w:eastAsia="zh-CN" w:bidi="ar-SA"/>
        </w:rPr>
      </w:pPr>
      <w:bookmarkStart w:id="660" w:name="_Toc14055"/>
      <w:bookmarkStart w:id="661" w:name="_Toc26825"/>
      <w:bookmarkStart w:id="662" w:name="_Toc11703"/>
      <w:bookmarkStart w:id="663" w:name="_Toc10271"/>
      <w:bookmarkStart w:id="664" w:name="_Toc11507"/>
      <w:bookmarkStart w:id="665" w:name="_Toc30074"/>
      <w:r>
        <w:rPr>
          <w:rFonts w:hint="eastAsia" w:ascii="宋体" w:hAnsi="宋体" w:eastAsia="宋体" w:cs="宋体"/>
          <w:b/>
          <w:bCs/>
          <w:kern w:val="2"/>
          <w:sz w:val="24"/>
          <w:szCs w:val="24"/>
          <w:highlight w:val="none"/>
          <w:lang w:val="en-US" w:eastAsia="zh-CN" w:bidi="ar-SA"/>
        </w:rPr>
        <w:t>6.3、提供2023年度经会计师事务所或审计机构审计的财务会计报表或基本存款账户开户银行出具的资信证明</w:t>
      </w:r>
      <w:bookmarkEnd w:id="656"/>
      <w:bookmarkEnd w:id="657"/>
      <w:bookmarkEnd w:id="658"/>
      <w:bookmarkEnd w:id="659"/>
      <w:bookmarkEnd w:id="660"/>
      <w:bookmarkEnd w:id="661"/>
      <w:bookmarkEnd w:id="662"/>
      <w:bookmarkEnd w:id="663"/>
      <w:bookmarkEnd w:id="664"/>
      <w:bookmarkEnd w:id="665"/>
    </w:p>
    <w:p w14:paraId="178E0402">
      <w:pPr>
        <w:pStyle w:val="2"/>
        <w:spacing w:line="360" w:lineRule="auto"/>
        <w:jc w:val="center"/>
        <w:rPr>
          <w:rFonts w:hint="eastAsia" w:ascii="宋体" w:hAnsi="宋体" w:eastAsia="宋体" w:cs="宋体"/>
          <w:b/>
          <w:bCs/>
          <w:sz w:val="24"/>
          <w:szCs w:val="24"/>
          <w:highlight w:val="none"/>
          <w:lang w:eastAsia="zh-CN"/>
        </w:rPr>
      </w:pPr>
      <w:bookmarkStart w:id="666" w:name="_Toc8008"/>
      <w:bookmarkStart w:id="667" w:name="_Toc29605"/>
      <w:bookmarkStart w:id="668" w:name="_Toc30112"/>
      <w:bookmarkStart w:id="669" w:name="_Toc20120"/>
      <w:bookmarkStart w:id="670" w:name="_Toc15407"/>
      <w:bookmarkStart w:id="671" w:name="_Toc12921"/>
      <w:r>
        <w:rPr>
          <w:rFonts w:hint="eastAsia" w:ascii="宋体" w:hAnsi="宋体" w:eastAsia="宋体" w:cs="宋体"/>
          <w:b/>
          <w:bCs/>
          <w:sz w:val="24"/>
          <w:szCs w:val="24"/>
          <w:highlight w:val="none"/>
          <w:lang w:eastAsia="zh-CN"/>
        </w:rPr>
        <w:t>（复印件须加盖供应商公章）</w:t>
      </w:r>
      <w:bookmarkEnd w:id="666"/>
      <w:bookmarkEnd w:id="667"/>
      <w:bookmarkEnd w:id="668"/>
      <w:bookmarkEnd w:id="669"/>
      <w:bookmarkEnd w:id="670"/>
      <w:bookmarkEnd w:id="671"/>
    </w:p>
    <w:p w14:paraId="50ED1634">
      <w:pPr>
        <w:pStyle w:val="2"/>
        <w:spacing w:line="360" w:lineRule="auto"/>
        <w:ind w:firstLine="482" w:firstLineChars="200"/>
        <w:jc w:val="both"/>
        <w:rPr>
          <w:rFonts w:hint="eastAsia"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bookmarkStart w:id="672" w:name="_Toc4158"/>
      <w:bookmarkStart w:id="673" w:name="_Toc29726"/>
      <w:bookmarkStart w:id="674" w:name="_Toc18516"/>
    </w:p>
    <w:p w14:paraId="5CF7D60E">
      <w:pPr>
        <w:pStyle w:val="2"/>
        <w:spacing w:line="360" w:lineRule="auto"/>
        <w:jc w:val="center"/>
        <w:rPr>
          <w:rFonts w:hint="eastAsia" w:ascii="宋体" w:hAnsi="宋体" w:eastAsia="宋体" w:cs="宋体"/>
          <w:b/>
          <w:bCs/>
          <w:kern w:val="2"/>
          <w:sz w:val="24"/>
          <w:szCs w:val="24"/>
          <w:highlight w:val="none"/>
          <w:lang w:val="en-US" w:eastAsia="zh-CN" w:bidi="ar-SA"/>
        </w:rPr>
      </w:pPr>
      <w:bookmarkStart w:id="675" w:name="_Toc11005"/>
      <w:bookmarkStart w:id="676" w:name="_Toc10538"/>
      <w:bookmarkStart w:id="677" w:name="_Toc32546"/>
      <w:bookmarkStart w:id="678" w:name="_Toc23955"/>
      <w:bookmarkStart w:id="679" w:name="_Toc21280"/>
      <w:bookmarkStart w:id="680" w:name="_Toc6853"/>
      <w:r>
        <w:rPr>
          <w:rFonts w:hint="eastAsia" w:ascii="宋体" w:hAnsi="宋体" w:eastAsia="宋体" w:cs="宋体"/>
          <w:b/>
          <w:bCs/>
          <w:kern w:val="2"/>
          <w:sz w:val="24"/>
          <w:szCs w:val="24"/>
          <w:highlight w:val="none"/>
          <w:lang w:val="en-US" w:eastAsia="zh-CN" w:bidi="ar-SA"/>
        </w:rPr>
        <w:t>6.</w:t>
      </w:r>
      <w:bookmarkEnd w:id="675"/>
      <w:bookmarkEnd w:id="676"/>
      <w:r>
        <w:rPr>
          <w:rFonts w:hint="eastAsia" w:ascii="宋体" w:hAnsi="宋体" w:eastAsia="宋体" w:cs="宋体"/>
          <w:b/>
          <w:bCs/>
          <w:kern w:val="2"/>
          <w:sz w:val="24"/>
          <w:szCs w:val="24"/>
          <w:highlight w:val="none"/>
          <w:lang w:val="en-US" w:eastAsia="zh-CN" w:bidi="ar-SA"/>
        </w:rPr>
        <w:t>4、提供参加本次政府采购活动2023年8月至今本单位已缴纳的至少六个月的社会保障资金证明（依法不需要缴纳社会保障资金的应提供相关文件证明）</w:t>
      </w:r>
      <w:bookmarkEnd w:id="677"/>
      <w:bookmarkEnd w:id="678"/>
      <w:bookmarkEnd w:id="679"/>
      <w:bookmarkEnd w:id="680"/>
    </w:p>
    <w:p w14:paraId="09FC2294">
      <w:pPr>
        <w:pStyle w:val="2"/>
        <w:spacing w:line="360" w:lineRule="auto"/>
        <w:jc w:val="center"/>
        <w:rPr>
          <w:rFonts w:hint="eastAsia"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bookmarkStart w:id="681" w:name="_Toc1245"/>
      <w:bookmarkStart w:id="682" w:name="_Toc14378"/>
      <w:bookmarkStart w:id="683" w:name="_Toc29265"/>
      <w:bookmarkStart w:id="684" w:name="_Toc30475"/>
      <w:bookmarkStart w:id="685" w:name="_Toc19934"/>
      <w:bookmarkStart w:id="686" w:name="_Toc4892"/>
      <w:bookmarkStart w:id="687" w:name="_Toc12611"/>
      <w:bookmarkStart w:id="688" w:name="_Toc31529"/>
      <w:bookmarkStart w:id="689" w:name="_Toc25342"/>
      <w:r>
        <w:rPr>
          <w:rFonts w:hint="eastAsia" w:ascii="宋体" w:hAnsi="宋体" w:eastAsia="宋体" w:cs="宋体"/>
          <w:b/>
          <w:bCs/>
          <w:kern w:val="2"/>
          <w:sz w:val="24"/>
          <w:szCs w:val="24"/>
          <w:highlight w:val="none"/>
          <w:lang w:val="en-US" w:eastAsia="zh-CN" w:bidi="ar-SA"/>
        </w:rPr>
        <w:t>（复印件须加盖供应商公章）</w:t>
      </w:r>
      <w:bookmarkEnd w:id="681"/>
      <w:bookmarkEnd w:id="682"/>
      <w:bookmarkEnd w:id="683"/>
      <w:bookmarkEnd w:id="684"/>
      <w:bookmarkEnd w:id="685"/>
      <w:bookmarkEnd w:id="686"/>
      <w:bookmarkEnd w:id="687"/>
      <w:bookmarkEnd w:id="688"/>
      <w:bookmarkEnd w:id="689"/>
    </w:p>
    <w:p w14:paraId="4BFB8C9B">
      <w:pPr>
        <w:pStyle w:val="2"/>
        <w:spacing w:line="360" w:lineRule="auto"/>
        <w:jc w:val="center"/>
        <w:rPr>
          <w:rFonts w:hint="eastAsia" w:ascii="宋体" w:hAnsi="宋体" w:eastAsia="宋体" w:cs="宋体"/>
          <w:b/>
          <w:bCs/>
          <w:kern w:val="2"/>
          <w:sz w:val="24"/>
          <w:szCs w:val="24"/>
          <w:highlight w:val="none"/>
          <w:lang w:val="en-US" w:eastAsia="zh-CN" w:bidi="ar-SA"/>
        </w:rPr>
      </w:pPr>
      <w:bookmarkStart w:id="690" w:name="_Toc27918"/>
      <w:bookmarkStart w:id="691" w:name="_Toc24298"/>
      <w:bookmarkStart w:id="692" w:name="_Toc4224"/>
      <w:bookmarkStart w:id="693" w:name="_Toc10597"/>
      <w:bookmarkStart w:id="694" w:name="_Toc4605"/>
      <w:bookmarkStart w:id="695" w:name="_Toc22323"/>
      <w:r>
        <w:rPr>
          <w:rFonts w:hint="eastAsia" w:ascii="宋体" w:hAnsi="宋体" w:eastAsia="宋体" w:cs="宋体"/>
          <w:b/>
          <w:bCs/>
          <w:kern w:val="2"/>
          <w:sz w:val="24"/>
          <w:szCs w:val="24"/>
          <w:highlight w:val="none"/>
          <w:lang w:val="en-US" w:eastAsia="zh-CN" w:bidi="ar-SA"/>
        </w:rPr>
        <w:t>6.</w:t>
      </w:r>
      <w:bookmarkEnd w:id="690"/>
      <w:bookmarkEnd w:id="691"/>
      <w:r>
        <w:rPr>
          <w:rFonts w:hint="eastAsia" w:ascii="宋体" w:hAnsi="宋体" w:eastAsia="宋体" w:cs="宋体"/>
          <w:b/>
          <w:bCs/>
          <w:kern w:val="2"/>
          <w:sz w:val="24"/>
          <w:szCs w:val="24"/>
          <w:highlight w:val="none"/>
          <w:lang w:val="en-US" w:eastAsia="zh-CN" w:bidi="ar-SA"/>
        </w:rPr>
        <w:t>5、</w:t>
      </w:r>
      <w:r>
        <w:rPr>
          <w:rFonts w:hint="eastAsia" w:ascii="宋体" w:hAnsi="宋体" w:eastAsia="宋体" w:cs="宋体"/>
          <w:i w:val="0"/>
          <w:iCs w:val="0"/>
          <w:caps w:val="0"/>
          <w:color w:val="auto"/>
          <w:spacing w:val="0"/>
          <w:sz w:val="24"/>
          <w:szCs w:val="24"/>
          <w:highlight w:val="none"/>
          <w:shd w:val="clear" w:color="auto" w:fill="FFFFFF"/>
        </w:rPr>
        <w:t>提供参加本次政府采购活动20</w:t>
      </w:r>
      <w:r>
        <w:rPr>
          <w:rFonts w:hint="eastAsia" w:ascii="宋体" w:hAnsi="宋体" w:eastAsia="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月至今本单位已缴纳的至少六个月的纳税证明或完税证明</w:t>
      </w:r>
      <w:r>
        <w:rPr>
          <w:rFonts w:hint="eastAsia" w:ascii="宋体" w:hAnsi="宋体" w:eastAsia="宋体" w:cs="宋体"/>
          <w:b/>
          <w:bCs/>
          <w:kern w:val="2"/>
          <w:sz w:val="24"/>
          <w:szCs w:val="24"/>
          <w:highlight w:val="none"/>
          <w:lang w:val="en-US" w:eastAsia="zh-CN" w:bidi="ar-SA"/>
        </w:rPr>
        <w:t>（依法免税的单位应提供相关证明材料）</w:t>
      </w:r>
      <w:bookmarkEnd w:id="692"/>
      <w:bookmarkEnd w:id="693"/>
      <w:bookmarkEnd w:id="694"/>
      <w:bookmarkEnd w:id="695"/>
    </w:p>
    <w:p w14:paraId="088A8D5D">
      <w:pPr>
        <w:pStyle w:val="2"/>
        <w:spacing w:line="360" w:lineRule="auto"/>
        <w:jc w:val="center"/>
        <w:rPr>
          <w:rFonts w:hint="eastAsia"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bookmarkStart w:id="696" w:name="_Toc17266"/>
      <w:bookmarkStart w:id="697" w:name="_Toc8858"/>
      <w:bookmarkStart w:id="698" w:name="_Toc22303"/>
      <w:bookmarkStart w:id="699" w:name="_Toc17764"/>
      <w:bookmarkStart w:id="700" w:name="_Toc32477"/>
      <w:bookmarkStart w:id="701" w:name="_Toc11073"/>
      <w:r>
        <w:rPr>
          <w:rFonts w:hint="eastAsia" w:ascii="宋体" w:hAnsi="宋体" w:eastAsia="宋体" w:cs="宋体"/>
          <w:b/>
          <w:bCs/>
          <w:kern w:val="2"/>
          <w:sz w:val="24"/>
          <w:szCs w:val="24"/>
          <w:highlight w:val="none"/>
          <w:lang w:val="en-US" w:eastAsia="zh-CN" w:bidi="ar-SA"/>
        </w:rPr>
        <w:t>（复印件加盖供应商公章）</w:t>
      </w:r>
      <w:bookmarkEnd w:id="696"/>
      <w:bookmarkEnd w:id="697"/>
      <w:bookmarkEnd w:id="698"/>
      <w:bookmarkEnd w:id="699"/>
      <w:bookmarkEnd w:id="700"/>
      <w:bookmarkEnd w:id="701"/>
    </w:p>
    <w:p w14:paraId="04960706">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6.</w:t>
      </w:r>
      <w:bookmarkEnd w:id="672"/>
      <w:bookmarkEnd w:id="673"/>
      <w:bookmarkEnd w:id="674"/>
      <w:r>
        <w:rPr>
          <w:rFonts w:hint="eastAsia" w:ascii="宋体" w:hAnsi="宋体" w:eastAsia="宋体" w:cs="宋体"/>
          <w:b/>
          <w:bCs/>
          <w:kern w:val="2"/>
          <w:sz w:val="24"/>
          <w:szCs w:val="24"/>
          <w:highlight w:val="none"/>
          <w:lang w:val="en-US" w:eastAsia="zh-CN" w:bidi="ar-SA"/>
        </w:rPr>
        <w:t>6、参加本次政府采购活动前3年内，在经营活动中没有重大违法记录的书面声明</w:t>
      </w:r>
    </w:p>
    <w:p w14:paraId="493756EA">
      <w:pPr>
        <w:pStyle w:val="7"/>
        <w:ind w:firstLine="0"/>
        <w:rPr>
          <w:rFonts w:hint="eastAsia" w:ascii="宋体" w:hAnsi="宋体" w:eastAsia="宋体" w:cs="宋体"/>
          <w:b/>
          <w:sz w:val="24"/>
          <w:szCs w:val="24"/>
          <w:highlight w:val="none"/>
        </w:rPr>
      </w:pPr>
    </w:p>
    <w:p w14:paraId="5B6318DF">
      <w:pPr>
        <w:pStyle w:val="7"/>
        <w:ind w:firstLine="0"/>
        <w:rPr>
          <w:rFonts w:hint="eastAsia" w:ascii="宋体" w:hAnsi="宋体" w:eastAsia="宋体" w:cs="宋体"/>
          <w:b/>
          <w:sz w:val="18"/>
          <w:szCs w:val="18"/>
          <w:highlight w:val="none"/>
        </w:rPr>
      </w:pPr>
    </w:p>
    <w:p w14:paraId="404B84C3">
      <w:pPr>
        <w:pStyle w:val="21"/>
        <w:keepNext w:val="0"/>
        <w:keepLines w:val="0"/>
        <w:pageBreakBefore w:val="0"/>
        <w:widowControl w:val="0"/>
        <w:kinsoku/>
        <w:wordWrap/>
        <w:overflowPunct/>
        <w:topLinePunct w:val="0"/>
        <w:autoSpaceDE/>
        <w:autoSpaceDN/>
        <w:bidi w:val="0"/>
        <w:spacing w:before="0" w:beforeAutospacing="0" w:after="0" w:afterAutospacing="0" w:line="480" w:lineRule="auto"/>
        <w:jc w:val="both"/>
        <w:textAlignment w:val="auto"/>
        <w:rPr>
          <w:rFonts w:hint="default" w:ascii="宋体" w:hAnsi="宋体" w:eastAsia="宋体" w:cs="宋体"/>
          <w:b/>
          <w:sz w:val="24"/>
          <w:szCs w:val="24"/>
          <w:highlight w:val="none"/>
          <w:u w:val="none"/>
          <w:lang w:val="en-US" w:eastAsia="zh-CN"/>
        </w:rPr>
      </w:pPr>
      <w:r>
        <w:rPr>
          <w:rFonts w:hint="eastAsia" w:ascii="宋体" w:hAnsi="宋体" w:eastAsia="宋体" w:cs="宋体"/>
          <w:b w:val="0"/>
          <w:bCs/>
          <w:sz w:val="24"/>
          <w:szCs w:val="24"/>
          <w:highlight w:val="none"/>
        </w:rPr>
        <w:t>致：</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（采购人名称）</w:t>
      </w:r>
    </w:p>
    <w:p w14:paraId="51D4D94A">
      <w:pPr>
        <w:pStyle w:val="21"/>
        <w:keepNext w:val="0"/>
        <w:keepLines w:val="0"/>
        <w:pageBreakBefore w:val="0"/>
        <w:widowControl w:val="0"/>
        <w:kinsoku/>
        <w:wordWrap/>
        <w:overflowPunct/>
        <w:topLinePunct w:val="0"/>
        <w:autoSpaceDE/>
        <w:autoSpaceDN/>
        <w:bidi w:val="0"/>
        <w:spacing w:before="0" w:beforeAutospacing="0" w:after="0" w:afterAutospacing="0" w:line="480" w:lineRule="auto"/>
        <w:ind w:firstLine="480" w:firstLineChars="2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我方</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en-US" w:eastAsia="zh-CN"/>
        </w:rPr>
        <w:t>（供应商名称）郑重声明在参加本次政府采购活动前3年内的经营活动中没有重大违法记录。如有不实，我方将无条件地退出本项目的采购活动，并遵照《政府采购法》有关"提供虚假材料的规定"接受处罚。</w:t>
      </w:r>
      <w:r>
        <w:rPr>
          <w:rFonts w:hint="eastAsia" w:ascii="宋体" w:hAnsi="宋体" w:eastAsia="宋体" w:cs="宋体"/>
          <w:bCs/>
          <w:sz w:val="24"/>
          <w:szCs w:val="24"/>
          <w:highlight w:val="none"/>
          <w:lang w:val="en-US" w:eastAsia="zh-CN"/>
        </w:rPr>
        <w:br w:type="textWrapping"/>
      </w:r>
      <w:r>
        <w:rPr>
          <w:rFonts w:hint="eastAsia" w:ascii="宋体" w:hAnsi="宋体" w:eastAsia="宋体" w:cs="宋体"/>
          <w:bCs/>
          <w:sz w:val="24"/>
          <w:szCs w:val="24"/>
          <w:highlight w:val="none"/>
          <w:lang w:val="en-US" w:eastAsia="zh-CN"/>
        </w:rPr>
        <w:t xml:space="preserve">     特此声明！</w:t>
      </w:r>
    </w:p>
    <w:p w14:paraId="5E150AD2">
      <w:pPr>
        <w:pStyle w:val="2"/>
        <w:rPr>
          <w:rFonts w:hint="eastAsia" w:ascii="宋体" w:hAnsi="宋体" w:eastAsia="宋体" w:cs="宋体"/>
          <w:highlight w:val="none"/>
          <w:lang w:val="en-US" w:eastAsia="zh-CN"/>
        </w:rPr>
      </w:pPr>
    </w:p>
    <w:p w14:paraId="59EA34BE">
      <w:pPr>
        <w:rPr>
          <w:rFonts w:hint="eastAsia"/>
          <w:highlight w:val="none"/>
          <w:lang w:val="en-US" w:eastAsia="zh-CN"/>
        </w:rPr>
      </w:pPr>
    </w:p>
    <w:p w14:paraId="3536892F">
      <w:pPr>
        <w:keepNext w:val="0"/>
        <w:keepLines w:val="0"/>
        <w:pageBreakBefore w:val="0"/>
        <w:widowControl w:val="0"/>
        <w:kinsoku/>
        <w:wordWrap/>
        <w:overflowPunct/>
        <w:topLinePunct w:val="0"/>
        <w:autoSpaceDE/>
        <w:autoSpaceDN/>
        <w:bidi w:val="0"/>
        <w:adjustRightInd w:val="0"/>
        <w:snapToGrid w:val="0"/>
        <w:spacing w:line="408" w:lineRule="auto"/>
        <w:ind w:firstLine="2880" w:firstLineChars="1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（盖单位章）</w:t>
      </w:r>
    </w:p>
    <w:p w14:paraId="065489AA">
      <w:pPr>
        <w:keepNext w:val="0"/>
        <w:keepLines w:val="0"/>
        <w:pageBreakBefore w:val="0"/>
        <w:widowControl w:val="0"/>
        <w:kinsoku/>
        <w:wordWrap/>
        <w:overflowPunct/>
        <w:topLinePunct w:val="0"/>
        <w:autoSpaceDE/>
        <w:autoSpaceDN/>
        <w:bidi w:val="0"/>
        <w:adjustRightInd w:val="0"/>
        <w:snapToGrid w:val="0"/>
        <w:spacing w:line="408" w:lineRule="auto"/>
        <w:ind w:firstLine="2880" w:firstLineChars="1200"/>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法定代表人或授权代表</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zh-CN"/>
        </w:rPr>
        <w:t>（签</w:t>
      </w:r>
      <w:r>
        <w:rPr>
          <w:rFonts w:hint="eastAsia" w:ascii="宋体" w:hAnsi="宋体" w:eastAsia="宋体" w:cs="宋体"/>
          <w:sz w:val="24"/>
          <w:highlight w:val="none"/>
          <w:lang w:eastAsia="zh-CN"/>
        </w:rPr>
        <w:t>字</w:t>
      </w:r>
      <w:r>
        <w:rPr>
          <w:rFonts w:hint="eastAsia" w:ascii="宋体" w:hAnsi="宋体" w:eastAsia="宋体" w:cs="宋体"/>
          <w:bCs/>
          <w:sz w:val="24"/>
          <w:szCs w:val="24"/>
          <w:highlight w:val="none"/>
          <w:lang w:val="zh-CN"/>
        </w:rPr>
        <w:t>或盖章）</w:t>
      </w:r>
    </w:p>
    <w:p w14:paraId="2069A15D">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日</w:t>
      </w:r>
    </w:p>
    <w:p w14:paraId="026DC4AF">
      <w:pPr>
        <w:pStyle w:val="2"/>
        <w:spacing w:line="360" w:lineRule="auto"/>
        <w:jc w:val="both"/>
        <w:rPr>
          <w:rFonts w:hint="eastAsia" w:ascii="宋体" w:hAnsi="宋体" w:eastAsia="宋体" w:cs="宋体"/>
          <w:b w:val="0"/>
          <w:bCs w:val="0"/>
          <w:kern w:val="2"/>
          <w:sz w:val="24"/>
          <w:szCs w:val="24"/>
          <w:highlight w:val="none"/>
          <w:lang w:val="en-US" w:eastAsia="zh-CN" w:bidi="ar-SA"/>
        </w:rPr>
      </w:pPr>
    </w:p>
    <w:p w14:paraId="115CFF3E">
      <w:pPr>
        <w:pStyle w:val="2"/>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19A1CF1E">
      <w:pPr>
        <w:pStyle w:val="2"/>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sectPr>
          <w:type w:val="continuous"/>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07FC95D3">
      <w:pPr>
        <w:adjustRightInd w:val="0"/>
        <w:snapToGrid w:val="0"/>
        <w:spacing w:line="360" w:lineRule="auto"/>
        <w:jc w:val="center"/>
        <w:rPr>
          <w:rFonts w:hint="eastAsia" w:ascii="宋体" w:hAnsi="宋体" w:eastAsia="宋体" w:cs="宋体"/>
          <w:b/>
          <w:sz w:val="24"/>
          <w:szCs w:val="24"/>
          <w:highlight w:val="none"/>
          <w:lang w:val="en-US" w:eastAsia="zh-CN"/>
        </w:rPr>
      </w:pPr>
      <w:bookmarkStart w:id="702" w:name="_Toc182"/>
      <w:bookmarkStart w:id="703" w:name="_Toc15200"/>
      <w:bookmarkStart w:id="704" w:name="_Toc25714"/>
      <w:bookmarkStart w:id="705" w:name="_Toc6495"/>
      <w:bookmarkStart w:id="706" w:name="_Toc999"/>
      <w:bookmarkStart w:id="707" w:name="_Toc11094"/>
      <w:bookmarkStart w:id="708" w:name="_Toc4704"/>
      <w:r>
        <w:rPr>
          <w:rFonts w:hint="eastAsia" w:ascii="宋体" w:hAnsi="宋体" w:eastAsia="宋体" w:cs="宋体"/>
          <w:b/>
          <w:bCs/>
          <w:kern w:val="2"/>
          <w:sz w:val="24"/>
          <w:szCs w:val="24"/>
          <w:highlight w:val="none"/>
          <w:lang w:val="en-US" w:eastAsia="zh-CN" w:bidi="ar-SA"/>
        </w:rPr>
        <w:t>6.7、</w:t>
      </w:r>
      <w:r>
        <w:rPr>
          <w:rFonts w:hint="eastAsia" w:ascii="宋体" w:hAnsi="宋体" w:eastAsia="宋体" w:cs="宋体"/>
          <w:b/>
          <w:sz w:val="24"/>
          <w:szCs w:val="24"/>
          <w:highlight w:val="none"/>
          <w:lang w:val="en-US" w:eastAsia="zh-CN"/>
        </w:rPr>
        <w:t>供应商提供具有履行合同所必需的设备和专业技术能力的承诺函</w:t>
      </w:r>
    </w:p>
    <w:p w14:paraId="55C19F3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4"/>
          <w:sz w:val="24"/>
          <w:szCs w:val="24"/>
          <w:highlight w:val="none"/>
          <w:u w:val="single"/>
        </w:rPr>
      </w:pPr>
    </w:p>
    <w:p w14:paraId="1B0BF639">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pacing w:val="4"/>
          <w:sz w:val="24"/>
          <w:szCs w:val="24"/>
          <w:highlight w:val="none"/>
          <w:u w:val="single"/>
          <w:lang w:eastAsia="zh-CN"/>
        </w:rPr>
      </w:pP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none"/>
          <w:lang w:eastAsia="zh-CN"/>
        </w:rPr>
        <w:t>（采购人名称）：</w:t>
      </w:r>
    </w:p>
    <w:p w14:paraId="1666630B">
      <w:pPr>
        <w:pStyle w:val="13"/>
        <w:keepNext w:val="0"/>
        <w:keepLines w:val="0"/>
        <w:pageBreakBefore w:val="0"/>
        <w:widowControl w:val="0"/>
        <w:kinsoku/>
        <w:wordWrap/>
        <w:overflowPunct/>
        <w:topLinePunct w:val="0"/>
        <w:autoSpaceDE/>
        <w:autoSpaceDN/>
        <w:bidi w:val="0"/>
        <w:adjustRightInd w:val="0"/>
        <w:snapToGrid w:val="0"/>
        <w:spacing w:line="480" w:lineRule="auto"/>
        <w:ind w:firstLine="496" w:firstLineChars="2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eastAsia="zh-CN"/>
        </w:rPr>
        <w:t>供应商</w:t>
      </w:r>
      <w:r>
        <w:rPr>
          <w:rFonts w:hint="eastAsia" w:ascii="宋体" w:hAnsi="宋体" w:eastAsia="宋体" w:cs="宋体"/>
          <w:spacing w:val="4"/>
          <w:sz w:val="24"/>
          <w:szCs w:val="24"/>
          <w:highlight w:val="none"/>
          <w:u w:val="single"/>
        </w:rPr>
        <w:t xml:space="preserve">名称）    </w:t>
      </w:r>
      <w:r>
        <w:rPr>
          <w:rFonts w:hint="eastAsia" w:ascii="宋体" w:hAnsi="宋体" w:eastAsia="宋体" w:cs="宋体"/>
          <w:spacing w:val="4"/>
          <w:sz w:val="24"/>
          <w:szCs w:val="24"/>
          <w:highlight w:val="none"/>
        </w:rPr>
        <w:t>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，营业（生产经营）面积为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 ，现有员工数量为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，本公司郑重</w:t>
      </w:r>
      <w:r>
        <w:rPr>
          <w:rFonts w:hint="eastAsia" w:ascii="宋体" w:hAnsi="宋体" w:eastAsia="宋体" w:cs="宋体"/>
          <w:spacing w:val="4"/>
          <w:sz w:val="24"/>
          <w:szCs w:val="24"/>
          <w:highlight w:val="none"/>
          <w:lang w:eastAsia="zh-CN"/>
        </w:rPr>
        <w:t>承诺</w:t>
      </w:r>
      <w:r>
        <w:rPr>
          <w:rFonts w:hint="eastAsia" w:ascii="宋体" w:hAnsi="宋体" w:eastAsia="宋体" w:cs="宋体"/>
          <w:spacing w:val="4"/>
          <w:sz w:val="24"/>
          <w:szCs w:val="24"/>
          <w:highlight w:val="none"/>
        </w:rPr>
        <w:t>，具有履行本合同所必需的设备和专业技术能力。</w:t>
      </w:r>
      <w:r>
        <w:rPr>
          <w:rFonts w:hint="eastAsia" w:ascii="宋体" w:hAnsi="宋体" w:eastAsia="宋体" w:cs="宋体"/>
          <w:sz w:val="24"/>
          <w:szCs w:val="24"/>
          <w:highlight w:val="none"/>
        </w:rPr>
        <w:t>如有不实，我方将无条件地退出本项目的</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活动，并遵照《政府采购法》有关"提供虚假材料的规定"接受处罚。</w:t>
      </w:r>
    </w:p>
    <w:p w14:paraId="7DDB8746">
      <w:pPr>
        <w:pStyle w:val="13"/>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lang w:eastAsia="zh-CN"/>
        </w:rPr>
      </w:pPr>
      <w:r>
        <w:rPr>
          <w:rFonts w:hint="eastAsia" w:hAnsi="宋体" w:eastAsia="宋体" w:cs="宋体"/>
          <w:sz w:val="24"/>
          <w:szCs w:val="24"/>
          <w:highlight w:val="none"/>
          <w:lang w:eastAsia="zh-CN"/>
        </w:rPr>
        <w:t>特此承诺！</w:t>
      </w:r>
    </w:p>
    <w:p w14:paraId="3CCFD39F">
      <w:pPr>
        <w:rPr>
          <w:rFonts w:hint="default"/>
          <w:highlight w:val="none"/>
          <w:lang w:val="en-US" w:eastAsia="zh-CN"/>
        </w:rPr>
      </w:pPr>
    </w:p>
    <w:p w14:paraId="4B4F1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ighlight w:val="none"/>
          <w:lang w:val="en-US" w:eastAsia="zh-CN"/>
        </w:rPr>
      </w:pPr>
    </w:p>
    <w:p w14:paraId="5CBD6794">
      <w:pPr>
        <w:keepNext w:val="0"/>
        <w:keepLines w:val="0"/>
        <w:pageBreakBefore w:val="0"/>
        <w:widowControl w:val="0"/>
        <w:kinsoku/>
        <w:wordWrap/>
        <w:overflowPunct/>
        <w:topLinePunct w:val="0"/>
        <w:autoSpaceDE/>
        <w:autoSpaceDN/>
        <w:bidi w:val="0"/>
        <w:adjustRightInd w:val="0"/>
        <w:snapToGrid w:val="0"/>
        <w:spacing w:line="408" w:lineRule="auto"/>
        <w:ind w:firstLine="2640" w:firstLineChars="11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（盖单位章）</w:t>
      </w:r>
    </w:p>
    <w:p w14:paraId="44B8117F">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val="zh-CN"/>
        </w:rPr>
        <w:t>法定代表人或授权代表</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zh-CN"/>
        </w:rPr>
        <w:t>（签</w:t>
      </w:r>
      <w:r>
        <w:rPr>
          <w:rFonts w:hint="eastAsia" w:ascii="宋体" w:hAnsi="宋体" w:eastAsia="宋体" w:cs="宋体"/>
          <w:sz w:val="24"/>
          <w:highlight w:val="none"/>
          <w:lang w:eastAsia="zh-CN"/>
        </w:rPr>
        <w:t>字</w:t>
      </w:r>
      <w:r>
        <w:rPr>
          <w:rFonts w:hint="eastAsia" w:ascii="宋体" w:hAnsi="宋体" w:eastAsia="宋体" w:cs="宋体"/>
          <w:bCs/>
          <w:sz w:val="24"/>
          <w:szCs w:val="24"/>
          <w:highlight w:val="none"/>
          <w:lang w:val="zh-CN"/>
        </w:rPr>
        <w:t>或盖章）</w:t>
      </w:r>
    </w:p>
    <w:p w14:paraId="788D351E">
      <w:pPr>
        <w:keepNext w:val="0"/>
        <w:keepLines w:val="0"/>
        <w:pageBreakBefore w:val="0"/>
        <w:widowControl w:val="0"/>
        <w:kinsoku/>
        <w:wordWrap/>
        <w:overflowPunct/>
        <w:topLinePunct w:val="0"/>
        <w:autoSpaceDE/>
        <w:autoSpaceDN/>
        <w:bidi w:val="0"/>
        <w:spacing w:line="408"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日</w:t>
      </w:r>
    </w:p>
    <w:p w14:paraId="4EBB1D16">
      <w:pPr>
        <w:adjustRightInd w:val="0"/>
        <w:snapToGrid w:val="0"/>
        <w:spacing w:line="360" w:lineRule="auto"/>
        <w:jc w:val="both"/>
        <w:rPr>
          <w:rFonts w:hint="default" w:ascii="宋体" w:hAnsi="宋体" w:eastAsia="宋体" w:cs="宋体"/>
          <w:b/>
          <w:sz w:val="24"/>
          <w:szCs w:val="24"/>
          <w:highlight w:val="none"/>
          <w:lang w:val="en-US" w:eastAsia="zh-CN"/>
        </w:rPr>
      </w:pPr>
    </w:p>
    <w:p w14:paraId="0C48DAD7">
      <w:pPr>
        <w:pStyle w:val="2"/>
        <w:jc w:val="both"/>
        <w:rPr>
          <w:rFonts w:hint="default"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5B53FCBE">
      <w:pPr>
        <w:pStyle w:val="2"/>
        <w:jc w:val="center"/>
        <w:rPr>
          <w:rFonts w:hint="eastAsia" w:ascii="宋体" w:hAnsi="宋体" w:eastAsia="宋体" w:cs="宋体"/>
          <w:b/>
          <w:bCs/>
          <w:kern w:val="2"/>
          <w:sz w:val="24"/>
          <w:szCs w:val="24"/>
          <w:highlight w:val="none"/>
          <w:lang w:val="en-US" w:eastAsia="zh-CN" w:bidi="ar-SA"/>
        </w:rPr>
      </w:pPr>
      <w:bookmarkStart w:id="709" w:name="_Toc17940"/>
      <w:bookmarkStart w:id="710" w:name="_Toc17912"/>
      <w:bookmarkStart w:id="711" w:name="_Toc1660"/>
      <w:r>
        <w:rPr>
          <w:rFonts w:hint="eastAsia" w:ascii="宋体" w:hAnsi="宋体" w:eastAsia="宋体" w:cs="宋体"/>
          <w:b/>
          <w:bCs/>
          <w:kern w:val="2"/>
          <w:sz w:val="24"/>
          <w:szCs w:val="24"/>
          <w:highlight w:val="none"/>
          <w:lang w:val="en-US" w:eastAsia="zh-CN" w:bidi="ar-SA"/>
        </w:rPr>
        <w:t>6.8、无不良记录的截图材料</w:t>
      </w:r>
      <w:bookmarkEnd w:id="702"/>
      <w:bookmarkEnd w:id="703"/>
      <w:bookmarkEnd w:id="704"/>
      <w:bookmarkEnd w:id="705"/>
      <w:bookmarkEnd w:id="706"/>
      <w:bookmarkEnd w:id="707"/>
      <w:bookmarkEnd w:id="708"/>
      <w:bookmarkEnd w:id="709"/>
      <w:bookmarkEnd w:id="710"/>
      <w:bookmarkEnd w:id="711"/>
    </w:p>
    <w:p w14:paraId="2B872D97">
      <w:pPr>
        <w:pStyle w:val="2"/>
        <w:spacing w:line="360" w:lineRule="auto"/>
        <w:jc w:val="center"/>
        <w:rPr>
          <w:rFonts w:hint="eastAsia" w:ascii="宋体" w:hAnsi="宋体" w:eastAsia="宋体" w:cs="宋体"/>
          <w:b/>
          <w:bCs/>
          <w:kern w:val="2"/>
          <w:sz w:val="24"/>
          <w:szCs w:val="24"/>
          <w:highlight w:val="none"/>
          <w:lang w:val="en-US" w:eastAsia="zh-CN" w:bidi="ar-SA"/>
        </w:rPr>
      </w:pPr>
      <w:bookmarkStart w:id="712" w:name="_Toc11179"/>
      <w:bookmarkStart w:id="713" w:name="_Toc9384"/>
      <w:bookmarkStart w:id="714" w:name="_Toc7671"/>
      <w:bookmarkStart w:id="715" w:name="_Toc23243"/>
      <w:bookmarkStart w:id="716" w:name="_Toc1261"/>
      <w:bookmarkStart w:id="717" w:name="_Toc23536"/>
      <w:bookmarkStart w:id="718" w:name="_Toc28967"/>
      <w:bookmarkStart w:id="719" w:name="_Toc12430"/>
      <w:bookmarkStart w:id="720" w:name="_Toc65"/>
      <w:bookmarkStart w:id="721" w:name="_Toc16225"/>
      <w:bookmarkStart w:id="722" w:name="_Toc30369"/>
      <w:bookmarkStart w:id="723" w:name="_Toc29799"/>
      <w:bookmarkStart w:id="724" w:name="_Toc17693"/>
      <w:bookmarkStart w:id="725" w:name="_Toc6059"/>
      <w:r>
        <w:rPr>
          <w:rFonts w:hint="eastAsia" w:ascii="宋体" w:hAnsi="宋体" w:eastAsia="宋体" w:cs="宋体"/>
          <w:b/>
          <w:bCs/>
          <w:kern w:val="2"/>
          <w:sz w:val="24"/>
          <w:szCs w:val="24"/>
          <w:highlight w:val="none"/>
          <w:lang w:val="en-US" w:eastAsia="zh-CN" w:bidi="ar-SA"/>
        </w:rPr>
        <w:t>须附在“信用中国”网站中未列入重大税收违法失信主体的查询截图、</w:t>
      </w:r>
      <w:bookmarkEnd w:id="712"/>
      <w:bookmarkEnd w:id="713"/>
      <w:bookmarkEnd w:id="714"/>
    </w:p>
    <w:p w14:paraId="1E1D6BD7">
      <w:pPr>
        <w:pStyle w:val="2"/>
        <w:spacing w:line="360" w:lineRule="auto"/>
        <w:jc w:val="center"/>
        <w:rPr>
          <w:rFonts w:hint="eastAsia" w:ascii="宋体" w:hAnsi="宋体" w:eastAsia="宋体" w:cs="宋体"/>
          <w:b/>
          <w:bCs/>
          <w:kern w:val="2"/>
          <w:sz w:val="24"/>
          <w:szCs w:val="24"/>
          <w:highlight w:val="none"/>
          <w:lang w:val="en-US" w:eastAsia="zh-CN" w:bidi="ar-SA"/>
        </w:rPr>
      </w:pPr>
      <w:bookmarkStart w:id="726" w:name="_Toc10150"/>
      <w:bookmarkStart w:id="727" w:name="_Toc14658"/>
      <w:bookmarkStart w:id="728" w:name="_Toc5354"/>
      <w:r>
        <w:rPr>
          <w:rFonts w:hint="eastAsia" w:ascii="宋体" w:hAnsi="宋体" w:eastAsia="宋体" w:cs="宋体"/>
          <w:b/>
          <w:bCs/>
          <w:kern w:val="2"/>
          <w:sz w:val="24"/>
          <w:szCs w:val="24"/>
          <w:highlight w:val="none"/>
          <w:lang w:val="en-US" w:eastAsia="zh-CN" w:bidi="ar-SA"/>
        </w:rPr>
        <w:t>“中国执行信息公开网”网站中未列入失信被执行人的查询截图、</w:t>
      </w:r>
      <w:bookmarkEnd w:id="726"/>
      <w:bookmarkEnd w:id="727"/>
      <w:bookmarkEnd w:id="728"/>
    </w:p>
    <w:p w14:paraId="60B17F6A">
      <w:pPr>
        <w:pStyle w:val="2"/>
        <w:spacing w:line="360" w:lineRule="auto"/>
        <w:jc w:val="center"/>
        <w:rPr>
          <w:rFonts w:hint="eastAsia" w:ascii="宋体" w:hAnsi="宋体" w:eastAsia="宋体" w:cs="宋体"/>
          <w:b/>
          <w:bCs/>
          <w:kern w:val="2"/>
          <w:sz w:val="24"/>
          <w:szCs w:val="24"/>
          <w:highlight w:val="none"/>
          <w:lang w:val="en-US" w:eastAsia="zh-CN" w:bidi="ar-SA"/>
        </w:rPr>
      </w:pPr>
      <w:bookmarkStart w:id="729" w:name="_Toc16993"/>
      <w:bookmarkStart w:id="730" w:name="_Toc2785"/>
      <w:bookmarkStart w:id="731" w:name="_Toc11038"/>
      <w:r>
        <w:rPr>
          <w:rFonts w:hint="eastAsia" w:ascii="宋体" w:hAnsi="宋体" w:eastAsia="宋体" w:cs="宋体"/>
          <w:b/>
          <w:bCs/>
          <w:kern w:val="2"/>
          <w:sz w:val="24"/>
          <w:szCs w:val="24"/>
          <w:highlight w:val="none"/>
          <w:lang w:val="en-US" w:eastAsia="zh-CN" w:bidi="ar-SA"/>
        </w:rPr>
        <w:t>“中国政府采购网”网站中未列入政府采购严重违法失信行为记录名单的查询截图</w:t>
      </w:r>
      <w:bookmarkEnd w:id="715"/>
      <w:bookmarkEnd w:id="716"/>
      <w:bookmarkEnd w:id="717"/>
      <w:bookmarkEnd w:id="718"/>
      <w:bookmarkEnd w:id="719"/>
      <w:bookmarkEnd w:id="720"/>
      <w:bookmarkEnd w:id="721"/>
      <w:bookmarkEnd w:id="729"/>
      <w:bookmarkEnd w:id="730"/>
      <w:bookmarkEnd w:id="731"/>
    </w:p>
    <w:p w14:paraId="1BEA78A4">
      <w:pPr>
        <w:pStyle w:val="2"/>
        <w:spacing w:line="360" w:lineRule="auto"/>
        <w:jc w:val="center"/>
        <w:rPr>
          <w:rFonts w:hint="eastAsia" w:ascii="宋体" w:hAnsi="宋体" w:eastAsia="宋体" w:cs="宋体"/>
          <w:b w:val="0"/>
          <w:bCs w:val="0"/>
          <w:kern w:val="2"/>
          <w:sz w:val="24"/>
          <w:szCs w:val="24"/>
          <w:highlight w:val="none"/>
          <w:lang w:val="en-US" w:eastAsia="zh-CN" w:bidi="ar-SA"/>
        </w:rPr>
      </w:pPr>
      <w:bookmarkStart w:id="732" w:name="_Toc29007"/>
      <w:bookmarkStart w:id="733" w:name="_Toc18261"/>
      <w:bookmarkStart w:id="734" w:name="_Toc4464"/>
      <w:bookmarkStart w:id="735" w:name="_Toc13256"/>
      <w:bookmarkStart w:id="736" w:name="_Toc20424"/>
      <w:bookmarkStart w:id="737" w:name="_Toc29309"/>
      <w:r>
        <w:rPr>
          <w:rFonts w:hint="eastAsia" w:ascii="宋体" w:hAnsi="宋体" w:eastAsia="宋体" w:cs="宋体"/>
          <w:b/>
          <w:bCs/>
          <w:kern w:val="2"/>
          <w:sz w:val="24"/>
          <w:szCs w:val="24"/>
          <w:highlight w:val="none"/>
          <w:lang w:val="en-US" w:eastAsia="zh-CN" w:bidi="ar-SA"/>
        </w:rPr>
        <w:t>（截图须加盖供应商公章）</w:t>
      </w:r>
      <w:bookmarkEnd w:id="722"/>
      <w:bookmarkEnd w:id="723"/>
      <w:bookmarkEnd w:id="724"/>
      <w:bookmarkEnd w:id="725"/>
      <w:bookmarkEnd w:id="732"/>
      <w:bookmarkEnd w:id="733"/>
      <w:bookmarkEnd w:id="734"/>
      <w:bookmarkEnd w:id="735"/>
      <w:bookmarkEnd w:id="736"/>
      <w:bookmarkEnd w:id="737"/>
    </w:p>
    <w:p w14:paraId="0A3498CC">
      <w:pPr>
        <w:rPr>
          <w:rFonts w:hint="eastAsia"/>
          <w:highlight w:val="none"/>
          <w:lang w:val="en-US"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p>
    <w:p w14:paraId="349471AB">
      <w:pPr>
        <w:pStyle w:val="2"/>
        <w:spacing w:line="360" w:lineRule="auto"/>
        <w:jc w:val="center"/>
        <w:rPr>
          <w:rFonts w:hint="eastAsia" w:ascii="宋体" w:hAnsi="宋体" w:eastAsia="宋体" w:cs="宋体"/>
          <w:b/>
          <w:bCs/>
          <w:kern w:val="2"/>
          <w:sz w:val="24"/>
          <w:szCs w:val="24"/>
          <w:highlight w:val="none"/>
          <w:lang w:val="en-US" w:eastAsia="zh-CN" w:bidi="ar-SA"/>
        </w:rPr>
      </w:pPr>
      <w:bookmarkStart w:id="738" w:name="_Toc6569"/>
      <w:bookmarkStart w:id="739" w:name="_Toc14894"/>
      <w:bookmarkStart w:id="740" w:name="_Toc23972"/>
      <w:bookmarkStart w:id="741" w:name="_Toc30077"/>
      <w:bookmarkStart w:id="742" w:name="_Toc6301"/>
      <w:bookmarkStart w:id="743" w:name="_Toc5998"/>
      <w:r>
        <w:rPr>
          <w:rFonts w:hint="eastAsia" w:ascii="宋体" w:hAnsi="宋体" w:eastAsia="宋体" w:cs="宋体"/>
          <w:b/>
          <w:bCs/>
          <w:kern w:val="2"/>
          <w:sz w:val="24"/>
          <w:szCs w:val="24"/>
          <w:highlight w:val="none"/>
          <w:lang w:val="en-US" w:eastAsia="zh-CN" w:bidi="ar-SA"/>
        </w:rPr>
        <w:t>6.9、单位负责人为同一人或者存在直接控股、管理关系的不同供应商，不得参加同一合同项下的政府采购活动承诺书</w:t>
      </w:r>
      <w:bookmarkEnd w:id="738"/>
      <w:bookmarkEnd w:id="739"/>
      <w:bookmarkEnd w:id="740"/>
      <w:bookmarkEnd w:id="741"/>
      <w:bookmarkEnd w:id="742"/>
      <w:bookmarkEnd w:id="743"/>
    </w:p>
    <w:p w14:paraId="4CC7750A">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p>
    <w:p w14:paraId="169121B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股东及股权证明</w:t>
      </w:r>
      <w:r>
        <w:rPr>
          <w:rFonts w:hint="eastAsia" w:ascii="宋体" w:hAnsi="宋体" w:eastAsia="宋体" w:cs="宋体"/>
          <w:b/>
          <w:bCs/>
          <w:sz w:val="24"/>
          <w:szCs w:val="24"/>
          <w:highlight w:val="none"/>
        </w:rPr>
        <w:t>(须提供国家企业信用信息公示系统中体现股东及出资详细信息</w:t>
      </w:r>
      <w:r>
        <w:rPr>
          <w:rFonts w:hint="eastAsia" w:ascii="宋体" w:hAnsi="宋体" w:eastAsia="宋体" w:cs="宋体"/>
          <w:b/>
          <w:bCs/>
          <w:sz w:val="24"/>
          <w:szCs w:val="24"/>
          <w:highlight w:val="none"/>
          <w:lang w:eastAsia="zh-CN"/>
        </w:rPr>
        <w:t>的截图</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p>
    <w:p w14:paraId="781A62D2">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在本项目</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中，不存在</w:t>
      </w:r>
      <w:r>
        <w:rPr>
          <w:rFonts w:hint="eastAsia" w:ascii="宋体" w:hAnsi="宋体" w:eastAsia="宋体" w:cs="宋体"/>
          <w:sz w:val="24"/>
          <w:szCs w:val="24"/>
          <w:highlight w:val="none"/>
          <w:lang w:eastAsia="zh-CN"/>
        </w:rPr>
        <w:t>与其他供应商</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负责人为同一人，</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有控股、管理等关联关系承诺。</w:t>
      </w:r>
    </w:p>
    <w:p w14:paraId="38ECA2EA">
      <w:pPr>
        <w:keepNext w:val="0"/>
        <w:keepLines w:val="0"/>
        <w:pageBreakBefore w:val="0"/>
        <w:widowControl w:val="0"/>
        <w:kinsoku/>
        <w:wordWrap/>
        <w:overflowPunct/>
        <w:topLinePunct w:val="0"/>
        <w:bidi w:val="0"/>
        <w:snapToGrid/>
        <w:spacing w:line="432"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val="zh-CN"/>
        </w:rPr>
        <w:t>股权关系说明</w:t>
      </w:r>
    </w:p>
    <w:p w14:paraId="6C9764A6">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.1.1 我单位法定代表人（单位负责人）姓名：</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1DC82FA0">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.1.2 我单位控股的单位有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highlight w:val="none"/>
        </w:rPr>
        <w:t>(没有填无)</w:t>
      </w:r>
      <w:r>
        <w:rPr>
          <w:rFonts w:hint="eastAsia" w:ascii="宋体" w:hAnsi="宋体" w:eastAsia="宋体" w:cs="宋体"/>
          <w:sz w:val="24"/>
          <w:szCs w:val="24"/>
          <w:highlight w:val="none"/>
          <w:lang w:val="zh-CN"/>
        </w:rPr>
        <w:t>。</w:t>
      </w:r>
    </w:p>
    <w:p w14:paraId="52A5BC83">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.1.3 我单位被</w:t>
      </w:r>
      <w:r>
        <w:rPr>
          <w:rFonts w:hint="eastAsia" w:ascii="宋体" w:hAnsi="宋体" w:eastAsia="宋体" w:cs="宋体"/>
          <w:sz w:val="24"/>
          <w:szCs w:val="24"/>
          <w:highlight w:val="none"/>
          <w:u w:val="single"/>
          <w:lang w:val="zh-CN"/>
        </w:rPr>
        <w:t xml:space="preserve">          （单位或自然人）       </w:t>
      </w:r>
      <w:r>
        <w:rPr>
          <w:rFonts w:hint="eastAsia" w:ascii="宋体" w:hAnsi="宋体" w:eastAsia="宋体" w:cs="宋体"/>
          <w:sz w:val="24"/>
          <w:szCs w:val="24"/>
          <w:highlight w:val="none"/>
          <w:lang w:val="zh-CN"/>
        </w:rPr>
        <w:t>控股</w:t>
      </w:r>
      <w:r>
        <w:rPr>
          <w:rFonts w:hint="eastAsia" w:ascii="宋体" w:hAnsi="宋体" w:eastAsia="宋体" w:cs="宋体"/>
          <w:sz w:val="24"/>
          <w:highlight w:val="none"/>
        </w:rPr>
        <w:t>(没有填无)</w:t>
      </w:r>
      <w:r>
        <w:rPr>
          <w:rFonts w:hint="eastAsia" w:ascii="宋体" w:hAnsi="宋体" w:eastAsia="宋体" w:cs="宋体"/>
          <w:sz w:val="24"/>
          <w:szCs w:val="24"/>
          <w:highlight w:val="none"/>
          <w:lang w:val="zh-CN"/>
        </w:rPr>
        <w:t>。</w:t>
      </w:r>
    </w:p>
    <w:p w14:paraId="0BEE5B3D">
      <w:pPr>
        <w:keepNext w:val="0"/>
        <w:keepLines w:val="0"/>
        <w:pageBreakBefore w:val="0"/>
        <w:widowControl w:val="0"/>
        <w:kinsoku/>
        <w:wordWrap/>
        <w:overflowPunct/>
        <w:topLinePunct w:val="0"/>
        <w:bidi w:val="0"/>
        <w:snapToGrid/>
        <w:spacing w:line="432"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管理关系说明</w:t>
      </w:r>
    </w:p>
    <w:p w14:paraId="1BB1616E">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.2.1 我单位管理的下属单位有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highlight w:val="none"/>
        </w:rPr>
        <w:t>(没有填无)</w:t>
      </w:r>
      <w:r>
        <w:rPr>
          <w:rFonts w:hint="eastAsia" w:ascii="宋体" w:hAnsi="宋体" w:eastAsia="宋体" w:cs="宋体"/>
          <w:sz w:val="24"/>
          <w:szCs w:val="24"/>
          <w:highlight w:val="none"/>
          <w:lang w:val="zh-CN"/>
        </w:rPr>
        <w:t>。</w:t>
      </w:r>
    </w:p>
    <w:p w14:paraId="48AD8470">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.2.2 我单位的上级管理单位有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highlight w:val="none"/>
        </w:rPr>
        <w:t>(没有填无)</w:t>
      </w:r>
      <w:r>
        <w:rPr>
          <w:rFonts w:hint="eastAsia" w:ascii="宋体" w:hAnsi="宋体" w:eastAsia="宋体" w:cs="宋体"/>
          <w:sz w:val="24"/>
          <w:szCs w:val="24"/>
          <w:highlight w:val="none"/>
          <w:lang w:val="zh-CN"/>
        </w:rPr>
        <w:t>。</w:t>
      </w:r>
    </w:p>
    <w:p w14:paraId="6F196E45">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.我方与采购人不存在利害关系及其他可能影响招标公正性的情形。</w:t>
      </w:r>
    </w:p>
    <w:p w14:paraId="0792948F">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.我方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（是或否）</w:t>
      </w:r>
      <w:r>
        <w:rPr>
          <w:rFonts w:hint="eastAsia" w:ascii="宋体" w:hAnsi="宋体" w:eastAsia="宋体" w:cs="宋体"/>
          <w:sz w:val="24"/>
          <w:szCs w:val="24"/>
          <w:highlight w:val="none"/>
          <w:lang w:val="zh-CN"/>
        </w:rPr>
        <w:t>为采购项目提供整体设计、规范编制或者项目管理、监理、检测等服务；</w:t>
      </w:r>
    </w:p>
    <w:p w14:paraId="3F50EB02">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.其他与本项目有关的利害关系说明：</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highlight w:val="none"/>
        </w:rPr>
        <w:t>(没有填无)</w:t>
      </w:r>
      <w:r>
        <w:rPr>
          <w:rFonts w:hint="eastAsia" w:ascii="宋体" w:hAnsi="宋体" w:eastAsia="宋体" w:cs="宋体"/>
          <w:sz w:val="24"/>
          <w:szCs w:val="24"/>
          <w:highlight w:val="none"/>
          <w:lang w:val="zh-CN"/>
        </w:rPr>
        <w:t>。</w:t>
      </w:r>
    </w:p>
    <w:p w14:paraId="1E0FEC5A">
      <w:pPr>
        <w:keepNext w:val="0"/>
        <w:keepLines w:val="0"/>
        <w:pageBreakBefore w:val="0"/>
        <w:widowControl w:val="0"/>
        <w:kinsoku/>
        <w:wordWrap/>
        <w:overflowPunct/>
        <w:topLinePunct w:val="0"/>
        <w:autoSpaceDE w:val="0"/>
        <w:autoSpaceDN w:val="0"/>
        <w:bidi w:val="0"/>
        <w:adjustRightInd w:val="0"/>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我方承诺以上说明真实有效，无虚假内容或隐瞒</w:t>
      </w:r>
      <w:r>
        <w:rPr>
          <w:rFonts w:hint="eastAsia" w:ascii="宋体" w:hAnsi="宋体" w:eastAsia="宋体" w:cs="宋体"/>
          <w:szCs w:val="21"/>
          <w:highlight w:val="none"/>
          <w:lang w:val="zh-CN"/>
        </w:rPr>
        <w:t>。</w:t>
      </w:r>
    </w:p>
    <w:p w14:paraId="4882635F">
      <w:pPr>
        <w:pStyle w:val="13"/>
        <w:adjustRightInd w:val="0"/>
        <w:snapToGrid w:val="0"/>
        <w:spacing w:line="360" w:lineRule="auto"/>
        <w:ind w:firstLine="482" w:firstLineChars="200"/>
        <w:jc w:val="center"/>
        <w:rPr>
          <w:rFonts w:hint="eastAsia" w:ascii="宋体" w:hAnsi="宋体" w:eastAsia="宋体" w:cs="宋体"/>
          <w:b/>
          <w:bCs/>
          <w:kern w:val="2"/>
          <w:sz w:val="24"/>
          <w:szCs w:val="24"/>
          <w:highlight w:val="none"/>
          <w:lang w:val="en-US" w:eastAsia="zh-CN" w:bidi="ar-SA"/>
        </w:rPr>
      </w:pPr>
    </w:p>
    <w:p w14:paraId="38718969">
      <w:pPr>
        <w:keepNext w:val="0"/>
        <w:keepLines w:val="0"/>
        <w:pageBreakBefore w:val="0"/>
        <w:widowControl w:val="0"/>
        <w:kinsoku/>
        <w:wordWrap/>
        <w:overflowPunct/>
        <w:topLinePunct w:val="0"/>
        <w:autoSpaceDE/>
        <w:autoSpaceDN/>
        <w:bidi w:val="0"/>
        <w:spacing w:line="360" w:lineRule="auto"/>
        <w:ind w:firstLine="3240" w:firstLineChars="1350"/>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sz w:val="24"/>
          <w:szCs w:val="24"/>
          <w:highlight w:val="none"/>
        </w:rPr>
        <w:t>（盖单位章）</w:t>
      </w:r>
    </w:p>
    <w:p w14:paraId="79CDEDB8">
      <w:pPr>
        <w:keepNext w:val="0"/>
        <w:keepLines w:val="0"/>
        <w:pageBreakBefore w:val="0"/>
        <w:widowControl w:val="0"/>
        <w:kinsoku/>
        <w:wordWrap/>
        <w:overflowPunct/>
        <w:topLinePunct w:val="0"/>
        <w:autoSpaceDE/>
        <w:autoSpaceDN/>
        <w:bidi w:val="0"/>
        <w:spacing w:line="360" w:lineRule="auto"/>
        <w:ind w:firstLine="3240" w:firstLineChars="135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法定代表人</w:t>
      </w:r>
      <w:r>
        <w:rPr>
          <w:rFonts w:hint="eastAsia" w:cs="华文楷体" w:asciiTheme="minorEastAsia" w:hAnsiTheme="minorEastAsia" w:eastAsiaTheme="minorEastAsia"/>
          <w:sz w:val="24"/>
          <w:szCs w:val="24"/>
          <w:highlight w:val="none"/>
          <w:lang w:val="zh-CN"/>
        </w:rPr>
        <w:t>或授权代表：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（签字或盖章）</w:t>
      </w:r>
    </w:p>
    <w:p w14:paraId="05B7D622">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outlineLvl w:val="1"/>
        <w:rPr>
          <w:rFonts w:hint="eastAsia" w:ascii="宋体" w:hAnsi="宋体" w:eastAsia="宋体" w:cs="宋体"/>
          <w:sz w:val="24"/>
          <w:szCs w:val="24"/>
          <w:highlight w:val="none"/>
          <w:u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4"/>
          <w:highlight w:val="none"/>
          <w:u w:val="none"/>
          <w:lang w:val="en-US" w:eastAsia="zh-CN"/>
        </w:rPr>
        <w:t xml:space="preserve">         </w:t>
      </w:r>
      <w:r>
        <w:rPr>
          <w:rFonts w:hint="eastAsia" w:hAnsi="宋体" w:eastAsia="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u w:val="single"/>
        </w:rPr>
        <w:t xml:space="preserve">      </w:t>
      </w:r>
      <w:bookmarkStart w:id="744" w:name="_Toc16044"/>
      <w:bookmarkStart w:id="745" w:name="_Toc1615"/>
      <w:bookmarkStart w:id="746" w:name="_Toc17083"/>
      <w:bookmarkStart w:id="747" w:name="_Toc23995"/>
      <w:bookmarkStart w:id="748" w:name="_Toc2224"/>
      <w:bookmarkStart w:id="749" w:name="_Toc7488"/>
      <w:bookmarkStart w:id="750" w:name="_Toc1312"/>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none"/>
          <w:lang w:eastAsia="zh-CN"/>
        </w:rPr>
        <w:t>日</w:t>
      </w:r>
      <w:bookmarkEnd w:id="744"/>
      <w:bookmarkEnd w:id="745"/>
      <w:bookmarkEnd w:id="746"/>
      <w:bookmarkEnd w:id="747"/>
      <w:bookmarkEnd w:id="748"/>
      <w:bookmarkEnd w:id="749"/>
      <w:bookmarkEnd w:id="750"/>
    </w:p>
    <w:p w14:paraId="442C46D5">
      <w:pPr>
        <w:pStyle w:val="2"/>
        <w:spacing w:line="360" w:lineRule="auto"/>
        <w:jc w:val="center"/>
        <w:rPr>
          <w:rFonts w:hint="eastAsia" w:ascii="宋体" w:hAnsi="宋体" w:eastAsia="宋体" w:cs="宋体"/>
          <w:b/>
          <w:bCs/>
          <w:kern w:val="2"/>
          <w:sz w:val="24"/>
          <w:szCs w:val="24"/>
          <w:highlight w:val="none"/>
          <w:lang w:val="en-US" w:eastAsia="zh-CN" w:bidi="ar-SA"/>
        </w:rPr>
      </w:pPr>
      <w:bookmarkStart w:id="751" w:name="_Toc15465"/>
      <w:r>
        <w:rPr>
          <w:rFonts w:hint="eastAsia" w:ascii="宋体" w:hAnsi="宋体" w:eastAsia="宋体" w:cs="宋体"/>
          <w:b/>
          <w:bCs/>
          <w:kern w:val="2"/>
          <w:sz w:val="24"/>
          <w:szCs w:val="24"/>
          <w:highlight w:val="none"/>
          <w:lang w:val="en-US" w:eastAsia="zh-CN" w:bidi="ar-SA"/>
        </w:rPr>
        <w:t>6.10、中小企业证明材料</w:t>
      </w:r>
      <w:bookmarkEnd w:id="751"/>
    </w:p>
    <w:p w14:paraId="0E8D5DF8">
      <w:pPr>
        <w:pStyle w:val="2"/>
        <w:spacing w:line="360" w:lineRule="auto"/>
        <w:jc w:val="center"/>
        <w:rPr>
          <w:rFonts w:hint="eastAsia" w:ascii="宋体" w:hAnsi="宋体" w:eastAsia="宋体" w:cs="宋体"/>
          <w:b/>
          <w:bCs/>
          <w:kern w:val="2"/>
          <w:sz w:val="24"/>
          <w:szCs w:val="24"/>
          <w:highlight w:val="none"/>
          <w:lang w:val="en-US" w:eastAsia="zh-CN" w:bidi="ar-SA"/>
        </w:rPr>
      </w:pPr>
      <w:bookmarkStart w:id="752" w:name="_Toc14396"/>
      <w:r>
        <w:rPr>
          <w:rFonts w:hint="eastAsia" w:ascii="宋体" w:hAnsi="宋体" w:eastAsia="宋体" w:cs="宋体"/>
          <w:b/>
          <w:bCs/>
          <w:kern w:val="2"/>
          <w:sz w:val="24"/>
          <w:szCs w:val="24"/>
          <w:highlight w:val="none"/>
          <w:lang w:val="en-US" w:eastAsia="zh-CN" w:bidi="ar-SA"/>
        </w:rPr>
        <w:t>1、中小企业声明函</w:t>
      </w:r>
      <w:bookmarkEnd w:id="752"/>
    </w:p>
    <w:p w14:paraId="052C48F0">
      <w:pPr>
        <w:keepNext w:val="0"/>
        <w:keepLines w:val="0"/>
        <w:pageBreakBefore w:val="0"/>
        <w:widowControl/>
        <w:shd w:val="clear" w:color="auto" w:fill="FFFFFF"/>
        <w:kinsoku/>
        <w:wordWrap/>
        <w:overflowPunct/>
        <w:topLinePunct w:val="0"/>
        <w:autoSpaceDE/>
        <w:autoSpaceDN/>
        <w:bidi w:val="0"/>
        <w:adjustRightInd/>
        <w:snapToGrid/>
        <w:spacing w:line="408" w:lineRule="auto"/>
        <w:jc w:val="left"/>
        <w:textAlignment w:val="baseline"/>
        <w:rPr>
          <w:rFonts w:hint="eastAsia" w:ascii="宋体" w:hAnsi="宋体" w:eastAsia="宋体" w:cs="宋体"/>
          <w:kern w:val="0"/>
          <w:sz w:val="24"/>
          <w:highlight w:val="none"/>
        </w:rPr>
      </w:pPr>
      <w:r>
        <w:rPr>
          <w:rFonts w:hint="eastAsia" w:ascii="宋体" w:hAnsi="宋体" w:eastAsia="宋体" w:cs="宋体"/>
          <w:b/>
          <w:sz w:val="24"/>
          <w:highlight w:val="none"/>
          <w:lang w:eastAsia="zh-CN"/>
        </w:rPr>
        <w:t>陕西中耀昌项目管理有限公司</w:t>
      </w:r>
      <w:r>
        <w:rPr>
          <w:rFonts w:hint="eastAsia" w:ascii="宋体" w:hAnsi="宋体" w:eastAsia="宋体" w:cs="宋体"/>
          <w:b/>
          <w:sz w:val="24"/>
          <w:highlight w:val="none"/>
        </w:rPr>
        <w:t>：</w:t>
      </w:r>
    </w:p>
    <w:p w14:paraId="6C20B326">
      <w:pPr>
        <w:pStyle w:val="7"/>
        <w:keepNext w:val="0"/>
        <w:keepLines w:val="0"/>
        <w:pageBreakBefore w:val="0"/>
        <w:kinsoku/>
        <w:wordWrap/>
        <w:overflowPunct/>
        <w:topLinePunct w:val="0"/>
        <w:autoSpaceDE/>
        <w:autoSpaceDN/>
        <w:bidi w:val="0"/>
        <w:adjustRightInd/>
        <w:snapToGrid/>
        <w:spacing w:line="396" w:lineRule="auto"/>
        <w:ind w:firstLine="57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采购活动，</w:t>
      </w:r>
      <w:r>
        <w:rPr>
          <w:rFonts w:hint="eastAsia" w:ascii="宋体" w:hAnsi="宋体" w:eastAsia="宋体" w:cs="宋体"/>
          <w:sz w:val="24"/>
          <w:szCs w:val="24"/>
          <w:lang w:eastAsia="zh-CN"/>
        </w:rPr>
        <w:t>工程的施工单位全部为</w:t>
      </w:r>
      <w:r>
        <w:rPr>
          <w:rFonts w:hint="eastAsia" w:ascii="宋体" w:hAnsi="宋体" w:eastAsia="宋体" w:cs="宋体"/>
          <w:sz w:val="24"/>
          <w:szCs w:val="24"/>
        </w:rPr>
        <w:t>由符合政策要求的中小企业</w:t>
      </w:r>
      <w:r>
        <w:rPr>
          <w:rFonts w:hint="eastAsia" w:ascii="宋体" w:hAnsi="宋体" w:eastAsia="宋体" w:cs="宋体"/>
          <w:sz w:val="24"/>
          <w:szCs w:val="24"/>
          <w:lang w:eastAsia="zh-CN"/>
        </w:rPr>
        <w:t>（或者：服务全部由符合政策要求的中小企业承接）</w:t>
      </w:r>
      <w:r>
        <w:rPr>
          <w:rFonts w:hint="eastAsia" w:ascii="宋体" w:hAnsi="宋体" w:eastAsia="宋体" w:cs="宋体"/>
          <w:sz w:val="24"/>
          <w:szCs w:val="24"/>
        </w:rPr>
        <w:t xml:space="preserve">。相关企业（含联合体中的中小企业、签订分包意向协议的中小企业）的具体情况如下： </w:t>
      </w:r>
    </w:p>
    <w:p w14:paraId="0C5C3731">
      <w:pPr>
        <w:pStyle w:val="7"/>
        <w:keepNext w:val="0"/>
        <w:keepLines w:val="0"/>
        <w:pageBreakBefore w:val="0"/>
        <w:kinsoku/>
        <w:wordWrap/>
        <w:overflowPunct/>
        <w:topLinePunct w:val="0"/>
        <w:autoSpaceDE/>
        <w:autoSpaceDN/>
        <w:bidi w:val="0"/>
        <w:adjustRightInd/>
        <w:snapToGrid/>
        <w:spacing w:line="396" w:lineRule="auto"/>
        <w:ind w:firstLine="570"/>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u w:val="single"/>
        </w:rPr>
        <w:t>（标的名</w:t>
      </w:r>
      <w:r>
        <w:rPr>
          <w:rFonts w:hint="eastAsia" w:ascii="宋体" w:hAnsi="宋体" w:eastAsia="宋体" w:cs="宋体"/>
          <w:sz w:val="24"/>
          <w:szCs w:val="24"/>
          <w:highlight w:val="none"/>
          <w:u w:val="single"/>
        </w:rPr>
        <w:t>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其他暂未列明的行业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w:t>
      </w:r>
      <w:r>
        <w:rPr>
          <w:rFonts w:hint="eastAsia" w:ascii="宋体" w:hAnsi="宋体" w:eastAsia="宋体" w:cs="宋体"/>
          <w:sz w:val="24"/>
          <w:szCs w:val="24"/>
          <w:highlight w:val="none"/>
          <w:u w:val="single"/>
        </w:rPr>
        <w:t>企业、微型企业）</w:t>
      </w:r>
      <w:r>
        <w:rPr>
          <w:rFonts w:hint="eastAsia" w:ascii="宋体" w:hAnsi="宋体" w:eastAsia="宋体" w:cs="宋体"/>
          <w:sz w:val="24"/>
          <w:szCs w:val="24"/>
          <w:highlight w:val="none"/>
        </w:rPr>
        <w:t xml:space="preserve">； </w:t>
      </w:r>
    </w:p>
    <w:p w14:paraId="144702C4">
      <w:pPr>
        <w:pStyle w:val="7"/>
        <w:keepNext w:val="0"/>
        <w:keepLines w:val="0"/>
        <w:pageBreakBefore w:val="0"/>
        <w:kinsoku/>
        <w:wordWrap/>
        <w:overflowPunct/>
        <w:topLinePunct w:val="0"/>
        <w:autoSpaceDE/>
        <w:autoSpaceDN/>
        <w:bidi w:val="0"/>
        <w:adjustRightInd/>
        <w:snapToGrid/>
        <w:spacing w:line="396" w:lineRule="auto"/>
        <w:ind w:firstLine="570"/>
        <w:rPr>
          <w:rFonts w:hint="eastAsia" w:ascii="宋体" w:hAnsi="宋体" w:eastAsia="宋体" w:cs="宋体"/>
          <w:sz w:val="24"/>
          <w:szCs w:val="24"/>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 xml:space="preserve">； </w:t>
      </w:r>
    </w:p>
    <w:p w14:paraId="1628CC6F">
      <w:pPr>
        <w:pStyle w:val="7"/>
        <w:keepNext w:val="0"/>
        <w:keepLines w:val="0"/>
        <w:pageBreakBefore w:val="0"/>
        <w:kinsoku/>
        <w:wordWrap/>
        <w:overflowPunct/>
        <w:topLinePunct w:val="0"/>
        <w:autoSpaceDE/>
        <w:autoSpaceDN/>
        <w:bidi w:val="0"/>
        <w:adjustRightInd/>
        <w:snapToGrid/>
        <w:spacing w:line="396" w:lineRule="auto"/>
        <w:ind w:firstLine="570"/>
        <w:rPr>
          <w:rFonts w:hint="eastAsia" w:ascii="宋体" w:hAnsi="宋体" w:eastAsia="宋体" w:cs="宋体"/>
          <w:sz w:val="24"/>
          <w:szCs w:val="24"/>
        </w:rPr>
      </w:pPr>
      <w:r>
        <w:rPr>
          <w:rFonts w:hint="eastAsia" w:ascii="宋体" w:hAnsi="宋体" w:eastAsia="宋体" w:cs="宋体"/>
          <w:sz w:val="24"/>
          <w:szCs w:val="24"/>
        </w:rPr>
        <w:t>……</w:t>
      </w:r>
    </w:p>
    <w:p w14:paraId="5F27F4DF">
      <w:pPr>
        <w:pStyle w:val="7"/>
        <w:keepNext w:val="0"/>
        <w:keepLines w:val="0"/>
        <w:pageBreakBefore w:val="0"/>
        <w:kinsoku/>
        <w:wordWrap/>
        <w:overflowPunct/>
        <w:topLinePunct w:val="0"/>
        <w:autoSpaceDE/>
        <w:autoSpaceDN/>
        <w:bidi w:val="0"/>
        <w:adjustRightInd/>
        <w:snapToGrid/>
        <w:spacing w:line="396" w:lineRule="auto"/>
        <w:ind w:firstLine="57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DB1C825">
      <w:pPr>
        <w:pStyle w:val="7"/>
        <w:keepNext w:val="0"/>
        <w:keepLines w:val="0"/>
        <w:pageBreakBefore w:val="0"/>
        <w:kinsoku/>
        <w:wordWrap/>
        <w:overflowPunct/>
        <w:topLinePunct w:val="0"/>
        <w:autoSpaceDE/>
        <w:autoSpaceDN/>
        <w:bidi w:val="0"/>
        <w:adjustRightInd/>
        <w:snapToGrid/>
        <w:spacing w:line="372" w:lineRule="auto"/>
        <w:ind w:firstLine="57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75C5BC5">
      <w:pPr>
        <w:pStyle w:val="7"/>
        <w:spacing w:line="360" w:lineRule="auto"/>
        <w:ind w:firstLine="570"/>
        <w:rPr>
          <w:rFonts w:hint="eastAsia" w:ascii="宋体" w:hAnsi="宋体" w:eastAsia="宋体" w:cs="宋体"/>
          <w:sz w:val="24"/>
          <w:szCs w:val="24"/>
          <w:highlight w:val="none"/>
        </w:rPr>
      </w:pPr>
    </w:p>
    <w:p w14:paraId="40C6A694">
      <w:pPr>
        <w:pStyle w:val="7"/>
        <w:keepNext w:val="0"/>
        <w:keepLines w:val="0"/>
        <w:pageBreakBefore w:val="0"/>
        <w:widowControl/>
        <w:kinsoku/>
        <w:wordWrap/>
        <w:overflowPunct/>
        <w:topLinePunct w:val="0"/>
        <w:autoSpaceDE/>
        <w:autoSpaceDN/>
        <w:bidi w:val="0"/>
        <w:adjustRightInd/>
        <w:snapToGrid/>
        <w:spacing w:after="157" w:afterLines="50" w:line="480" w:lineRule="auto"/>
        <w:ind w:firstLine="3480" w:firstLineChars="1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盖单位章</w:t>
      </w:r>
      <w:r>
        <w:rPr>
          <w:rFonts w:hint="eastAsia" w:ascii="宋体" w:hAnsi="宋体" w:eastAsia="宋体" w:cs="宋体"/>
          <w:sz w:val="24"/>
          <w:szCs w:val="24"/>
          <w:highlight w:val="none"/>
        </w:rPr>
        <w:t>）</w:t>
      </w:r>
    </w:p>
    <w:p w14:paraId="76733CB8">
      <w:pPr>
        <w:pStyle w:val="7"/>
        <w:spacing w:line="360" w:lineRule="auto"/>
        <w:ind w:firstLine="3480" w:firstLineChars="1450"/>
        <w:rPr>
          <w:rFonts w:hint="eastAsia" w:ascii="宋体" w:hAnsi="宋体" w:eastAsia="宋体" w:cs="宋体"/>
          <w:sz w:val="24"/>
          <w:highlight w:val="none"/>
        </w:rPr>
      </w:pPr>
      <w:r>
        <w:rPr>
          <w:rFonts w:hint="eastAsia" w:ascii="宋体" w:hAnsi="宋体" w:eastAsia="宋体" w:cs="宋体"/>
          <w:sz w:val="24"/>
          <w:highlight w:val="none"/>
        </w:rPr>
        <w:t xml:space="preserve">日    期：     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    日</w:t>
      </w:r>
    </w:p>
    <w:p w14:paraId="2BC3D7E4">
      <w:pPr>
        <w:pStyle w:val="7"/>
        <w:spacing w:line="360" w:lineRule="auto"/>
        <w:ind w:firstLine="570"/>
        <w:rPr>
          <w:rFonts w:hint="eastAsia" w:ascii="宋体" w:hAnsi="宋体" w:eastAsia="宋体" w:cs="宋体"/>
          <w:sz w:val="24"/>
          <w:szCs w:val="24"/>
          <w:highlight w:val="none"/>
        </w:rPr>
      </w:pPr>
    </w:p>
    <w:p w14:paraId="72D9F230">
      <w:pPr>
        <w:adjustRightInd w:val="0"/>
        <w:snapToGrid w:val="0"/>
        <w:spacing w:line="360" w:lineRule="exact"/>
        <w:rPr>
          <w:rFonts w:hint="eastAsia" w:ascii="宋体" w:hAnsi="宋体" w:eastAsia="宋体" w:cs="宋体"/>
          <w:szCs w:val="21"/>
          <w:highlight w:val="none"/>
        </w:rPr>
      </w:pPr>
    </w:p>
    <w:p w14:paraId="6CDBF9CD">
      <w:pPr>
        <w:pStyle w:val="42"/>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14:paraId="5881C041">
      <w:pPr>
        <w:pStyle w:val="42"/>
        <w:ind w:firstLine="420" w:firstLineChars="200"/>
        <w:rPr>
          <w:rFonts w:hint="eastAsia" w:ascii="宋体" w:hAnsi="宋体" w:eastAsia="宋体" w:cs="宋体"/>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从业</w:t>
      </w:r>
      <w:r>
        <w:rPr>
          <w:rFonts w:hint="eastAsia" w:ascii="宋体" w:hAnsi="宋体" w:eastAsia="宋体" w:cs="宋体"/>
          <w:bCs/>
          <w:sz w:val="21"/>
          <w:szCs w:val="21"/>
          <w:highlight w:val="none"/>
        </w:rPr>
        <w:t>人员、营业收入、资产总额填报上一年度数据，无上一年度数据的新成立企业可不填报。</w:t>
      </w:r>
    </w:p>
    <w:p w14:paraId="272BA48E">
      <w:pPr>
        <w:pStyle w:val="42"/>
        <w:ind w:firstLine="420" w:firstLineChars="200"/>
        <w:rPr>
          <w:rFonts w:hint="eastAsia" w:ascii="宋体" w:hAnsi="宋体" w:eastAsia="宋体" w:cs="宋体"/>
          <w:b w:val="0"/>
          <w:bCs/>
          <w:sz w:val="24"/>
          <w:szCs w:val="24"/>
          <w:highlight w:val="none"/>
          <w:lang w:val="en-US"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bCs/>
          <w:sz w:val="21"/>
          <w:szCs w:val="21"/>
          <w:highlight w:val="none"/>
          <w:lang w:val="en-US" w:eastAsia="zh-CN"/>
        </w:rPr>
        <w:t>2.划分标准：从业人员300人以下的为中小微型企业。其中，从业人员100人及以上的为中型企业；从业人员10人及以上的为小型企业；从业人员10人以下的为微型企业。</w:t>
      </w:r>
    </w:p>
    <w:p w14:paraId="715B9CD0">
      <w:pPr>
        <w:pStyle w:val="2"/>
        <w:spacing w:line="360" w:lineRule="auto"/>
        <w:jc w:val="center"/>
        <w:rPr>
          <w:rFonts w:hint="eastAsia" w:ascii="宋体" w:hAnsi="宋体" w:eastAsia="宋体" w:cs="宋体"/>
          <w:b/>
          <w:bCs/>
          <w:kern w:val="2"/>
          <w:sz w:val="24"/>
          <w:szCs w:val="24"/>
          <w:highlight w:val="none"/>
          <w:lang w:val="en-US" w:eastAsia="zh-CN" w:bidi="ar-SA"/>
        </w:rPr>
      </w:pPr>
      <w:bookmarkStart w:id="753" w:name="_Toc14158"/>
      <w:r>
        <w:rPr>
          <w:rFonts w:hint="eastAsia" w:ascii="宋体" w:hAnsi="宋体" w:eastAsia="宋体" w:cs="宋体"/>
          <w:b/>
          <w:bCs/>
          <w:kern w:val="2"/>
          <w:sz w:val="24"/>
          <w:szCs w:val="24"/>
          <w:highlight w:val="none"/>
          <w:lang w:val="en-US" w:eastAsia="zh-CN" w:bidi="ar-SA"/>
        </w:rPr>
        <w:t>2、残疾人福利性单位声明函</w:t>
      </w:r>
      <w:bookmarkEnd w:id="753"/>
    </w:p>
    <w:p w14:paraId="2118DD74">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baseline"/>
        <w:rPr>
          <w:rFonts w:hint="eastAsia" w:ascii="宋体" w:hAnsi="宋体" w:eastAsia="宋体" w:cs="宋体"/>
          <w:b/>
          <w:kern w:val="0"/>
          <w:sz w:val="24"/>
          <w:szCs w:val="24"/>
          <w:highlight w:val="none"/>
          <w:lang w:val="en-US" w:eastAsia="zh-CN"/>
        </w:rPr>
      </w:pPr>
    </w:p>
    <w:p w14:paraId="091804AC">
      <w:pPr>
        <w:spacing w:line="620"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〔2017〕141</w:t>
      </w:r>
      <w:r>
        <w:rPr>
          <w:rFonts w:hint="eastAsia" w:ascii="宋体" w:hAnsi="宋体" w:eastAsia="宋体" w:cs="宋体"/>
          <w:spacing w:val="6"/>
          <w:szCs w:val="24"/>
          <w:highlight w:val="none"/>
        </w:rPr>
        <w:t>号）的规定，本单位为</w:t>
      </w:r>
      <w:r>
        <w:rPr>
          <w:rFonts w:hint="eastAsia" w:ascii="宋体" w:hAnsi="宋体" w:eastAsia="宋体" w:cs="宋体"/>
          <w:spacing w:val="6"/>
          <w:szCs w:val="24"/>
          <w:highlight w:val="none"/>
          <w:u w:val="single"/>
          <w:lang w:val="en-US" w:eastAsia="zh-CN"/>
        </w:rPr>
        <w:t xml:space="preserve">       </w:t>
      </w:r>
      <w:r>
        <w:rPr>
          <w:rFonts w:hint="eastAsia" w:ascii="宋体" w:hAnsi="宋体" w:eastAsia="宋体" w:cs="宋体"/>
          <w:spacing w:val="6"/>
          <w:szCs w:val="24"/>
          <w:highlight w:val="none"/>
          <w:u w:val="none"/>
          <w:lang w:val="en-US" w:eastAsia="zh-CN"/>
        </w:rPr>
        <w:t>（</w:t>
      </w:r>
      <w:r>
        <w:rPr>
          <w:rFonts w:hint="eastAsia" w:ascii="宋体" w:hAnsi="宋体" w:eastAsia="宋体" w:cs="宋体"/>
          <w:spacing w:val="6"/>
          <w:szCs w:val="24"/>
          <w:highlight w:val="none"/>
        </w:rPr>
        <w:t>符合</w:t>
      </w:r>
      <w:r>
        <w:rPr>
          <w:rFonts w:hint="eastAsia" w:ascii="宋体" w:hAnsi="宋体" w:eastAsia="宋体" w:cs="宋体"/>
          <w:spacing w:val="6"/>
          <w:szCs w:val="24"/>
          <w:highlight w:val="none"/>
          <w:lang w:val="en-US" w:eastAsia="zh-CN"/>
        </w:rPr>
        <w:t>/不符合</w:t>
      </w:r>
      <w:r>
        <w:rPr>
          <w:rFonts w:hint="eastAsia" w:ascii="宋体" w:hAnsi="宋体" w:eastAsia="宋体" w:cs="宋体"/>
          <w:spacing w:val="6"/>
          <w:szCs w:val="24"/>
          <w:highlight w:val="none"/>
          <w:u w:val="none"/>
          <w:lang w:val="en-US" w:eastAsia="zh-CN"/>
        </w:rPr>
        <w:t>）</w:t>
      </w:r>
      <w:r>
        <w:rPr>
          <w:rFonts w:hint="eastAsia" w:ascii="宋体" w:hAnsi="宋体" w:eastAsia="宋体" w:cs="宋体"/>
          <w:spacing w:val="6"/>
          <w:szCs w:val="24"/>
          <w:highlight w:val="none"/>
        </w:rPr>
        <w:t>条件的残疾人福利性单位，且本单位参加</w:t>
      </w:r>
      <w:r>
        <w:rPr>
          <w:rFonts w:hint="eastAsia" w:ascii="宋体" w:hAnsi="宋体" w:eastAsia="宋体" w:cs="宋体"/>
          <w:spacing w:val="6"/>
          <w:szCs w:val="24"/>
          <w:highlight w:val="none"/>
          <w:u w:val="single"/>
          <w:lang w:val="en-US" w:eastAsia="zh-CN"/>
        </w:rPr>
        <w:t xml:space="preserve">             </w:t>
      </w:r>
      <w:r>
        <w:rPr>
          <w:rFonts w:hint="eastAsia" w:ascii="宋体" w:hAnsi="宋体" w:eastAsia="宋体" w:cs="宋体"/>
          <w:spacing w:val="6"/>
          <w:szCs w:val="24"/>
          <w:highlight w:val="none"/>
        </w:rPr>
        <w:t>单位的</w:t>
      </w:r>
      <w:r>
        <w:rPr>
          <w:rFonts w:hint="eastAsia" w:ascii="宋体" w:hAnsi="宋体" w:eastAsia="宋体" w:cs="宋体"/>
          <w:spacing w:val="6"/>
          <w:szCs w:val="24"/>
          <w:highlight w:val="none"/>
          <w:u w:val="single"/>
          <w:lang w:val="en-US" w:eastAsia="zh-CN"/>
        </w:rPr>
        <w:t xml:space="preserve">         </w:t>
      </w:r>
      <w:r>
        <w:rPr>
          <w:rFonts w:hint="eastAsia" w:ascii="宋体" w:hAnsi="宋体" w:eastAsia="宋体" w:cs="宋体"/>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2EF4284D">
      <w:pPr>
        <w:spacing w:line="620"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421FBE4F">
      <w:pPr>
        <w:spacing w:line="600" w:lineRule="auto"/>
        <w:ind w:firstLine="504" w:firstLineChars="200"/>
        <w:rPr>
          <w:rFonts w:hint="eastAsia" w:ascii="宋体" w:hAnsi="宋体" w:eastAsia="宋体" w:cs="宋体"/>
          <w:spacing w:val="6"/>
          <w:szCs w:val="24"/>
          <w:highlight w:val="none"/>
        </w:rPr>
      </w:pPr>
    </w:p>
    <w:p w14:paraId="1D39FC5E">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highlight w:val="none"/>
        </w:rPr>
      </w:pPr>
    </w:p>
    <w:p w14:paraId="01E0C152">
      <w:pPr>
        <w:pStyle w:val="9"/>
        <w:rPr>
          <w:rFonts w:hint="eastAsia" w:ascii="宋体" w:hAnsi="宋体" w:eastAsia="宋体" w:cs="宋体"/>
          <w:highlight w:val="none"/>
        </w:rPr>
      </w:pPr>
    </w:p>
    <w:p w14:paraId="078BE3BB">
      <w:pPr>
        <w:pStyle w:val="7"/>
        <w:spacing w:line="48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声明人</w:t>
      </w:r>
      <w:r>
        <w:rPr>
          <w:rFonts w:hint="eastAsia" w:hAnsi="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hAnsi="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hAnsi="宋体" w:cs="宋体"/>
          <w:sz w:val="24"/>
          <w:szCs w:val="24"/>
          <w:highlight w:val="none"/>
          <w:lang w:eastAsia="zh-CN"/>
        </w:rPr>
        <w:t>）</w:t>
      </w:r>
    </w:p>
    <w:p w14:paraId="18D3D21C">
      <w:pPr>
        <w:pStyle w:val="7"/>
        <w:spacing w:line="48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w:t>
      </w:r>
      <w:r>
        <w:rPr>
          <w:rFonts w:hint="eastAsia" w:hAnsi="宋体" w:cs="宋体"/>
          <w:sz w:val="24"/>
          <w:szCs w:val="24"/>
          <w:highlight w:val="none"/>
          <w:lang w:eastAsia="zh-CN"/>
        </w:rPr>
        <w:t>字</w:t>
      </w:r>
      <w:r>
        <w:rPr>
          <w:rFonts w:hint="eastAsia" w:ascii="宋体" w:hAnsi="宋体" w:eastAsia="宋体" w:cs="宋体"/>
          <w:sz w:val="24"/>
          <w:szCs w:val="24"/>
          <w:highlight w:val="none"/>
        </w:rPr>
        <w:t>或盖章）</w:t>
      </w:r>
    </w:p>
    <w:p w14:paraId="44DBF73F">
      <w:pPr>
        <w:pStyle w:val="9"/>
        <w:spacing w:line="480" w:lineRule="auto"/>
        <w:ind w:firstLine="4080" w:firstLineChars="1700"/>
        <w:rPr>
          <w:rFonts w:hint="eastAsia" w:ascii="宋体" w:hAnsi="宋体" w:eastAsia="宋体" w:cs="宋体"/>
          <w:highlight w:val="none"/>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14:paraId="4157A749">
      <w:pPr>
        <w:pStyle w:val="9"/>
        <w:rPr>
          <w:rFonts w:hint="eastAsia" w:ascii="宋体" w:hAnsi="宋体" w:eastAsia="宋体" w:cs="宋体"/>
          <w:highlight w:val="none"/>
        </w:rPr>
      </w:pPr>
    </w:p>
    <w:p w14:paraId="4EB1F13E">
      <w:pPr>
        <w:rPr>
          <w:rFonts w:hint="eastAsia" w:ascii="宋体" w:hAnsi="宋体" w:eastAsia="宋体" w:cs="宋体"/>
          <w:highlight w:val="none"/>
        </w:rPr>
      </w:pPr>
    </w:p>
    <w:p w14:paraId="4A8166CF">
      <w:pPr>
        <w:pStyle w:val="7"/>
        <w:rPr>
          <w:rFonts w:hint="eastAsia"/>
        </w:rPr>
      </w:pPr>
    </w:p>
    <w:p w14:paraId="35C0899A">
      <w:pPr>
        <w:rPr>
          <w:rFonts w:hint="eastAsia" w:ascii="宋体" w:hAnsi="宋体" w:eastAsia="宋体" w:cs="宋体"/>
          <w:highlight w:val="none"/>
        </w:rPr>
      </w:pPr>
    </w:p>
    <w:p w14:paraId="505A1B39">
      <w:pPr>
        <w:pStyle w:val="2"/>
        <w:spacing w:line="240" w:lineRule="auto"/>
        <w:outlineLvl w:val="9"/>
        <w:rPr>
          <w:rFonts w:hint="eastAsia"/>
          <w:sz w:val="21"/>
          <w:szCs w:val="21"/>
          <w:highlight w:val="none"/>
        </w:rPr>
      </w:pPr>
    </w:p>
    <w:p w14:paraId="31B4875C">
      <w:pPr>
        <w:adjustRightInd w:val="0"/>
        <w:snapToGrid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4164D2F5">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1、填写前请认真阅读《财政部 民政部 中国残疾人联合会关于促进残疾人就业政府采购政策的通知》（财库〔2017〕141号相关规定。</w:t>
      </w:r>
    </w:p>
    <w:p w14:paraId="1DE7AEBB">
      <w:pPr>
        <w:adjustRightInd w:val="0"/>
        <w:snapToGrid w:val="0"/>
        <w:spacing w:line="360" w:lineRule="auto"/>
        <w:ind w:firstLine="420" w:firstLineChars="200"/>
        <w:rPr>
          <w:rFonts w:hint="eastAsia" w:ascii="宋体" w:hAnsi="宋体" w:eastAsia="宋体" w:cs="宋体"/>
          <w:szCs w:val="21"/>
          <w:highlight w:val="none"/>
        </w:rPr>
        <w:sectPr>
          <w:headerReference r:id="rId30" w:type="first"/>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未按上述要求提供、填写的，评审时不予以考虑。</w:t>
      </w:r>
    </w:p>
    <w:p w14:paraId="3C869DB5">
      <w:pPr>
        <w:pStyle w:val="2"/>
        <w:spacing w:line="360" w:lineRule="auto"/>
        <w:jc w:val="center"/>
        <w:rPr>
          <w:rFonts w:hint="eastAsia" w:ascii="宋体" w:hAnsi="宋体" w:eastAsia="宋体" w:cs="宋体"/>
          <w:b/>
          <w:bCs/>
          <w:kern w:val="2"/>
          <w:sz w:val="24"/>
          <w:szCs w:val="24"/>
          <w:highlight w:val="none"/>
          <w:lang w:val="en-US" w:eastAsia="zh-CN" w:bidi="ar-SA"/>
        </w:rPr>
      </w:pPr>
      <w:bookmarkStart w:id="754" w:name="_Toc10027"/>
      <w:r>
        <w:rPr>
          <w:rFonts w:hint="eastAsia" w:ascii="宋体" w:hAnsi="宋体" w:eastAsia="宋体" w:cs="宋体"/>
          <w:b/>
          <w:bCs/>
          <w:kern w:val="2"/>
          <w:sz w:val="24"/>
          <w:szCs w:val="24"/>
          <w:highlight w:val="none"/>
          <w:lang w:val="en-US" w:eastAsia="zh-CN" w:bidi="ar-SA"/>
        </w:rPr>
        <w:t>3、监狱企业声明函</w:t>
      </w:r>
      <w:bookmarkEnd w:id="754"/>
    </w:p>
    <w:p w14:paraId="0DFA18F9">
      <w:pPr>
        <w:rPr>
          <w:rFonts w:hint="eastAsia"/>
          <w:lang w:val="en-US" w:eastAsia="zh-CN"/>
        </w:rPr>
      </w:pPr>
    </w:p>
    <w:p w14:paraId="6016E16A">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根据财政部、司法部《关于政府采购支持监狱企业发展有关问题的通知》(财库〔2014〕68 号)的规定，监狱企业是指由司法部认定的为罪犯、戒毒人员提供生产项目和劳动对象，且全部产权属于司法部监狱管理局、戒毒管理局、直展煤矿管理局，各省、自治区、直辖市监狱管理局、戒毒管理局，各地(设区的市)监狱、强制隔离戒毒所、戒毒康复所，以及新疆生产建设兵团监狱管理局、戒毒管理局的企业。</w:t>
      </w:r>
    </w:p>
    <w:p w14:paraId="54E48FCC">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监狱企业参加政府采购活动时，应当提供由省级以上监狱管理局、戒毒管理局(含新疆生产建设兵团)出具的属于监狱企业的证明文件。</w:t>
      </w:r>
    </w:p>
    <w:p w14:paraId="5C3093E0">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1FBF90C3">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376E84F8">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33E54E67">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7C1B5580">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79764916">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14:paraId="575CA5B4">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14:paraId="2A4EB49D">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14:paraId="0E61C06A">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14:paraId="62B27E41">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14:paraId="00628F2F">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14:paraId="5F315B85">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说明</w:t>
      </w:r>
      <w:r>
        <w:rPr>
          <w:rFonts w:hint="eastAsia" w:ascii="宋体" w:hAnsi="宋体" w:eastAsia="宋体" w:cs="宋体"/>
          <w:b/>
          <w:bCs/>
          <w:spacing w:val="6"/>
          <w:sz w:val="21"/>
          <w:szCs w:val="21"/>
          <w:highlight w:val="none"/>
          <w:lang w:eastAsia="zh-CN"/>
        </w:rPr>
        <w:t>：</w:t>
      </w:r>
    </w:p>
    <w:p w14:paraId="19A2CE24">
      <w:pPr>
        <w:keepNext w:val="0"/>
        <w:keepLines w:val="0"/>
        <w:pageBreakBefore w:val="0"/>
        <w:widowControl w:val="0"/>
        <w:kinsoku/>
        <w:wordWrap/>
        <w:overflowPunct/>
        <w:topLinePunct w:val="0"/>
        <w:autoSpaceDE/>
        <w:autoSpaceDN/>
        <w:bidi w:val="0"/>
        <w:adjustRightInd/>
        <w:snapToGrid/>
        <w:spacing w:line="372" w:lineRule="auto"/>
        <w:ind w:firstLine="444" w:firstLineChars="200"/>
        <w:textAlignment w:val="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1</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无格式要求，由出具监狱企业证明的单位自行拟定</w:t>
      </w:r>
      <w:r>
        <w:rPr>
          <w:rFonts w:hint="eastAsia" w:ascii="宋体" w:hAnsi="宋体" w:eastAsia="宋体" w:cs="宋体"/>
          <w:spacing w:val="6"/>
          <w:sz w:val="21"/>
          <w:szCs w:val="21"/>
          <w:highlight w:val="none"/>
          <w:lang w:eastAsia="zh-CN"/>
        </w:rPr>
        <w:t>；</w:t>
      </w:r>
    </w:p>
    <w:p w14:paraId="0FF8BE14">
      <w:pPr>
        <w:keepNext w:val="0"/>
        <w:keepLines w:val="0"/>
        <w:pageBreakBefore w:val="0"/>
        <w:widowControl w:val="0"/>
        <w:kinsoku/>
        <w:wordWrap/>
        <w:overflowPunct/>
        <w:topLinePunct w:val="0"/>
        <w:autoSpaceDE/>
        <w:autoSpaceDN/>
        <w:bidi w:val="0"/>
        <w:adjustRightInd/>
        <w:snapToGrid/>
        <w:spacing w:line="372" w:lineRule="auto"/>
        <w:ind w:firstLine="444" w:firstLineChars="200"/>
        <w:textAlignment w:val="auto"/>
        <w:rPr>
          <w:rFonts w:hint="eastAsia" w:ascii="宋体" w:hAnsi="宋体" w:eastAsia="宋体" w:cs="宋体"/>
          <w:spacing w:val="6"/>
          <w:sz w:val="21"/>
          <w:szCs w:val="21"/>
          <w:highlight w:val="none"/>
        </w:rPr>
        <w:sectPr>
          <w:pgSz w:w="11907" w:h="16840"/>
          <w:pgMar w:top="1361" w:right="1417" w:bottom="1361" w:left="1417" w:header="907" w:footer="907" w:gutter="0"/>
          <w:pgNumType w:fmt="decimal"/>
          <w:cols w:space="720" w:num="1"/>
          <w:docGrid w:linePitch="312" w:charSpace="0"/>
        </w:sectPr>
      </w:pPr>
      <w:r>
        <w:rPr>
          <w:rFonts w:hint="eastAsia" w:ascii="宋体" w:hAnsi="宋体" w:eastAsia="宋体" w:cs="宋体"/>
          <w:spacing w:val="6"/>
          <w:sz w:val="21"/>
          <w:szCs w:val="21"/>
          <w:highlight w:val="none"/>
        </w:rPr>
        <w:t>2</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如不是该类企业则不需提供相关声明，若提供虚假材料谋取中标</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成交的，将按照《中华人民共和国政府采购法》第七十七条规定对</w:t>
      </w:r>
      <w:r>
        <w:rPr>
          <w:rFonts w:hint="eastAsia" w:ascii="宋体" w:hAnsi="宋体" w:eastAsia="宋体" w:cs="宋体"/>
          <w:spacing w:val="6"/>
          <w:sz w:val="21"/>
          <w:szCs w:val="21"/>
          <w:highlight w:val="none"/>
          <w:lang w:eastAsia="zh-CN"/>
        </w:rPr>
        <w:t>供应商</w:t>
      </w:r>
      <w:r>
        <w:rPr>
          <w:rFonts w:hint="eastAsia" w:ascii="宋体" w:hAnsi="宋体" w:eastAsia="宋体" w:cs="宋体"/>
          <w:spacing w:val="6"/>
          <w:sz w:val="21"/>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A80990">
      <w:pPr>
        <w:pStyle w:val="13"/>
        <w:adjustRightInd w:val="0"/>
        <w:snapToGrid w:val="0"/>
        <w:spacing w:line="360" w:lineRule="auto"/>
        <w:ind w:firstLine="482" w:firstLineChars="200"/>
        <w:jc w:val="center"/>
        <w:rPr>
          <w:rFonts w:hint="eastAsia" w:ascii="宋体" w:hAnsi="宋体" w:eastAsia="宋体" w:cs="宋体"/>
          <w:b/>
          <w:bCs/>
          <w:kern w:val="2"/>
          <w:sz w:val="24"/>
          <w:szCs w:val="24"/>
          <w:highlight w:val="none"/>
          <w:lang w:val="en-US" w:eastAsia="zh-CN" w:bidi="ar-SA"/>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b/>
          <w:bCs/>
          <w:kern w:val="2"/>
          <w:sz w:val="24"/>
          <w:szCs w:val="24"/>
          <w:highlight w:val="none"/>
          <w:lang w:val="en-US" w:eastAsia="zh-CN" w:bidi="ar-SA"/>
        </w:rPr>
        <w:t>6.11、</w:t>
      </w:r>
      <w:r>
        <w:rPr>
          <w:rFonts w:hint="eastAsia" w:ascii="宋体" w:hAnsi="宋体" w:eastAsia="宋体" w:cs="宋体"/>
          <w:b/>
          <w:bCs/>
          <w:kern w:val="2"/>
          <w:sz w:val="24"/>
          <w:szCs w:val="24"/>
          <w:highlight w:val="none"/>
          <w:lang w:val="en-US" w:eastAsia="zh-CN" w:bidi="ar-SA"/>
        </w:rPr>
        <w:t>非联合体投标承诺（格式自拟）</w:t>
      </w:r>
    </w:p>
    <w:p w14:paraId="2DE4A023">
      <w:pPr>
        <w:pStyle w:val="2"/>
        <w:jc w:val="center"/>
        <w:outlineLvl w:val="0"/>
        <w:rPr>
          <w:rFonts w:hint="eastAsia" w:asciiTheme="minorEastAsia" w:hAnsiTheme="minorEastAsia" w:eastAsiaTheme="minorEastAsia"/>
          <w:sz w:val="28"/>
          <w:szCs w:val="28"/>
          <w:highlight w:val="none"/>
          <w:lang w:val="en-US" w:eastAsia="zh-CN"/>
        </w:rPr>
      </w:pPr>
      <w:bookmarkStart w:id="755" w:name="_Toc3031"/>
      <w:bookmarkStart w:id="756" w:name="_Toc16836"/>
      <w:bookmarkStart w:id="757" w:name="_Toc29892"/>
      <w:bookmarkStart w:id="758" w:name="_Toc2875"/>
      <w:bookmarkStart w:id="759" w:name="_Toc439"/>
      <w:bookmarkStart w:id="760" w:name="_Toc2735"/>
      <w:bookmarkStart w:id="761" w:name="_Toc585"/>
      <w:bookmarkStart w:id="762" w:name="_Toc515"/>
      <w:bookmarkStart w:id="763" w:name="_Toc2072"/>
      <w:r>
        <w:rPr>
          <w:rFonts w:hint="eastAsia" w:asciiTheme="minorEastAsia" w:hAnsiTheme="minorEastAsia" w:eastAsiaTheme="minorEastAsia"/>
          <w:sz w:val="28"/>
          <w:szCs w:val="28"/>
          <w:highlight w:val="none"/>
          <w:lang w:val="en-US" w:eastAsia="zh-CN"/>
        </w:rPr>
        <w:t>七、技术</w:t>
      </w:r>
      <w:bookmarkEnd w:id="755"/>
      <w:bookmarkEnd w:id="756"/>
      <w:bookmarkEnd w:id="757"/>
      <w:bookmarkEnd w:id="758"/>
      <w:bookmarkEnd w:id="759"/>
      <w:bookmarkEnd w:id="760"/>
      <w:r>
        <w:rPr>
          <w:rFonts w:hint="eastAsia" w:asciiTheme="minorEastAsia" w:hAnsiTheme="minorEastAsia" w:eastAsiaTheme="minorEastAsia"/>
          <w:sz w:val="28"/>
          <w:szCs w:val="28"/>
          <w:highlight w:val="none"/>
          <w:lang w:val="en-US" w:eastAsia="zh-CN"/>
        </w:rPr>
        <w:t>方案</w:t>
      </w:r>
      <w:bookmarkEnd w:id="761"/>
      <w:bookmarkEnd w:id="762"/>
      <w:bookmarkEnd w:id="763"/>
    </w:p>
    <w:p w14:paraId="7A65A0D6">
      <w:pPr>
        <w:keepNext w:val="0"/>
        <w:keepLines w:val="0"/>
        <w:pageBreakBefore w:val="0"/>
        <w:widowControl w:val="0"/>
        <w:kinsoku/>
        <w:wordWrap/>
        <w:overflowPunct/>
        <w:topLinePunct w:val="0"/>
        <w:autoSpaceDE/>
        <w:autoSpaceDN/>
        <w:bidi w:val="0"/>
        <w:adjustRightInd/>
        <w:snapToGrid/>
        <w:spacing w:line="360" w:lineRule="auto"/>
        <w:ind w:firstLine="509" w:firstLineChars="182"/>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供应商根据招标文件第三章“评标办法”中的打分标准，针对本项目的服务内容和要求作出实质性响应。包含但不限于以下内容：</w:t>
      </w:r>
    </w:p>
    <w:p w14:paraId="1C0880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（1）服务方案</w:t>
      </w:r>
    </w:p>
    <w:p w14:paraId="776F72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（2）质量保证措施</w:t>
      </w:r>
    </w:p>
    <w:p w14:paraId="72D71A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（3）安全保证措施</w:t>
      </w:r>
    </w:p>
    <w:p w14:paraId="6EC0AB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（4）应急预案</w:t>
      </w:r>
    </w:p>
    <w:p w14:paraId="6894ED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（5）拟投入人员及设备配置</w:t>
      </w:r>
    </w:p>
    <w:p w14:paraId="6F121C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（6）服务承诺</w:t>
      </w:r>
    </w:p>
    <w:p w14:paraId="5A33C7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lang w:val="en-US" w:eastAsia="zh-CN"/>
        </w:rPr>
        <w:sectPr>
          <w:headerReference r:id="rId31" w:type="default"/>
          <w:footerReference r:id="rId32" w:type="default"/>
          <w:pgSz w:w="11907" w:h="16840"/>
          <w:pgMar w:top="1361" w:right="1417" w:bottom="1361" w:left="1417" w:header="907" w:footer="907" w:gutter="0"/>
          <w:pgBorders>
            <w:top w:val="none" w:sz="0" w:space="0"/>
            <w:left w:val="none" w:sz="0" w:space="0"/>
            <w:bottom w:val="none" w:sz="0" w:space="0"/>
            <w:right w:val="none" w:sz="0" w:space="0"/>
          </w:pgBorders>
          <w:pgNumType w:fmt="decimal"/>
          <w:cols w:space="720" w:num="1"/>
          <w:docGrid w:linePitch="312" w:charSpace="0"/>
        </w:sectPr>
      </w:pPr>
    </w:p>
    <w:bookmarkEnd w:id="652"/>
    <w:bookmarkEnd w:id="653"/>
    <w:bookmarkEnd w:id="654"/>
    <w:p w14:paraId="45CE0974">
      <w:pPr>
        <w:pStyle w:val="2"/>
        <w:jc w:val="center"/>
        <w:outlineLvl w:val="0"/>
        <w:rPr>
          <w:rFonts w:hint="eastAsia" w:asciiTheme="minorEastAsia" w:hAnsiTheme="minorEastAsia" w:eastAsiaTheme="minorEastAsia"/>
          <w:sz w:val="28"/>
          <w:szCs w:val="28"/>
          <w:highlight w:val="none"/>
          <w:lang w:val="en-US" w:eastAsia="zh-CN"/>
        </w:rPr>
      </w:pPr>
      <w:bookmarkStart w:id="764" w:name="_Toc21928"/>
      <w:bookmarkStart w:id="765" w:name="_Toc23295"/>
      <w:bookmarkStart w:id="766" w:name="_Toc21498"/>
      <w:bookmarkStart w:id="767" w:name="_Toc4297"/>
      <w:bookmarkStart w:id="768" w:name="_Toc24765"/>
      <w:bookmarkStart w:id="769" w:name="_Toc7446"/>
      <w:bookmarkStart w:id="770" w:name="_Toc18377"/>
      <w:bookmarkStart w:id="771" w:name="_Toc16161"/>
      <w:bookmarkStart w:id="772" w:name="_Toc7610"/>
      <w:bookmarkStart w:id="773" w:name="_Toc28021"/>
      <w:bookmarkStart w:id="774" w:name="_Toc28459"/>
      <w:bookmarkStart w:id="775" w:name="_Toc29873"/>
      <w:r>
        <w:rPr>
          <w:rFonts w:hint="eastAsia" w:asciiTheme="minorEastAsia" w:hAnsiTheme="minorEastAsia" w:eastAsiaTheme="minorEastAsia"/>
          <w:sz w:val="28"/>
          <w:szCs w:val="28"/>
          <w:highlight w:val="none"/>
          <w:lang w:val="en-US" w:eastAsia="zh-CN"/>
        </w:rPr>
        <w:t>八、近3年（2021年9月至今）完成的类似项目业绩情况表</w:t>
      </w:r>
      <w:bookmarkEnd w:id="764"/>
      <w:bookmarkEnd w:id="765"/>
      <w:bookmarkEnd w:id="766"/>
      <w:bookmarkEnd w:id="767"/>
      <w:bookmarkEnd w:id="768"/>
      <w:bookmarkEnd w:id="769"/>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04"/>
        <w:gridCol w:w="1841"/>
        <w:gridCol w:w="2336"/>
        <w:gridCol w:w="2098"/>
      </w:tblGrid>
      <w:tr w14:paraId="21663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9" w:type="dxa"/>
            <w:tcBorders>
              <w:top w:val="single" w:color="auto" w:sz="12" w:space="0"/>
              <w:left w:val="single" w:color="auto" w:sz="12" w:space="0"/>
              <w:bottom w:val="single" w:color="auto" w:sz="4" w:space="0"/>
              <w:right w:val="single" w:color="auto" w:sz="4" w:space="0"/>
            </w:tcBorders>
            <w:noWrap w:val="0"/>
            <w:vAlign w:val="center"/>
          </w:tcPr>
          <w:p w14:paraId="599A1ACC">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104" w:type="dxa"/>
            <w:tcBorders>
              <w:top w:val="single" w:color="auto" w:sz="12" w:space="0"/>
              <w:left w:val="nil"/>
              <w:bottom w:val="single" w:color="auto" w:sz="4" w:space="0"/>
              <w:right w:val="single" w:color="auto" w:sz="4" w:space="0"/>
            </w:tcBorders>
            <w:noWrap w:val="0"/>
            <w:vAlign w:val="center"/>
          </w:tcPr>
          <w:p w14:paraId="296CF3E4">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1841" w:type="dxa"/>
            <w:tcBorders>
              <w:top w:val="single" w:color="auto" w:sz="12" w:space="0"/>
              <w:left w:val="nil"/>
              <w:bottom w:val="single" w:color="auto" w:sz="4" w:space="0"/>
              <w:right w:val="single" w:color="auto" w:sz="4" w:space="0"/>
            </w:tcBorders>
            <w:noWrap w:val="0"/>
            <w:vAlign w:val="center"/>
          </w:tcPr>
          <w:p w14:paraId="7E19996B">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合同金额</w:t>
            </w:r>
          </w:p>
        </w:tc>
        <w:tc>
          <w:tcPr>
            <w:tcW w:w="2336" w:type="dxa"/>
            <w:tcBorders>
              <w:top w:val="single" w:color="auto" w:sz="12" w:space="0"/>
              <w:left w:val="nil"/>
              <w:bottom w:val="single" w:color="auto" w:sz="4" w:space="0"/>
              <w:right w:val="single" w:color="auto" w:sz="4" w:space="0"/>
            </w:tcBorders>
            <w:noWrap w:val="0"/>
            <w:vAlign w:val="center"/>
          </w:tcPr>
          <w:p w14:paraId="046F6FA3">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合同签订时间</w:t>
            </w:r>
          </w:p>
        </w:tc>
        <w:tc>
          <w:tcPr>
            <w:tcW w:w="2098" w:type="dxa"/>
            <w:tcBorders>
              <w:top w:val="single" w:color="auto" w:sz="12" w:space="0"/>
              <w:left w:val="nil"/>
              <w:bottom w:val="single" w:color="auto" w:sz="4" w:space="0"/>
              <w:right w:val="single" w:color="auto" w:sz="12" w:space="0"/>
            </w:tcBorders>
            <w:noWrap w:val="0"/>
            <w:vAlign w:val="center"/>
          </w:tcPr>
          <w:p w14:paraId="5657F749">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rPr>
              <w:t>委托人名称</w:t>
            </w:r>
          </w:p>
        </w:tc>
      </w:tr>
      <w:tr w14:paraId="31661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1F843984">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3FBF1598">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7A94C1B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66EDB512">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2F4577D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58AEE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53210D6F">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6DD3A50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09BCCCE2">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6D46088F">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34FEBC2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6B63E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2202748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6D1AC0D7">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40535DF4">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2CF39BC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71CCA928">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68CA6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1C7E1FBD">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0BFF0EDF">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530F3523">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1339EA9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7E71C9B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11E01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5F2502E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20D71E32">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56097AC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122FE6F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6E1D910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44217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5567702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7CE8B707">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599B2445">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17B2132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0A848BAD">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6AA31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64F7FA4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6824A76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401071C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49F3E12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6F449C2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3540E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4DDE6F2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7A300756">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4CB1EB75">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0E6A1ED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3EAE79A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52663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4" w:space="0"/>
              <w:right w:val="single" w:color="auto" w:sz="4" w:space="0"/>
            </w:tcBorders>
            <w:noWrap w:val="0"/>
            <w:vAlign w:val="center"/>
          </w:tcPr>
          <w:p w14:paraId="7A461AB3">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2B1BA014">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4" w:space="0"/>
              <w:right w:val="single" w:color="auto" w:sz="4" w:space="0"/>
            </w:tcBorders>
            <w:noWrap w:val="0"/>
            <w:vAlign w:val="center"/>
          </w:tcPr>
          <w:p w14:paraId="058230F6">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4" w:space="0"/>
              <w:right w:val="single" w:color="auto" w:sz="4" w:space="0"/>
            </w:tcBorders>
            <w:noWrap w:val="0"/>
            <w:vAlign w:val="center"/>
          </w:tcPr>
          <w:p w14:paraId="0F7670B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4" w:space="0"/>
              <w:right w:val="single" w:color="auto" w:sz="12" w:space="0"/>
            </w:tcBorders>
            <w:noWrap w:val="0"/>
            <w:vAlign w:val="center"/>
          </w:tcPr>
          <w:p w14:paraId="4D68F72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r w14:paraId="7D344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9" w:type="dxa"/>
            <w:tcBorders>
              <w:top w:val="single" w:color="auto" w:sz="4" w:space="0"/>
              <w:left w:val="single" w:color="auto" w:sz="12" w:space="0"/>
              <w:bottom w:val="single" w:color="auto" w:sz="12" w:space="0"/>
              <w:right w:val="single" w:color="auto" w:sz="4" w:space="0"/>
            </w:tcBorders>
            <w:noWrap w:val="0"/>
            <w:vAlign w:val="center"/>
          </w:tcPr>
          <w:p w14:paraId="2696E1F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104" w:type="dxa"/>
            <w:tcBorders>
              <w:top w:val="single" w:color="auto" w:sz="4" w:space="0"/>
              <w:left w:val="nil"/>
              <w:bottom w:val="single" w:color="auto" w:sz="12" w:space="0"/>
              <w:right w:val="single" w:color="auto" w:sz="4" w:space="0"/>
            </w:tcBorders>
            <w:noWrap w:val="0"/>
            <w:vAlign w:val="center"/>
          </w:tcPr>
          <w:p w14:paraId="08EC4DE5">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1841" w:type="dxa"/>
            <w:tcBorders>
              <w:top w:val="single" w:color="auto" w:sz="4" w:space="0"/>
              <w:left w:val="nil"/>
              <w:bottom w:val="single" w:color="auto" w:sz="12" w:space="0"/>
              <w:right w:val="single" w:color="auto" w:sz="4" w:space="0"/>
            </w:tcBorders>
            <w:noWrap w:val="0"/>
            <w:vAlign w:val="center"/>
          </w:tcPr>
          <w:p w14:paraId="4B17153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336" w:type="dxa"/>
            <w:tcBorders>
              <w:top w:val="single" w:color="auto" w:sz="4" w:space="0"/>
              <w:left w:val="nil"/>
              <w:bottom w:val="single" w:color="auto" w:sz="12" w:space="0"/>
              <w:right w:val="single" w:color="auto" w:sz="4" w:space="0"/>
            </w:tcBorders>
            <w:noWrap w:val="0"/>
            <w:vAlign w:val="center"/>
          </w:tcPr>
          <w:p w14:paraId="28116B5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c>
          <w:tcPr>
            <w:tcW w:w="2098" w:type="dxa"/>
            <w:tcBorders>
              <w:top w:val="single" w:color="auto" w:sz="4" w:space="0"/>
              <w:left w:val="nil"/>
              <w:bottom w:val="single" w:color="auto" w:sz="12" w:space="0"/>
              <w:right w:val="single" w:color="auto" w:sz="12" w:space="0"/>
            </w:tcBorders>
            <w:noWrap w:val="0"/>
            <w:vAlign w:val="center"/>
          </w:tcPr>
          <w:p w14:paraId="4F52ACA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tc>
      </w:tr>
    </w:tbl>
    <w:p w14:paraId="791DC60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说明：</w:t>
      </w:r>
    </w:p>
    <w:p w14:paraId="336FCB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1.本表后</w:t>
      </w:r>
      <w:r>
        <w:rPr>
          <w:rFonts w:hint="eastAsia" w:ascii="宋体" w:hAnsi="宋体" w:eastAsia="宋体" w:cs="宋体"/>
          <w:color w:val="000000"/>
          <w:kern w:val="0"/>
          <w:sz w:val="24"/>
          <w:highlight w:val="none"/>
          <w:lang w:eastAsia="zh-CN"/>
        </w:rPr>
        <w:t>须</w:t>
      </w:r>
      <w:r>
        <w:rPr>
          <w:rFonts w:hint="eastAsia" w:ascii="宋体" w:hAnsi="宋体" w:eastAsia="宋体" w:cs="宋体"/>
          <w:color w:val="000000"/>
          <w:kern w:val="0"/>
          <w:sz w:val="24"/>
          <w:highlight w:val="none"/>
        </w:rPr>
        <w:t>附合同协议书复印件，合同金额及合同签订时间以合同中体现的内容为准。</w:t>
      </w:r>
    </w:p>
    <w:p w14:paraId="1F6D4F2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eastAsia="zh-CN"/>
        </w:rPr>
        <w:t>供应商</w:t>
      </w:r>
      <w:r>
        <w:rPr>
          <w:rFonts w:hint="eastAsia" w:ascii="宋体" w:hAnsi="宋体" w:eastAsia="宋体" w:cs="宋体"/>
          <w:color w:val="000000"/>
          <w:kern w:val="0"/>
          <w:sz w:val="24"/>
          <w:highlight w:val="none"/>
        </w:rPr>
        <w:t>应如实列出以上情况，如有隐瞒，一经查实将导致其</w:t>
      </w:r>
      <w:r>
        <w:rPr>
          <w:rFonts w:hint="eastAsia" w:ascii="宋体" w:hAnsi="宋体" w:eastAsia="宋体" w:cs="宋体"/>
          <w:color w:val="000000"/>
          <w:kern w:val="0"/>
          <w:sz w:val="24"/>
          <w:highlight w:val="none"/>
          <w:lang w:eastAsia="zh-CN"/>
        </w:rPr>
        <w:t>投标</w:t>
      </w:r>
      <w:r>
        <w:rPr>
          <w:rFonts w:hint="eastAsia" w:ascii="宋体" w:hAnsi="宋体" w:eastAsia="宋体" w:cs="宋体"/>
          <w:color w:val="000000"/>
          <w:kern w:val="0"/>
          <w:sz w:val="24"/>
          <w:highlight w:val="none"/>
        </w:rPr>
        <w:t>文件被拒绝。</w:t>
      </w:r>
    </w:p>
    <w:p w14:paraId="0D8E12D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3.未按上述要求提供、填写的，评审时不予以考虑。</w:t>
      </w:r>
    </w:p>
    <w:p w14:paraId="0CBA14D3">
      <w:pPr>
        <w:pStyle w:val="2"/>
        <w:keepNext/>
        <w:keepLines/>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Theme="minorEastAsia" w:hAnsiTheme="minorEastAsia" w:eastAsiaTheme="minorEastAsia"/>
          <w:sz w:val="30"/>
          <w:szCs w:val="30"/>
          <w:highlight w:val="none"/>
          <w:lang w:val="en-US" w:eastAsia="zh-CN"/>
        </w:rPr>
      </w:pPr>
    </w:p>
    <w:p w14:paraId="75EACBBF">
      <w:pPr>
        <w:keepNext w:val="0"/>
        <w:keepLines w:val="0"/>
        <w:pageBreakBefore w:val="0"/>
        <w:widowControl w:val="0"/>
        <w:kinsoku/>
        <w:wordWrap/>
        <w:overflowPunct/>
        <w:topLinePunct w:val="0"/>
        <w:autoSpaceDE/>
        <w:autoSpaceDN/>
        <w:bidi w:val="0"/>
        <w:spacing w:line="408" w:lineRule="auto"/>
        <w:ind w:firstLine="3240" w:firstLineChars="1350"/>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14:paraId="3CC29E4C">
      <w:pPr>
        <w:keepNext w:val="0"/>
        <w:keepLines w:val="0"/>
        <w:pageBreakBefore w:val="0"/>
        <w:widowControl w:val="0"/>
        <w:kinsoku/>
        <w:wordWrap/>
        <w:overflowPunct/>
        <w:topLinePunct w:val="0"/>
        <w:autoSpaceDE/>
        <w:autoSpaceDN/>
        <w:bidi w:val="0"/>
        <w:spacing w:line="408" w:lineRule="auto"/>
        <w:ind w:firstLine="3240" w:firstLineChars="135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（签字或盖章）</w:t>
      </w:r>
    </w:p>
    <w:p w14:paraId="17B654EE">
      <w:pPr>
        <w:pStyle w:val="13"/>
        <w:keepNext w:val="0"/>
        <w:keepLines w:val="0"/>
        <w:pageBreakBefore w:val="0"/>
        <w:widowControl w:val="0"/>
        <w:kinsoku/>
        <w:wordWrap/>
        <w:overflowPunct/>
        <w:topLinePunct w:val="0"/>
        <w:autoSpaceDE/>
        <w:autoSpaceDN/>
        <w:bidi w:val="0"/>
        <w:adjustRightInd w:val="0"/>
        <w:snapToGrid w:val="0"/>
        <w:spacing w:line="408" w:lineRule="auto"/>
        <w:ind w:firstLine="480" w:firstLineChars="200"/>
        <w:jc w:val="center"/>
        <w:textAlignment w:val="auto"/>
        <w:outlineLvl w:val="1"/>
        <w:rPr>
          <w:rFonts w:hint="eastAsia" w:ascii="宋体" w:hAnsi="宋体" w:eastAsia="宋体" w:cs="宋体"/>
          <w:sz w:val="24"/>
          <w:szCs w:val="24"/>
          <w:highlight w:val="none"/>
          <w:u w:val="none"/>
          <w:lang w:eastAsia="zh-CN"/>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4"/>
          <w:highlight w:val="none"/>
          <w:u w:val="none"/>
          <w:lang w:val="en-US" w:eastAsia="zh-CN"/>
        </w:rPr>
        <w:t xml:space="preserve">            </w:t>
      </w:r>
      <w:r>
        <w:rPr>
          <w:rFonts w:hint="eastAsia" w:hAnsi="宋体" w:eastAsia="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u w:val="single"/>
        </w:rPr>
        <w:t xml:space="preserve">    </w:t>
      </w:r>
      <w:r>
        <w:rPr>
          <w:rFonts w:hint="eastAsia"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bookmarkStart w:id="776" w:name="_Toc5146"/>
      <w:bookmarkStart w:id="777" w:name="_Toc10697"/>
      <w:bookmarkStart w:id="778" w:name="_Toc9073"/>
      <w:bookmarkStart w:id="779" w:name="_Toc25751"/>
      <w:bookmarkStart w:id="780" w:name="_Toc6634"/>
      <w:bookmarkStart w:id="781" w:name="_Toc3648"/>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none"/>
          <w:lang w:eastAsia="zh-CN"/>
        </w:rPr>
        <w:t>日</w:t>
      </w:r>
      <w:bookmarkEnd w:id="776"/>
      <w:bookmarkEnd w:id="777"/>
      <w:bookmarkEnd w:id="778"/>
      <w:bookmarkEnd w:id="779"/>
      <w:bookmarkEnd w:id="780"/>
      <w:bookmarkEnd w:id="781"/>
    </w:p>
    <w:p w14:paraId="72090D1F">
      <w:pPr>
        <w:pStyle w:val="2"/>
        <w:jc w:val="center"/>
        <w:outlineLvl w:val="0"/>
        <w:rPr>
          <w:rFonts w:hint="eastAsia" w:asciiTheme="minorEastAsia" w:hAnsiTheme="minorEastAsia" w:eastAsiaTheme="minorEastAsia"/>
          <w:sz w:val="28"/>
          <w:szCs w:val="28"/>
          <w:highlight w:val="none"/>
          <w:lang w:val="en-US" w:eastAsia="zh-CN"/>
        </w:rPr>
      </w:pPr>
      <w:bookmarkStart w:id="782" w:name="_Toc22633"/>
      <w:bookmarkStart w:id="783" w:name="_Toc13150"/>
      <w:bookmarkStart w:id="784" w:name="_Toc23239"/>
      <w:bookmarkStart w:id="785" w:name="_Toc30551"/>
      <w:bookmarkStart w:id="786" w:name="_Toc10335"/>
      <w:bookmarkStart w:id="787" w:name="_Toc601"/>
      <w:r>
        <w:rPr>
          <w:rFonts w:hint="eastAsia" w:asciiTheme="minorEastAsia" w:hAnsiTheme="minorEastAsia" w:eastAsiaTheme="minorEastAsia"/>
          <w:sz w:val="28"/>
          <w:szCs w:val="28"/>
          <w:highlight w:val="none"/>
          <w:lang w:val="en-US" w:eastAsia="zh-CN"/>
        </w:rPr>
        <w:t>九、《拒绝政府采购领域商业贿赂承诺书》</w:t>
      </w:r>
      <w:bookmarkEnd w:id="770"/>
      <w:bookmarkEnd w:id="771"/>
      <w:bookmarkEnd w:id="772"/>
      <w:bookmarkEnd w:id="773"/>
      <w:bookmarkEnd w:id="774"/>
      <w:bookmarkEnd w:id="775"/>
      <w:bookmarkEnd w:id="782"/>
      <w:bookmarkEnd w:id="783"/>
      <w:bookmarkEnd w:id="784"/>
      <w:bookmarkEnd w:id="785"/>
      <w:bookmarkEnd w:id="786"/>
      <w:bookmarkEnd w:id="787"/>
    </w:p>
    <w:p w14:paraId="7F37E938">
      <w:pPr>
        <w:widowControl/>
        <w:spacing w:line="276" w:lineRule="auto"/>
        <w:jc w:val="center"/>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rPr>
        <w:t>陕西省政府采购</w:t>
      </w:r>
      <w:r>
        <w:rPr>
          <w:rFonts w:hint="eastAsia" w:ascii="宋体" w:hAnsi="宋体" w:eastAsia="宋体" w:cs="宋体"/>
          <w:b/>
          <w:bCs/>
          <w:kern w:val="0"/>
          <w:sz w:val="28"/>
          <w:szCs w:val="28"/>
          <w:highlight w:val="none"/>
          <w:lang w:eastAsia="zh-CN"/>
        </w:rPr>
        <w:t>供应商</w:t>
      </w:r>
    </w:p>
    <w:p w14:paraId="1C9E16E9">
      <w:pPr>
        <w:widowControl/>
        <w:spacing w:line="276"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拒绝政府采购领域商业贿赂承诺书</w:t>
      </w:r>
    </w:p>
    <w:p w14:paraId="53614C0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Cs w:val="24"/>
          <w:highlight w:val="none"/>
        </w:rPr>
      </w:pPr>
    </w:p>
    <w:p w14:paraId="5E91A244">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为响应党中央、国务院关于治理采购领域商业贿赂行为的号召，我公司再次承诺：</w:t>
      </w:r>
    </w:p>
    <w:p w14:paraId="21DFC2A7">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 w:val="24"/>
          <w:szCs w:val="24"/>
          <w:lang w:val="en-US" w:eastAsia="zh-CN" w:bidi="ar-SA"/>
        </w:rPr>
        <w:t>1、</w:t>
      </w:r>
      <w:r>
        <w:rPr>
          <w:rFonts w:hint="eastAsia" w:ascii="宋体" w:hAnsi="宋体" w:eastAsia="宋体" w:cs="宋体"/>
          <w:kern w:val="0"/>
          <w:szCs w:val="24"/>
          <w:highlight w:val="none"/>
        </w:rPr>
        <w:t>在参与政府采购活动中遵纪守法、诚信经营、公平竞标。</w:t>
      </w:r>
    </w:p>
    <w:p w14:paraId="297EEF86">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 xml:space="preserve">2、不向采购人、采购代理机构和政府采购评审专家进行任何形式的商业贿赂以谋取交易机会。 </w:t>
      </w:r>
    </w:p>
    <w:p w14:paraId="15D39E1F">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3、不向政府</w:t>
      </w:r>
      <w:r>
        <w:rPr>
          <w:rFonts w:hint="eastAsia" w:ascii="宋体" w:hAnsi="宋体" w:eastAsia="宋体" w:cs="宋体"/>
          <w:kern w:val="0"/>
          <w:szCs w:val="24"/>
          <w:highlight w:val="none"/>
          <w:lang w:eastAsia="zh-CN"/>
        </w:rPr>
        <w:t>采购代理</w:t>
      </w:r>
      <w:r>
        <w:rPr>
          <w:rFonts w:hint="eastAsia" w:ascii="宋体" w:hAnsi="宋体" w:eastAsia="宋体" w:cs="宋体"/>
          <w:kern w:val="0"/>
          <w:szCs w:val="24"/>
          <w:highlight w:val="none"/>
        </w:rPr>
        <w:t>机构和采购人提供虚假资质文件或采用虚假应标方式参与政府采购市场竞争并谋取</w:t>
      </w:r>
      <w:r>
        <w:rPr>
          <w:rFonts w:hint="eastAsia" w:ascii="宋体" w:hAnsi="宋体" w:cs="宋体"/>
          <w:sz w:val="24"/>
          <w:szCs w:val="24"/>
          <w:highlight w:val="none"/>
          <w:lang w:val="en-US" w:eastAsia="zh-CN"/>
        </w:rPr>
        <w:t>中标</w:t>
      </w:r>
      <w:r>
        <w:rPr>
          <w:rFonts w:hint="eastAsia" w:ascii="宋体" w:hAnsi="宋体" w:eastAsia="宋体" w:cs="宋体"/>
          <w:kern w:val="0"/>
          <w:szCs w:val="24"/>
          <w:highlight w:val="none"/>
        </w:rPr>
        <w:t xml:space="preserve">、成交。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4、不采取“围标、陪标”等商业欺诈手段获得政府采购</w:t>
      </w:r>
      <w:r>
        <w:rPr>
          <w:rFonts w:hint="eastAsia" w:ascii="宋体" w:hAnsi="宋体" w:eastAsia="宋体" w:cs="宋体"/>
          <w:kern w:val="0"/>
          <w:szCs w:val="24"/>
          <w:highlight w:val="none"/>
          <w:lang w:eastAsia="zh-CN"/>
        </w:rPr>
        <w:t>订</w:t>
      </w:r>
      <w:r>
        <w:rPr>
          <w:rFonts w:hint="eastAsia" w:ascii="宋体" w:hAnsi="宋体" w:eastAsia="宋体" w:cs="宋体"/>
          <w:kern w:val="0"/>
          <w:szCs w:val="24"/>
          <w:highlight w:val="none"/>
        </w:rPr>
        <w:t xml:space="preserve">单。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5、不采取不正当手段</w:t>
      </w:r>
      <w:r>
        <w:rPr>
          <w:rFonts w:hint="eastAsia" w:ascii="宋体" w:hAnsi="宋体" w:eastAsia="宋体" w:cs="宋体"/>
          <w:kern w:val="0"/>
          <w:szCs w:val="24"/>
          <w:highlight w:val="none"/>
          <w:lang w:eastAsia="zh-CN"/>
        </w:rPr>
        <w:t>诋毁</w:t>
      </w:r>
      <w:r>
        <w:rPr>
          <w:rFonts w:hint="eastAsia" w:ascii="宋体" w:hAnsi="宋体" w:eastAsia="宋体" w:cs="宋体"/>
          <w:kern w:val="0"/>
          <w:szCs w:val="24"/>
          <w:highlight w:val="none"/>
        </w:rPr>
        <w:t>、排挤其他</w:t>
      </w:r>
      <w:r>
        <w:rPr>
          <w:rFonts w:hint="eastAsia" w:ascii="宋体" w:hAnsi="宋体" w:eastAsia="宋体" w:cs="宋体"/>
          <w:kern w:val="0"/>
          <w:szCs w:val="24"/>
          <w:highlight w:val="none"/>
          <w:lang w:eastAsia="zh-CN"/>
        </w:rPr>
        <w:t>供应商</w:t>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6、</w:t>
      </w:r>
      <w:r>
        <w:rPr>
          <w:rFonts w:hint="eastAsia" w:ascii="宋体" w:hAnsi="宋体" w:eastAsia="宋体" w:cs="宋体"/>
          <w:kern w:val="0"/>
          <w:szCs w:val="24"/>
          <w:highlight w:val="none"/>
          <w:lang w:eastAsia="zh-CN"/>
        </w:rPr>
        <w:t>不再提供货物</w:t>
      </w:r>
      <w:r>
        <w:rPr>
          <w:rFonts w:hint="eastAsia" w:ascii="宋体" w:hAnsi="宋体" w:eastAsia="宋体" w:cs="宋体"/>
          <w:kern w:val="0"/>
          <w:szCs w:val="24"/>
          <w:highlight w:val="none"/>
        </w:rPr>
        <w:t xml:space="preserve">和服务时“偷梁换柱、以次充好”损害采购人的合法权益。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7、不与采购人、采购代理机构</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政府采购评审专家</w:t>
      </w:r>
      <w:r>
        <w:rPr>
          <w:rFonts w:hint="eastAsia" w:ascii="宋体" w:hAnsi="宋体" w:eastAsia="宋体" w:cs="宋体"/>
          <w:kern w:val="0"/>
          <w:szCs w:val="24"/>
          <w:highlight w:val="none"/>
          <w:lang w:eastAsia="zh-CN"/>
        </w:rPr>
        <w:t>或其他供应商</w:t>
      </w:r>
      <w:r>
        <w:rPr>
          <w:rFonts w:hint="eastAsia" w:ascii="宋体" w:hAnsi="宋体" w:eastAsia="宋体" w:cs="宋体"/>
          <w:kern w:val="0"/>
          <w:szCs w:val="24"/>
          <w:highlight w:val="none"/>
        </w:rPr>
        <w:t xml:space="preserve">恶意串通，进行质疑和投诉，维护政府采购市场秩序。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8、尊重和接受政府采购监督管理部门的监督和政府采购代理机构招标要求，承担因违约行为给采购人造成的损失。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9、不发生其他有悖于政府采购公开、公平、公正和诚信原则的行为。</w:t>
      </w:r>
    </w:p>
    <w:p w14:paraId="34B853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eastAsia="zh-CN"/>
        </w:rPr>
        <w:t>供应商</w:t>
      </w:r>
      <w:r>
        <w:rPr>
          <w:rFonts w:hint="eastAsia" w:ascii="宋体" w:hAnsi="宋体" w:eastAsia="宋体" w:cs="宋体"/>
          <w:kern w:val="0"/>
          <w:szCs w:val="24"/>
          <w:highlight w:val="none"/>
        </w:rPr>
        <w:t>：</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（盖</w:t>
      </w:r>
      <w:r>
        <w:rPr>
          <w:rFonts w:hint="eastAsia" w:ascii="宋体" w:hAnsi="宋体" w:eastAsia="宋体" w:cs="宋体"/>
          <w:kern w:val="0"/>
          <w:szCs w:val="24"/>
          <w:highlight w:val="none"/>
          <w:lang w:eastAsia="zh-CN"/>
        </w:rPr>
        <w:t>单位</w:t>
      </w:r>
      <w:r>
        <w:rPr>
          <w:rFonts w:hint="eastAsia" w:ascii="宋体" w:hAnsi="宋体" w:eastAsia="宋体" w:cs="宋体"/>
          <w:kern w:val="0"/>
          <w:szCs w:val="24"/>
          <w:highlight w:val="none"/>
        </w:rPr>
        <w:t>章）</w:t>
      </w:r>
    </w:p>
    <w:p w14:paraId="0710ECC5">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kern w:val="0"/>
          <w:szCs w:val="24"/>
          <w:highlight w:val="none"/>
        </w:rPr>
      </w:pP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eastAsia="zh-CN"/>
        </w:rPr>
        <w:t>授权代表</w:t>
      </w:r>
      <w:r>
        <w:rPr>
          <w:rFonts w:hint="eastAsia" w:ascii="宋体" w:hAnsi="宋体" w:eastAsia="宋体" w:cs="宋体"/>
          <w:kern w:val="0"/>
          <w:szCs w:val="24"/>
          <w:highlight w:val="none"/>
        </w:rPr>
        <w:t>：</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（签</w:t>
      </w:r>
      <w:r>
        <w:rPr>
          <w:rFonts w:hint="eastAsia" w:ascii="宋体" w:hAnsi="宋体" w:eastAsia="宋体" w:cs="宋体"/>
          <w:kern w:val="0"/>
          <w:szCs w:val="24"/>
          <w:highlight w:val="none"/>
          <w:lang w:eastAsia="zh-CN"/>
        </w:rPr>
        <w:t>字</w:t>
      </w:r>
      <w:r>
        <w:rPr>
          <w:rFonts w:hint="eastAsia" w:ascii="宋体" w:hAnsi="宋体" w:eastAsia="宋体" w:cs="宋体"/>
          <w:kern w:val="0"/>
          <w:szCs w:val="24"/>
          <w:highlight w:val="none"/>
        </w:rPr>
        <w:t xml:space="preserve">或盖章）           </w:t>
      </w:r>
    </w:p>
    <w:p w14:paraId="5B66DBA5">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ascii="宋体" w:hAnsi="宋体" w:eastAsia="宋体" w:cs="宋体"/>
          <w:kern w:val="0"/>
          <w:szCs w:val="24"/>
          <w:highlight w:val="none"/>
        </w:rPr>
        <w:sectPr>
          <w:pgSz w:w="11907" w:h="16840"/>
          <w:pgMar w:top="1361" w:right="1417" w:bottom="1361" w:left="1417" w:header="907" w:footer="907" w:gutter="0"/>
          <w:pgBorders>
            <w:top w:val="none" w:sz="0" w:space="0"/>
            <w:left w:val="none" w:sz="0" w:space="0"/>
            <w:bottom w:val="none" w:sz="0" w:space="0"/>
            <w:right w:val="none" w:sz="0" w:space="0"/>
          </w:pgBorders>
          <w:pgNumType w:fmt="decimal"/>
          <w:cols w:space="0" w:num="1"/>
          <w:titlePg/>
          <w:docGrid w:linePitch="326" w:charSpace="0"/>
        </w:sectPr>
      </w:pP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年</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月</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日</w:t>
      </w:r>
    </w:p>
    <w:p w14:paraId="5D814F01">
      <w:pPr>
        <w:pStyle w:val="2"/>
        <w:jc w:val="center"/>
        <w:outlineLvl w:val="0"/>
        <w:rPr>
          <w:rFonts w:hint="eastAsia" w:asciiTheme="minorEastAsia" w:hAnsiTheme="minorEastAsia" w:eastAsiaTheme="minorEastAsia"/>
          <w:sz w:val="28"/>
          <w:szCs w:val="28"/>
          <w:highlight w:val="none"/>
          <w:lang w:val="en-US" w:eastAsia="zh-CN"/>
        </w:rPr>
      </w:pPr>
      <w:bookmarkStart w:id="788" w:name="_Toc6043"/>
      <w:bookmarkStart w:id="789" w:name="_Toc13671"/>
      <w:bookmarkStart w:id="790" w:name="_Toc14064"/>
      <w:bookmarkStart w:id="791" w:name="_Toc18919"/>
      <w:bookmarkStart w:id="792" w:name="_Toc233"/>
      <w:bookmarkStart w:id="793" w:name="_Toc15796"/>
      <w:bookmarkStart w:id="794" w:name="_Toc15048"/>
      <w:bookmarkStart w:id="795" w:name="_Toc5068"/>
      <w:bookmarkStart w:id="796" w:name="_Toc29140"/>
      <w:bookmarkStart w:id="797" w:name="_Toc26521"/>
      <w:bookmarkStart w:id="798" w:name="_Toc2842"/>
      <w:bookmarkStart w:id="799" w:name="_Toc27809"/>
      <w:r>
        <w:rPr>
          <w:rFonts w:hint="eastAsia" w:asciiTheme="minorEastAsia" w:hAnsiTheme="minorEastAsia" w:eastAsiaTheme="minorEastAsia"/>
          <w:sz w:val="28"/>
          <w:szCs w:val="28"/>
          <w:highlight w:val="none"/>
          <w:lang w:val="en-US" w:eastAsia="zh-CN"/>
        </w:rPr>
        <w:t>十、宝鸡市政府采购供应商诚信承诺书</w:t>
      </w:r>
      <w:bookmarkEnd w:id="788"/>
      <w:bookmarkEnd w:id="789"/>
      <w:bookmarkEnd w:id="790"/>
      <w:bookmarkEnd w:id="791"/>
      <w:bookmarkEnd w:id="792"/>
      <w:bookmarkEnd w:id="793"/>
      <w:bookmarkEnd w:id="794"/>
      <w:bookmarkEnd w:id="795"/>
      <w:bookmarkEnd w:id="796"/>
      <w:bookmarkEnd w:id="797"/>
      <w:bookmarkEnd w:id="798"/>
      <w:bookmarkEnd w:id="799"/>
    </w:p>
    <w:p w14:paraId="0C7FE57C">
      <w:pPr>
        <w:pStyle w:val="1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采购</w:t>
      </w:r>
      <w:r>
        <w:rPr>
          <w:rFonts w:hint="eastAsia" w:ascii="宋体" w:hAnsi="宋体" w:eastAsia="宋体" w:cs="宋体"/>
          <w:sz w:val="24"/>
          <w:szCs w:val="24"/>
          <w:highlight w:val="none"/>
          <w:u w:val="single"/>
          <w:lang w:val="en-US" w:eastAsia="zh-CN"/>
        </w:rPr>
        <w:t>人或</w:t>
      </w:r>
      <w:r>
        <w:rPr>
          <w:rFonts w:hint="eastAsia" w:ascii="宋体" w:hAnsi="宋体" w:cs="宋体"/>
          <w:sz w:val="24"/>
          <w:szCs w:val="24"/>
          <w:highlight w:val="none"/>
          <w:u w:val="single"/>
          <w:lang w:val="en-US" w:eastAsia="zh-CN"/>
        </w:rPr>
        <w:t>采购</w:t>
      </w:r>
      <w:r>
        <w:rPr>
          <w:rFonts w:hint="eastAsia" w:ascii="宋体" w:hAnsi="宋体" w:eastAsia="宋体" w:cs="宋体"/>
          <w:sz w:val="24"/>
          <w:szCs w:val="24"/>
          <w:highlight w:val="none"/>
          <w:u w:val="single"/>
          <w:lang w:val="en-US" w:eastAsia="zh-CN"/>
        </w:rPr>
        <w:t>代理机构名称）</w:t>
      </w:r>
      <w:r>
        <w:rPr>
          <w:rFonts w:hint="eastAsia" w:ascii="宋体" w:hAnsi="宋体" w:eastAsia="宋体" w:cs="宋体"/>
          <w:sz w:val="24"/>
          <w:szCs w:val="24"/>
          <w:highlight w:val="none"/>
          <w:lang w:val="en-US" w:eastAsia="zh-CN"/>
        </w:rPr>
        <w:t xml:space="preserve"> </w:t>
      </w:r>
    </w:p>
    <w:p w14:paraId="196E8A7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统一社会信用代码为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的我方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名称）自愿参加贵单位组织的编号为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编号）的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 xml:space="preserve">名称）的政府采购活动，我方已知悉并理解本项目采购文件的各项要求。为贯彻公开、公平、公正和诚实信用的政府采购原则，共同维护宝鸡市政府采购市场良好秩序，我方郑重声明和承诺如下： </w:t>
      </w:r>
    </w:p>
    <w:p w14:paraId="03359C60">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一、在参加本次政府采购活动中严格遵守《中</w:t>
      </w:r>
      <w:r>
        <w:rPr>
          <w:rFonts w:hint="eastAsia" w:ascii="宋体" w:hAnsi="宋体" w:cs="宋体"/>
          <w:sz w:val="24"/>
          <w:szCs w:val="24"/>
          <w:highlight w:val="none"/>
          <w:lang w:val="en-US" w:eastAsia="zh-CN"/>
        </w:rPr>
        <w:t>华</w:t>
      </w:r>
      <w:r>
        <w:rPr>
          <w:rFonts w:hint="eastAsia" w:ascii="宋体" w:hAnsi="宋体" w:eastAsia="宋体" w:cs="宋体"/>
          <w:sz w:val="24"/>
          <w:szCs w:val="24"/>
          <w:highlight w:val="none"/>
          <w:lang w:val="en-US" w:eastAsia="zh-CN"/>
        </w:rPr>
        <w:t>人民共和国政府采购法》等</w:t>
      </w:r>
      <w:r>
        <w:rPr>
          <w:rFonts w:hint="eastAsia" w:ascii="宋体" w:hAnsi="宋体" w:cs="宋体"/>
          <w:sz w:val="24"/>
          <w:szCs w:val="24"/>
          <w:highlight w:val="none"/>
          <w:lang w:val="en-US" w:eastAsia="zh-CN"/>
        </w:rPr>
        <w:t>法律法规</w:t>
      </w:r>
      <w:r>
        <w:rPr>
          <w:rFonts w:hint="eastAsia" w:ascii="宋体" w:hAnsi="宋体" w:eastAsia="宋体" w:cs="宋体"/>
          <w:sz w:val="24"/>
          <w:szCs w:val="24"/>
          <w:highlight w:val="none"/>
          <w:lang w:val="en-US" w:eastAsia="zh-CN"/>
        </w:rPr>
        <w:t xml:space="preserve">、规章及宝鸡市有关规定。 </w:t>
      </w:r>
    </w:p>
    <w:p w14:paraId="07109C26">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二、我方郑重声明，在参加本次政府采购活动前三年内，无因违法经营受到刑事处罚或者责令停产停业、吊销许可证或者执照、较大数额罚款等重大违法记录。 </w:t>
      </w:r>
    </w:p>
    <w:p w14:paraId="78D67E56">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我方同时声明，在参加本次政府采购活动前，未被列入失信被执行人、重大税收违法案件当事人名单、政府采购严重违法失信行为记录名单。 </w:t>
      </w:r>
    </w:p>
    <w:p w14:paraId="1FAF710F">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我方对以上声明的真实性负责，接受采购人、采购代理机构根据相关政策规定进行的信用记录查询。如发现以上声明不实，我方承担相应后果。</w:t>
      </w:r>
    </w:p>
    <w:p w14:paraId="23C1D727">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三、我方郑重承诺，在参加本次政府采购活动中： </w:t>
      </w:r>
    </w:p>
    <w:p w14:paraId="4D64DA11">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（1）不向采购人、采购代理机构和评审专家提供任何形式的商业贿赂或者提供其他不正当利益。对索取或接受商业贿赂的单位和个人，及时向财政部门和监察机关举报； </w:t>
      </w:r>
    </w:p>
    <w:p w14:paraId="6EC91FFC">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（2）不</w:t>
      </w:r>
      <w:r>
        <w:rPr>
          <w:rFonts w:hint="eastAsia" w:ascii="宋体" w:hAnsi="宋体" w:cs="宋体"/>
          <w:sz w:val="24"/>
          <w:szCs w:val="24"/>
          <w:highlight w:val="none"/>
          <w:lang w:val="en-US" w:eastAsia="zh-CN"/>
        </w:rPr>
        <w:t>与其他供应商</w:t>
      </w:r>
      <w:r>
        <w:rPr>
          <w:rFonts w:hint="eastAsia" w:ascii="宋体" w:hAnsi="宋体" w:eastAsia="宋体" w:cs="宋体"/>
          <w:sz w:val="24"/>
          <w:szCs w:val="24"/>
          <w:highlight w:val="none"/>
          <w:lang w:val="en-US" w:eastAsia="zh-CN"/>
        </w:rPr>
        <w:t>串通采取围标、陪标等商业欺诈手段谋取</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（成交）； </w:t>
      </w:r>
    </w:p>
    <w:p w14:paraId="23F6EFBF">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（3）不出借或借用资质； </w:t>
      </w:r>
    </w:p>
    <w:p w14:paraId="50BBD985">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（4）不与采购人、采购代理机构、评审专家恶意串通； </w:t>
      </w:r>
    </w:p>
    <w:p w14:paraId="71DB7870">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（5）不采取不正当手段诋毁、排挤其他</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 xml:space="preserve">； </w:t>
      </w:r>
    </w:p>
    <w:p w14:paraId="788BE679">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（6）不以虚假材料谋取</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（成交）； </w:t>
      </w:r>
    </w:p>
    <w:p w14:paraId="4A709363">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（7）不以低于成本价或恶意低价竞争； </w:t>
      </w:r>
    </w:p>
    <w:p w14:paraId="3820D7B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（8）不与采购人在招标采购过程中进行协商谈判； </w:t>
      </w:r>
    </w:p>
    <w:p w14:paraId="04522D9F">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或者成交后不得提供假冒伪劣产品； </w:t>
      </w:r>
    </w:p>
    <w:p w14:paraId="7786C18B">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或者成交后非因不可抗力不得变更投标（响应）文件中承诺的项目管理实施人员； </w:t>
      </w:r>
    </w:p>
    <w:p w14:paraId="134030E9">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或者成交后无正当理由不得拒不与采购人签订政府采购合同； </w:t>
      </w:r>
    </w:p>
    <w:p w14:paraId="22BCA9EE">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（12）不得有未按照采购文件确定的事项与采购人签订政府采购合同，或者与采购人另行订立背离合同实质性内容协议的行为；</w:t>
      </w:r>
    </w:p>
    <w:p w14:paraId="418FA429">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（13）不转包或违法分包政府采购合同，不擅自变更、中止或者终止政府采购合同； </w:t>
      </w:r>
    </w:p>
    <w:p w14:paraId="1115CEE3">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（14）不捏造事实、提供虚假材料或者以非法手段取得证明材料进行质疑、投诉； </w:t>
      </w:r>
    </w:p>
    <w:p w14:paraId="6C25313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（15）不得有拒绝有关部门监督检查或者提供虚假情况的行为；</w:t>
      </w:r>
    </w:p>
    <w:p w14:paraId="79BCE490">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（16）不得有其他违反国家法律法规和规章要求的违法犯罪或者失信行为。 </w:t>
      </w:r>
    </w:p>
    <w:p w14:paraId="5C30BEFF">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四、如有违反以上声明或者承诺之一情形的，我方知悉并接受采购人、采购代理机构和政府采购监督管理部门等政府职能部门将采取以下一种或几种方式追究我方责任： </w:t>
      </w:r>
    </w:p>
    <w:p w14:paraId="696C617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1、投标（响应）无效； </w:t>
      </w:r>
    </w:p>
    <w:p w14:paraId="7609909D">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2、不予退还投标保证金； </w:t>
      </w:r>
    </w:p>
    <w:p w14:paraId="346EC741">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3、约谈法人代表或者主要负责人，责令整改； </w:t>
      </w:r>
    </w:p>
    <w:p w14:paraId="1F5CC3F9">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 xml:space="preserve">（成交）无效； </w:t>
      </w:r>
    </w:p>
    <w:p w14:paraId="0850D5C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5、处以采购金额千分之五以上千分之十以下的罚款，列入不良行为记录名单，在一至三年内禁止参加政府采购活动； </w:t>
      </w:r>
    </w:p>
    <w:p w14:paraId="6B057C98">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6、没收</w:t>
      </w:r>
      <w:r>
        <w:rPr>
          <w:rFonts w:hint="eastAsia" w:ascii="宋体" w:hAnsi="宋体" w:cs="宋体"/>
          <w:sz w:val="24"/>
          <w:szCs w:val="24"/>
          <w:highlight w:val="none"/>
          <w:lang w:val="en-US" w:eastAsia="zh-CN"/>
        </w:rPr>
        <w:t>违法</w:t>
      </w:r>
      <w:r>
        <w:rPr>
          <w:rFonts w:hint="eastAsia" w:ascii="宋体" w:hAnsi="宋体" w:eastAsia="宋体" w:cs="宋体"/>
          <w:sz w:val="24"/>
          <w:szCs w:val="24"/>
          <w:highlight w:val="none"/>
          <w:lang w:val="en-US" w:eastAsia="zh-CN"/>
        </w:rPr>
        <w:t xml:space="preserve">所得； </w:t>
      </w:r>
    </w:p>
    <w:p w14:paraId="35555C75">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7、吊销营业执照； </w:t>
      </w:r>
    </w:p>
    <w:p w14:paraId="15B928A4">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8、政府相关部门的联合惩戒措施； </w:t>
      </w:r>
    </w:p>
    <w:p w14:paraId="3B45BC45">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9、追究民事责任； </w:t>
      </w:r>
    </w:p>
    <w:p w14:paraId="175979C8">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10、追究刑事责任； </w:t>
      </w:r>
    </w:p>
    <w:p w14:paraId="43B19E7B">
      <w:pPr>
        <w:pStyle w:val="14"/>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11、法律法规规定的其他处理处罚措施。 </w:t>
      </w:r>
    </w:p>
    <w:p w14:paraId="78840A44">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229C6557">
      <w:pPr>
        <w:pStyle w:val="14"/>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单位名称（公章）： </w:t>
      </w:r>
    </w:p>
    <w:p w14:paraId="30D52E74">
      <w:pPr>
        <w:pStyle w:val="14"/>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法定代表人或</w:t>
      </w:r>
      <w:r>
        <w:rPr>
          <w:rFonts w:hint="eastAsia" w:ascii="宋体" w:hAnsi="宋体" w:cs="宋体"/>
          <w:sz w:val="24"/>
          <w:szCs w:val="24"/>
          <w:highlight w:val="none"/>
          <w:lang w:val="en-US" w:eastAsia="zh-CN"/>
        </w:rPr>
        <w:t>被授权人</w:t>
      </w:r>
      <w:r>
        <w:rPr>
          <w:rFonts w:hint="eastAsia" w:ascii="宋体" w:hAnsi="宋体" w:eastAsia="宋体" w:cs="宋体"/>
          <w:sz w:val="24"/>
          <w:szCs w:val="24"/>
          <w:highlight w:val="none"/>
          <w:lang w:val="en-US" w:eastAsia="zh-CN"/>
        </w:rPr>
        <w:t xml:space="preserve">签字： </w:t>
      </w:r>
    </w:p>
    <w:p w14:paraId="35F5B1CF">
      <w:pPr>
        <w:pStyle w:val="14"/>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法定代表人或</w:t>
      </w:r>
      <w:r>
        <w:rPr>
          <w:rFonts w:hint="eastAsia" w:ascii="宋体" w:hAnsi="宋体" w:cs="宋体"/>
          <w:sz w:val="24"/>
          <w:szCs w:val="24"/>
          <w:highlight w:val="none"/>
          <w:lang w:val="en-US" w:eastAsia="zh-CN"/>
        </w:rPr>
        <w:t>被授权人</w:t>
      </w:r>
      <w:r>
        <w:rPr>
          <w:rFonts w:hint="eastAsia" w:ascii="宋体" w:hAnsi="宋体" w:eastAsia="宋体" w:cs="宋体"/>
          <w:sz w:val="24"/>
          <w:szCs w:val="24"/>
          <w:highlight w:val="none"/>
          <w:lang w:val="en-US" w:eastAsia="zh-CN"/>
        </w:rPr>
        <w:t xml:space="preserve">身份证复印件： </w:t>
      </w:r>
    </w:p>
    <w:p w14:paraId="3C1671B8">
      <w:pPr>
        <w:pStyle w:val="14"/>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法定代表人或</w:t>
      </w:r>
      <w:r>
        <w:rPr>
          <w:rFonts w:hint="eastAsia" w:ascii="宋体" w:hAnsi="宋体" w:cs="宋体"/>
          <w:sz w:val="24"/>
          <w:szCs w:val="24"/>
          <w:highlight w:val="none"/>
          <w:lang w:val="en-US" w:eastAsia="zh-CN"/>
        </w:rPr>
        <w:t>被授权人</w:t>
      </w:r>
      <w:r>
        <w:rPr>
          <w:rFonts w:hint="eastAsia" w:ascii="宋体" w:hAnsi="宋体" w:eastAsia="宋体" w:cs="宋体"/>
          <w:sz w:val="24"/>
          <w:szCs w:val="24"/>
          <w:highlight w:val="none"/>
          <w:lang w:val="en-US" w:eastAsia="zh-CN"/>
        </w:rPr>
        <w:t xml:space="preserve">联系电话： </w:t>
      </w:r>
    </w:p>
    <w:p w14:paraId="1ADB4177">
      <w:pPr>
        <w:pStyle w:val="14"/>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法定代表人或</w:t>
      </w:r>
      <w:r>
        <w:rPr>
          <w:rFonts w:hint="eastAsia" w:ascii="宋体" w:hAnsi="宋体" w:cs="宋体"/>
          <w:sz w:val="24"/>
          <w:szCs w:val="24"/>
          <w:highlight w:val="none"/>
          <w:lang w:val="en-US" w:eastAsia="zh-CN"/>
        </w:rPr>
        <w:t>被授权人</w:t>
      </w:r>
      <w:r>
        <w:rPr>
          <w:rFonts w:hint="eastAsia" w:ascii="宋体" w:hAnsi="宋体" w:eastAsia="宋体" w:cs="宋体"/>
          <w:sz w:val="24"/>
          <w:szCs w:val="24"/>
          <w:highlight w:val="none"/>
          <w:lang w:val="en-US" w:eastAsia="zh-CN"/>
        </w:rPr>
        <w:t xml:space="preserve">传真： </w:t>
      </w:r>
    </w:p>
    <w:p w14:paraId="4B0723A5">
      <w:pPr>
        <w:pStyle w:val="14"/>
        <w:keepNext w:val="0"/>
        <w:keepLines w:val="0"/>
        <w:pageBreakBefore w:val="0"/>
        <w:widowControl w:val="0"/>
        <w:kinsoku/>
        <w:wordWrap/>
        <w:overflowPunct/>
        <w:topLinePunct w:val="0"/>
        <w:autoSpaceDE/>
        <w:autoSpaceDN/>
        <w:bidi w:val="0"/>
        <w:adjustRightInd/>
        <w:snapToGrid w:val="0"/>
        <w:spacing w:line="480" w:lineRule="auto"/>
        <w:ind w:firstLine="5760" w:firstLineChars="24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日</w:t>
      </w:r>
    </w:p>
    <w:sectPr>
      <w:pgSz w:w="11907" w:h="16840"/>
      <w:pgMar w:top="1361" w:right="1417" w:bottom="1361" w:left="1417" w:header="907" w:footer="90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DCC8">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8C58">
    <w:pPr>
      <w:rPr>
        <w:rFonts w:hint="eastAsia" w:ascii="宋体" w:hAnsi="宋体"/>
        <w:bCs/>
        <w:sz w:val="21"/>
        <w:szCs w:val="21"/>
      </w:rPr>
    </w:pPr>
    <w:r>
      <w:rPr>
        <w:sz w:val="21"/>
      </w:rPr>
      <w:pict>
        <v:shape id="_x0000_s3144" o:spid="_x0000_s314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51D03264">
                <w:pPr>
                  <w:pStyle w:val="14"/>
                </w:pPr>
                <w:r>
                  <w:fldChar w:fldCharType="begin"/>
                </w:r>
                <w:r>
                  <w:instrText xml:space="preserve"> PAGE  \* MERGEFORMAT </w:instrText>
                </w:r>
                <w:r>
                  <w:fldChar w:fldCharType="separate"/>
                </w:r>
                <w:r>
                  <w:t>43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EAFD">
    <w:pPr>
      <w:spacing w:line="280" w:lineRule="exact"/>
      <w:rPr>
        <w:rFonts w:cs="楷体" w:asciiTheme="minorEastAsia" w:hAnsiTheme="minorEastAsia"/>
        <w:b/>
        <w:sz w:val="18"/>
        <w:szCs w:val="18"/>
        <w:u w:val="single"/>
      </w:rPr>
    </w:pPr>
    <w:r>
      <w:rPr>
        <w:sz w:val="18"/>
      </w:rPr>
      <w:pict>
        <v:shape id="_x0000_s3145" o:spid="_x0000_s314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4C16338">
                <w:pPr>
                  <w:pStyle w:val="14"/>
                </w:pPr>
                <w:r>
                  <w:fldChar w:fldCharType="begin"/>
                </w:r>
                <w:r>
                  <w:instrText xml:space="preserve"> PAGE  \* MERGEFORMAT </w:instrText>
                </w:r>
                <w:r>
                  <w:fldChar w:fldCharType="separate"/>
                </w:r>
                <w:r>
                  <w:t>42</w:t>
                </w:r>
                <w:r>
                  <w:fldChar w:fldCharType="end"/>
                </w:r>
              </w:p>
            </w:txbxContent>
          </v:textbox>
        </v:shape>
      </w:pict>
    </w:r>
    <w:r>
      <w:rPr>
        <w:rFonts w:asciiTheme="minorEastAsia" w:hAnsiTheme="minorEastAsia"/>
        <w:sz w:val="18"/>
      </w:rPr>
      <w:pict>
        <v:shape id="文本框 32" o:spid="_x0000_s3078" o:spt="202" type="#_x0000_t202" style="position:absolute;left:0pt;margin-left:184.15pt;margin-top:18.45pt;height:11.9pt;width:88.75pt;mso-position-horizontal-relative:margin;z-index:251663360;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zAde1QAAAAoBAAAPAAAAAAAAAAEAIAAAACIAAABkcnMvZG93bnJldi54bWxQSwECFAAUAAAA&#10;CACHTuJActxD07gBAABVAwAADgAAAAAAAAABACAAAAAkAQAAZHJzL2Uyb0RvYy54bWxQSwUGAAAA&#10;AAYABgBZAQAATgUAAAAA&#10;">
          <v:path/>
          <v:fill on="f" focussize="0,0"/>
          <v:stroke on="f" joinstyle="miter"/>
          <v:imagedata o:title=""/>
          <o:lock v:ext="edit"/>
          <v:textbox inset="0mm,0mm,0mm,0mm">
            <w:txbxContent>
              <w:p w14:paraId="43575704">
                <w:pPr>
                  <w:pStyle w:val="14"/>
                  <w:jc w:val="center"/>
                  <w:rPr>
                    <w:rFonts w:cs="楷体" w:asciiTheme="minorEastAsia" w:hAnsiTheme="minorEastAsia" w:eastAsiaTheme="minorEastAsia"/>
                    <w:b/>
                  </w:rPr>
                </w:pP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2086">
    <w:pPr>
      <w:spacing w:line="280" w:lineRule="exact"/>
      <w:rPr>
        <w:rFonts w:ascii="楷体" w:hAnsi="楷体" w:eastAsia="楷体" w:cs="楷体"/>
        <w:b/>
        <w:sz w:val="18"/>
        <w:szCs w:val="18"/>
        <w:u w:val="single"/>
      </w:rPr>
    </w:pPr>
    <w:r>
      <w:rPr>
        <w:sz w:val="18"/>
      </w:rPr>
      <w:pict>
        <v:shape id="_x0000_s3146" o:spid="_x0000_s314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3C58B44C">
                <w:pPr>
                  <w:pStyle w:val="14"/>
                </w:pPr>
                <w:r>
                  <w:fldChar w:fldCharType="begin"/>
                </w:r>
                <w:r>
                  <w:instrText xml:space="preserve"> PAGE  \* MERGEFORMAT </w:instrText>
                </w:r>
                <w:r>
                  <w:fldChar w:fldCharType="separate"/>
                </w:r>
                <w:r>
                  <w:t>61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C2A3">
    <w:pPr>
      <w:spacing w:line="280" w:lineRule="exact"/>
      <w:rPr>
        <w:rFonts w:ascii="楷体" w:hAnsi="楷体" w:eastAsia="楷体" w:cs="楷体"/>
        <w:b/>
        <w:sz w:val="18"/>
        <w:szCs w:val="18"/>
        <w:u w:val="single"/>
      </w:rPr>
    </w:pPr>
    <w:r>
      <w:rPr>
        <w:sz w:val="18"/>
      </w:rPr>
      <w:pict>
        <v:shape id="_x0000_s3147" o:spid="_x0000_s314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7C049D53">
                <w:pPr>
                  <w:pStyle w:val="14"/>
                </w:pPr>
                <w:r>
                  <w:fldChar w:fldCharType="begin"/>
                </w:r>
                <w:r>
                  <w:instrText xml:space="preserve"> PAGE  \* MERGEFORMAT </w:instrText>
                </w:r>
                <w:r>
                  <w:fldChar w:fldCharType="separate"/>
                </w:r>
                <w:r>
                  <w:t>63</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0DC4">
    <w:pPr>
      <w:spacing w:line="280" w:lineRule="exact"/>
      <w:rPr>
        <w:rFonts w:ascii="楷体" w:hAnsi="楷体" w:eastAsia="楷体" w:cs="楷体"/>
        <w:b/>
        <w:sz w:val="18"/>
        <w:szCs w:val="18"/>
        <w:u w:val="single"/>
      </w:rPr>
    </w:pPr>
    <w:r>
      <w:rPr>
        <w:sz w:val="18"/>
      </w:rPr>
      <w:pict>
        <v:shape id="_x0000_s3148" o:spid="_x0000_s314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5BD21099">
                <w:pPr>
                  <w:pStyle w:val="14"/>
                </w:pPr>
                <w:r>
                  <w:fldChar w:fldCharType="begin"/>
                </w:r>
                <w:r>
                  <w:instrText xml:space="preserve"> PAGE  \* MERGEFORMAT </w:instrText>
                </w:r>
                <w:r>
                  <w:fldChar w:fldCharType="separate"/>
                </w:r>
                <w:r>
                  <w:t>62</w:t>
                </w:r>
                <w:r>
                  <w:fldChar w:fldCharType="end"/>
                </w:r>
              </w:p>
            </w:txbxContent>
          </v:textbox>
        </v:shape>
      </w:pict>
    </w:r>
    <w:r>
      <w:rPr>
        <w:sz w:val="18"/>
      </w:rPr>
      <w:pict>
        <v:shape id="文本框 26" o:spid="_x0000_s3137" o:spt="202" type="#_x0000_t202" style="position:absolute;left:0pt;margin-top:2.45pt;height:144pt;width:144pt;mso-position-horizontal:center;mso-position-horizontal-relative:margin;mso-wrap-style:none;z-index:251660288;mso-width-relative:page;mso-height-relative:page;" filled="f" stroked="f" coordsize="21600,21600" o:gfxdata="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OKSJnVAAAACQEAAA8AAAAAAAAAAQAgAAAAIgAAAGRycy9kb3ducmV2&#10;LnhtbFBLAQIUABQAAAAIAIdO4kAE5MH8xgEAAGwDAAAOAAAAAAAAAAEAIAAAACQBAABkcnMvZTJv&#10;RG9jLnhtbFBLBQYAAAAABgAGAFkBAABcBQAAAAA=&#10;">
          <v:path/>
          <v:fill on="f" focussize="0,0"/>
          <v:stroke on="f" joinstyle="miter"/>
          <v:imagedata o:title=""/>
          <o:lock v:ext="edit"/>
          <v:textbox inset="0mm,0mm,0mm,0mm" style="mso-fit-shape-to-text:t;">
            <w:txbxContent>
              <w:p w14:paraId="23F19987">
                <w:pPr>
                  <w:pStyle w:val="14"/>
                  <w:jc w:val="center"/>
                  <w:rPr>
                    <w:rFonts w:ascii="楷体" w:hAnsi="楷体" w:eastAsia="楷体" w:cs="楷体"/>
                    <w:b/>
                  </w:rPr>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3A61">
    <w:pPr>
      <w:pStyle w:val="14"/>
      <w:tabs>
        <w:tab w:val="left" w:pos="6049"/>
        <w:tab w:val="clear" w:pos="4153"/>
      </w:tabs>
    </w:pPr>
    <w:r>
      <w:rPr>
        <w:sz w:val="18"/>
      </w:rPr>
      <w:pict>
        <v:shape id="_x0000_s3149" o:spid="_x0000_s3149"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73E68ED3">
                <w:pPr>
                  <w:pStyle w:val="14"/>
                </w:pPr>
                <w:r>
                  <w:fldChar w:fldCharType="begin"/>
                </w:r>
                <w:r>
                  <w:instrText xml:space="preserve"> PAGE  \* MERGEFORMAT </w:instrText>
                </w:r>
                <w:r>
                  <w:fldChar w:fldCharType="separate"/>
                </w:r>
                <w:r>
                  <w:t>73</w:t>
                </w:r>
                <w:r>
                  <w:fldChar w:fldCharType="end"/>
                </w:r>
              </w:p>
            </w:txbxContent>
          </v:textbox>
        </v:shape>
      </w:pict>
    </w:r>
    <w:r>
      <w:rPr>
        <w:rFonts w:hint="eastAsia"/>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07A0">
    <w:pPr>
      <w:pStyle w:val="14"/>
      <w:tabs>
        <w:tab w:val="left" w:pos="6049"/>
        <w:tab w:val="clear" w:pos="4153"/>
      </w:tabs>
    </w:pPr>
    <w:r>
      <w:rPr>
        <w:sz w:val="18"/>
      </w:rPr>
      <w:pict>
        <v:shape id="_x0000_s3150" o:spid="_x0000_s3150"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3852667C">
                <w:pPr>
                  <w:pStyle w:val="14"/>
                </w:pPr>
                <w:r>
                  <w:fldChar w:fldCharType="begin"/>
                </w:r>
                <w:r>
                  <w:instrText xml:space="preserve"> PAGE  \* MERGEFORMAT </w:instrText>
                </w:r>
                <w:r>
                  <w:fldChar w:fldCharType="separate"/>
                </w:r>
                <w:r>
                  <w:t>75</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56C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3694">
    <w:pPr>
      <w:spacing w:line="280" w:lineRule="exact"/>
      <w:rPr>
        <w:rFonts w:ascii="宋体" w:hAnsi="宋体"/>
        <w:b/>
        <w:sz w:val="21"/>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64D6">
    <w:pPr>
      <w:spacing w:line="280" w:lineRule="exact"/>
      <w:rPr>
        <w:rFonts w:cs="楷体" w:asciiTheme="minorEastAsia" w:hAnsiTheme="minorEastAsia"/>
        <w:b/>
        <w:sz w:val="18"/>
        <w:szCs w:val="18"/>
        <w:u w:val="single"/>
      </w:rPr>
    </w:pPr>
    <w:r>
      <w:rPr>
        <w:sz w:val="18"/>
      </w:rPr>
      <w:pict>
        <v:shape id="_x0000_s3138" o:spid="_x0000_s31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36DD8EA">
                <w:pPr>
                  <w:pStyle w:val="14"/>
                </w:pPr>
                <w:r>
                  <w:fldChar w:fldCharType="begin"/>
                </w:r>
                <w:r>
                  <w:instrText xml:space="preserve"> PAGE  \* MERGEFORMAT </w:instrText>
                </w:r>
                <w:r>
                  <w:fldChar w:fldCharType="separate"/>
                </w:r>
                <w:r>
                  <w:t>3</w:t>
                </w:r>
                <w:r>
                  <w:fldChar w:fldCharType="end"/>
                </w:r>
              </w:p>
            </w:txbxContent>
          </v:textbox>
        </v:shape>
      </w:pict>
    </w:r>
    <w:r>
      <w:rPr>
        <w:rFonts w:asciiTheme="minorEastAsia" w:hAnsiTheme="minorEastAsia"/>
        <w:sz w:val="18"/>
      </w:rPr>
      <w:pict>
        <v:shape id="文本框 30" o:spid="_x0000_s3080" o:spt="202" type="#_x0000_t202" style="position:absolute;left:0pt;margin-left:190.7pt;margin-top:6.8pt;height:17.5pt;width:84.55pt;mso-position-horizontal-relative:margin;z-index:251661312;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zAde1QAAAAoBAAAPAAAAAAAAAAEAIAAAACIAAABkcnMvZG93bnJldi54bWxQSwECFAAUAAAA&#10;CACHTuJAZiz8X7gBAABVAwAADgAAAAAAAAABACAAAAAkAQAAZHJzL2Uyb0RvYy54bWxQSwUGAAAA&#10;AAYABgBZAQAATgUAAAAA&#10;">
          <v:path/>
          <v:fill on="f" focussize="0,0"/>
          <v:stroke on="f" joinstyle="miter"/>
          <v:imagedata o:title=""/>
          <o:lock v:ext="edit"/>
          <v:textbox inset="0mm,0mm,0mm,0mm">
            <w:txbxContent>
              <w:p w14:paraId="0E710931">
                <w:pPr>
                  <w:pStyle w:val="14"/>
                  <w:jc w:val="center"/>
                  <w:rPr>
                    <w:rFonts w:cs="楷体" w:asciiTheme="minorEastAsia" w:hAnsiTheme="minorEastAsia" w:eastAsiaTheme="minorEastAsia"/>
                    <w:b/>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242A">
    <w:pPr>
      <w:spacing w:line="280" w:lineRule="exact"/>
      <w:ind w:left="360" w:hanging="360" w:hangingChars="200"/>
      <w:rPr>
        <w:rFonts w:ascii="楷体" w:hAnsi="楷体" w:eastAsia="楷体" w:cs="楷体"/>
        <w:b/>
        <w:sz w:val="18"/>
        <w:szCs w:val="18"/>
        <w:u w:val="single"/>
      </w:rPr>
    </w:pPr>
    <w:r>
      <w:rPr>
        <w:sz w:val="18"/>
      </w:rPr>
      <w:pict>
        <v:shape id="_x0000_s3139" o:spid="_x0000_s313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266932F">
                <w:pPr>
                  <w:pStyle w:val="14"/>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CD48">
    <w:pPr>
      <w:spacing w:line="280" w:lineRule="exact"/>
      <w:ind w:left="360" w:hanging="360" w:hangingChars="200"/>
      <w:rPr>
        <w:rFonts w:cs="楷体" w:asciiTheme="minorEastAsia" w:hAnsiTheme="minorEastAsia"/>
        <w:b/>
        <w:sz w:val="18"/>
        <w:szCs w:val="18"/>
        <w:u w:val="single"/>
      </w:rPr>
    </w:pPr>
    <w:r>
      <w:rPr>
        <w:sz w:val="18"/>
      </w:rPr>
      <w:pict>
        <v:shape id="_x0000_s3140" o:spid="_x0000_s314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D33E4FE">
                <w:pPr>
                  <w:pStyle w:val="14"/>
                </w:pPr>
                <w:r>
                  <w:fldChar w:fldCharType="begin"/>
                </w:r>
                <w:r>
                  <w:instrText xml:space="preserve"> PAGE  \* MERGEFORMAT </w:instrText>
                </w:r>
                <w:r>
                  <w:fldChar w:fldCharType="separate"/>
                </w:r>
                <w:r>
                  <w:t>13</w:t>
                </w:r>
                <w:r>
                  <w:fldChar w:fldCharType="end"/>
                </w:r>
              </w:p>
            </w:txbxContent>
          </v:textbox>
        </v:shape>
      </w:pict>
    </w:r>
    <w:r>
      <w:rPr>
        <w:rFonts w:asciiTheme="minorEastAsia" w:hAnsiTheme="minorEastAsia"/>
        <w:sz w:val="18"/>
      </w:rPr>
      <w:pict>
        <v:shape id="文本框 5" o:spid="_x0000_s3101" o:spt="202" type="#_x0000_t202" style="position:absolute;left:0pt;margin-left:190.7pt;margin-top:6.8pt;height:17.5pt;width:84.55pt;mso-position-horizontal-relative:margin;z-index:251662336;mso-width-relative:page;mso-height-relative:page;" filled="f" stroked="f" coordsize="21600,21600" o:gfxdata="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69FLYAAAACQEAAA8AAAAAAAAAAQAgAAAAIgAAAGRycy9kb3ducmV2LnhtbFBLAQIU&#10;ABQAAAAIAIdO4kANWfT1ugEAAHIDAAAOAAAAAAAAAAEAIAAAACcBAABkcnMvZTJvRG9jLnhtbFBL&#10;BQYAAAAABgAGAFkBAABTBQAAAAA=&#10;">
          <v:path/>
          <v:fill on="f" focussize="0,0"/>
          <v:stroke on="f"/>
          <v:imagedata o:title=""/>
          <o:lock v:ext="edit" aspectratio="f"/>
          <v:textbox inset="0mm,0mm,0mm,0mm">
            <w:txbxContent>
              <w:p w14:paraId="4833DAB5">
                <w:pPr>
                  <w:pStyle w:val="14"/>
                  <w:jc w:val="center"/>
                  <w:rPr>
                    <w:rFonts w:cs="楷体" w:asciiTheme="minorEastAsia" w:hAnsiTheme="minorEastAsia" w:eastAsiaTheme="minorEastAsia"/>
                    <w:b/>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6EB6">
    <w:pPr>
      <w:spacing w:line="280" w:lineRule="exact"/>
      <w:ind w:left="360" w:hanging="360" w:hangingChars="200"/>
      <w:rPr>
        <w:rFonts w:cs="楷体" w:asciiTheme="minorEastAsia" w:hAnsiTheme="minorEastAsia"/>
        <w:b/>
        <w:sz w:val="18"/>
        <w:szCs w:val="18"/>
        <w:u w:val="single"/>
      </w:rPr>
    </w:pPr>
    <w:r>
      <w:rPr>
        <w:sz w:val="18"/>
      </w:rPr>
      <w:pict>
        <v:shape id="_x0000_s3141" o:spid="_x0000_s314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578324E1">
                <w:pPr>
                  <w:pStyle w:val="14"/>
                </w:pPr>
                <w:r>
                  <w:fldChar w:fldCharType="begin"/>
                </w:r>
                <w:r>
                  <w:instrText xml:space="preserve"> PAGE  \* MERGEFORMAT </w:instrText>
                </w:r>
                <w:r>
                  <w:fldChar w:fldCharType="separate"/>
                </w:r>
                <w:r>
                  <w:t>12</w:t>
                </w:r>
                <w:r>
                  <w:fldChar w:fldCharType="end"/>
                </w:r>
              </w:p>
            </w:txbxContent>
          </v:textbox>
        </v:shape>
      </w:pict>
    </w:r>
    <w:r>
      <w:rPr>
        <w:rFonts w:asciiTheme="minorEastAsia" w:hAnsiTheme="minorEastAsia"/>
        <w:sz w:val="18"/>
      </w:rPr>
      <w:pict>
        <v:shape id="文本框 2" o:spid="_x0000_s3104" o:spt="202" type="#_x0000_t202" style="position:absolute;left:0pt;margin-left:190.7pt;margin-top:6.8pt;height:144pt;width:144pt;mso-position-horizontal-relative:margin;mso-wrap-style:none;z-index:251661312;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MB17VAAAA&#10;CgEAAA8AAAAAAAAAAQAgAAAAIgAAAGRycy9kb3ducmV2LnhtbFBLAQIUABQAAAAIAIdO4kDSO2m+&#10;5wEAAMcDAAAOAAAAAAAAAAEAIAAAACQBAABkcnMvZTJvRG9jLnhtbFBLBQYAAAAABgAGAFkBAAB9&#10;BQAAAAA=&#10;">
          <v:path/>
          <v:fill on="f" focussize="0,0"/>
          <v:stroke on="f"/>
          <v:imagedata o:title=""/>
          <o:lock v:ext="edit" aspectratio="f"/>
          <v:textbox inset="0mm,0mm,0mm,0mm" style="mso-fit-shape-to-text:t;">
            <w:txbxContent>
              <w:p w14:paraId="736577BB">
                <w:pPr>
                  <w:pStyle w:val="14"/>
                  <w:jc w:val="center"/>
                  <w:rPr>
                    <w:rFonts w:cs="楷体" w:asciiTheme="minorEastAsia" w:hAnsiTheme="minorEastAsia" w:eastAsiaTheme="minorEastAsia"/>
                    <w:b/>
                  </w:rPr>
                </w:pPr>
              </w:p>
            </w:txbxContent>
          </v:textbox>
        </v:shape>
      </w:pict>
    </w:r>
    <w:r>
      <w:rPr>
        <w:rFonts w:hint="eastAsia" w:asciiTheme="minorEastAsia" w:hAnsiTheme="minor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75B1">
    <w:pPr>
      <w:rPr>
        <w:rFonts w:hint="eastAsia" w:ascii="宋体" w:hAnsi="宋体"/>
        <w:bCs/>
        <w:sz w:val="21"/>
        <w:szCs w:val="21"/>
      </w:rPr>
    </w:pPr>
    <w:r>
      <w:rPr>
        <w:sz w:val="21"/>
      </w:rPr>
      <w:pict>
        <v:shape id="_x0000_s3153" o:spid="_x0000_s315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67745586">
                <w:pPr>
                  <w:pStyle w:val="14"/>
                </w:pPr>
                <w:r>
                  <w:fldChar w:fldCharType="begin"/>
                </w:r>
                <w:r>
                  <w:instrText xml:space="preserve"> PAGE  \* MERGEFORMAT </w:instrText>
                </w:r>
                <w:r>
                  <w:fldChar w:fldCharType="separate"/>
                </w:r>
                <w:r>
                  <w:t>44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DAF6">
    <w:pPr>
      <w:spacing w:line="280" w:lineRule="exact"/>
      <w:rPr>
        <w:rFonts w:cs="楷体" w:asciiTheme="minorEastAsia" w:hAnsiTheme="minorEastAsia"/>
        <w:b/>
        <w:sz w:val="18"/>
        <w:szCs w:val="18"/>
        <w:u w:val="single"/>
      </w:rPr>
    </w:pPr>
    <w:r>
      <w:rPr>
        <w:sz w:val="18"/>
      </w:rPr>
      <w:pict>
        <v:shape id="_x0000_s3151" o:spid="_x0000_s3151"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312BF5D">
                <w:pPr>
                  <w:pStyle w:val="14"/>
                </w:pPr>
                <w:r>
                  <w:fldChar w:fldCharType="begin"/>
                </w:r>
                <w:r>
                  <w:instrText xml:space="preserve"> PAGE  \* MERGEFORMAT </w:instrText>
                </w:r>
                <w:r>
                  <w:fldChar w:fldCharType="separate"/>
                </w:r>
                <w:r>
                  <w:t>43</w:t>
                </w:r>
                <w:r>
                  <w:fldChar w:fldCharType="end"/>
                </w:r>
              </w:p>
            </w:txbxContent>
          </v:textbox>
        </v:shape>
      </w:pict>
    </w:r>
    <w:r>
      <w:rPr>
        <w:rFonts w:asciiTheme="minorEastAsia" w:hAnsiTheme="minorEastAsia"/>
        <w:sz w:val="18"/>
      </w:rPr>
      <w:pict>
        <v:shape id="_x0000_s3152" o:spid="_x0000_s3152" o:spt="202" type="#_x0000_t202" style="position:absolute;left:0pt;margin-left:184.15pt;margin-top:18.45pt;height:11.9pt;width:88.75pt;mso-position-horizontal-relative:margin;z-index:251666432;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zAde1QAAAAoBAAAPAAAAAAAAAAEAIAAAACIAAABkcnMvZG93bnJldi54bWxQSwECFAAUAAAA&#10;CACHTuJActxD07gBAABVAwAADgAAAAAAAAABACAAAAAkAQAAZHJzL2Uyb0RvYy54bWxQSwUGAAAA&#10;AAYABgBZAQAATgUAAAAA&#10;">
          <v:path/>
          <v:fill on="f" focussize="0,0"/>
          <v:stroke on="f" joinstyle="miter"/>
          <v:imagedata o:title=""/>
          <o:lock v:ext="edit"/>
          <v:textbox inset="0mm,0mm,0mm,0mm">
            <w:txbxContent>
              <w:p w14:paraId="3F4773EA">
                <w:pPr>
                  <w:pStyle w:val="14"/>
                  <w:jc w:val="center"/>
                  <w:rPr>
                    <w:rFonts w:cs="楷体" w:asciiTheme="minorEastAsia" w:hAnsiTheme="minorEastAsia" w:eastAsiaTheme="minorEastAsia"/>
                    <w:b/>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9016">
    <w:pPr>
      <w:tabs>
        <w:tab w:val="left" w:pos="3801"/>
      </w:tabs>
      <w:spacing w:line="480" w:lineRule="exact"/>
      <w:rPr>
        <w:rFonts w:ascii="宋体" w:hAnsi="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D0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513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84F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82F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BD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39CD">
    <w:pPr>
      <w:tabs>
        <w:tab w:val="left" w:pos="3801"/>
      </w:tabs>
      <w:spacing w:line="240" w:lineRule="auto"/>
      <w:rPr>
        <w:rFonts w:ascii="宋体" w:hAnsi="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D762">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7692">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B1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D24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79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9D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56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4B4E9"/>
    <w:multiLevelType w:val="singleLevel"/>
    <w:tmpl w:val="C544B4E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attachedTemplate r:id="rId1"/>
  <w:documentProtection w:edit="forms" w:enforcement="1" w:cryptProviderType="rsaFull" w:cryptAlgorithmClass="hash" w:cryptAlgorithmType="typeAny" w:cryptAlgorithmSid="4" w:cryptSpinCount="0" w:hash="O6yBasHAvkWlU5K/4eaQxqjcOac=" w:salt="eDiaoF5BNguGhfvBB0r1aA=="/>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cwZGRiMzRkMDYxMmJjYjA1N2NmN2IyMWMwMWI4N2QifQ=="/>
  </w:docVars>
  <w:rsids>
    <w:rsidRoot w:val="41465FC8"/>
    <w:rsid w:val="00021727"/>
    <w:rsid w:val="00025C4F"/>
    <w:rsid w:val="00026D62"/>
    <w:rsid w:val="00027588"/>
    <w:rsid w:val="00034803"/>
    <w:rsid w:val="000365F8"/>
    <w:rsid w:val="00040869"/>
    <w:rsid w:val="0004762E"/>
    <w:rsid w:val="000564BF"/>
    <w:rsid w:val="000576C8"/>
    <w:rsid w:val="0006150E"/>
    <w:rsid w:val="0009006D"/>
    <w:rsid w:val="00092AE4"/>
    <w:rsid w:val="000A0F15"/>
    <w:rsid w:val="000A3F74"/>
    <w:rsid w:val="000B4FC0"/>
    <w:rsid w:val="000C0EE9"/>
    <w:rsid w:val="000C1834"/>
    <w:rsid w:val="000C2C84"/>
    <w:rsid w:val="000D4E3F"/>
    <w:rsid w:val="000E09E7"/>
    <w:rsid w:val="000E436A"/>
    <w:rsid w:val="001001DD"/>
    <w:rsid w:val="00102B1A"/>
    <w:rsid w:val="001113F9"/>
    <w:rsid w:val="00111A47"/>
    <w:rsid w:val="00114167"/>
    <w:rsid w:val="0011601C"/>
    <w:rsid w:val="001247F3"/>
    <w:rsid w:val="00135592"/>
    <w:rsid w:val="00141C9F"/>
    <w:rsid w:val="00155462"/>
    <w:rsid w:val="00160BD9"/>
    <w:rsid w:val="001777A5"/>
    <w:rsid w:val="001A12BF"/>
    <w:rsid w:val="001A762F"/>
    <w:rsid w:val="001B52CB"/>
    <w:rsid w:val="001D170F"/>
    <w:rsid w:val="001D55C1"/>
    <w:rsid w:val="001E7AE7"/>
    <w:rsid w:val="001F0128"/>
    <w:rsid w:val="001F6C4F"/>
    <w:rsid w:val="00207852"/>
    <w:rsid w:val="00213CF6"/>
    <w:rsid w:val="00216E7A"/>
    <w:rsid w:val="002276DD"/>
    <w:rsid w:val="00227D43"/>
    <w:rsid w:val="002302D7"/>
    <w:rsid w:val="00231DFD"/>
    <w:rsid w:val="002430F1"/>
    <w:rsid w:val="00247610"/>
    <w:rsid w:val="00251FD2"/>
    <w:rsid w:val="002744D5"/>
    <w:rsid w:val="002803AC"/>
    <w:rsid w:val="002902C8"/>
    <w:rsid w:val="00290711"/>
    <w:rsid w:val="00293D39"/>
    <w:rsid w:val="00295906"/>
    <w:rsid w:val="002A4107"/>
    <w:rsid w:val="002B42CE"/>
    <w:rsid w:val="002B4F55"/>
    <w:rsid w:val="002C71B7"/>
    <w:rsid w:val="002C7B9A"/>
    <w:rsid w:val="002C7F3C"/>
    <w:rsid w:val="002D269B"/>
    <w:rsid w:val="002D35AD"/>
    <w:rsid w:val="002E064F"/>
    <w:rsid w:val="002E2D60"/>
    <w:rsid w:val="0030154C"/>
    <w:rsid w:val="00322FC6"/>
    <w:rsid w:val="00325FD2"/>
    <w:rsid w:val="003265C3"/>
    <w:rsid w:val="00326C93"/>
    <w:rsid w:val="00326F1E"/>
    <w:rsid w:val="003337AA"/>
    <w:rsid w:val="0034206C"/>
    <w:rsid w:val="0034481E"/>
    <w:rsid w:val="003551AF"/>
    <w:rsid w:val="00363AE0"/>
    <w:rsid w:val="003769D1"/>
    <w:rsid w:val="00376A2E"/>
    <w:rsid w:val="00394AB5"/>
    <w:rsid w:val="003A3576"/>
    <w:rsid w:val="003B23D8"/>
    <w:rsid w:val="003C245E"/>
    <w:rsid w:val="003E36A7"/>
    <w:rsid w:val="003F4E50"/>
    <w:rsid w:val="003F7ADF"/>
    <w:rsid w:val="00401DD0"/>
    <w:rsid w:val="00426845"/>
    <w:rsid w:val="00427FFC"/>
    <w:rsid w:val="004459FF"/>
    <w:rsid w:val="00446331"/>
    <w:rsid w:val="004550FA"/>
    <w:rsid w:val="00456125"/>
    <w:rsid w:val="00467E20"/>
    <w:rsid w:val="0047017E"/>
    <w:rsid w:val="00477657"/>
    <w:rsid w:val="00485AF8"/>
    <w:rsid w:val="004868E1"/>
    <w:rsid w:val="004920F6"/>
    <w:rsid w:val="004925EA"/>
    <w:rsid w:val="00492DBE"/>
    <w:rsid w:val="004A6055"/>
    <w:rsid w:val="004B520E"/>
    <w:rsid w:val="004B6D32"/>
    <w:rsid w:val="004B7D3A"/>
    <w:rsid w:val="004C6BF3"/>
    <w:rsid w:val="004D15F7"/>
    <w:rsid w:val="004D5891"/>
    <w:rsid w:val="004D66D6"/>
    <w:rsid w:val="005121CD"/>
    <w:rsid w:val="00525E63"/>
    <w:rsid w:val="005301B3"/>
    <w:rsid w:val="00535E7A"/>
    <w:rsid w:val="00537759"/>
    <w:rsid w:val="005413AD"/>
    <w:rsid w:val="0054420A"/>
    <w:rsid w:val="00546B22"/>
    <w:rsid w:val="005521D3"/>
    <w:rsid w:val="005544EC"/>
    <w:rsid w:val="005553D8"/>
    <w:rsid w:val="00560574"/>
    <w:rsid w:val="00561EFA"/>
    <w:rsid w:val="005667BA"/>
    <w:rsid w:val="00566E3F"/>
    <w:rsid w:val="0058071B"/>
    <w:rsid w:val="00581FDC"/>
    <w:rsid w:val="005A4BE6"/>
    <w:rsid w:val="005C3068"/>
    <w:rsid w:val="005E6B2F"/>
    <w:rsid w:val="005F2466"/>
    <w:rsid w:val="0060408A"/>
    <w:rsid w:val="00606ACB"/>
    <w:rsid w:val="006108FD"/>
    <w:rsid w:val="00617BE3"/>
    <w:rsid w:val="00623B80"/>
    <w:rsid w:val="00642039"/>
    <w:rsid w:val="006553DE"/>
    <w:rsid w:val="00655A60"/>
    <w:rsid w:val="00660E1B"/>
    <w:rsid w:val="00664DA3"/>
    <w:rsid w:val="00665A98"/>
    <w:rsid w:val="00670C23"/>
    <w:rsid w:val="0067189F"/>
    <w:rsid w:val="006773C7"/>
    <w:rsid w:val="006B15CE"/>
    <w:rsid w:val="006C4567"/>
    <w:rsid w:val="006E0D9B"/>
    <w:rsid w:val="006E1C72"/>
    <w:rsid w:val="006F6180"/>
    <w:rsid w:val="007007B0"/>
    <w:rsid w:val="00703F33"/>
    <w:rsid w:val="007045B8"/>
    <w:rsid w:val="007275AB"/>
    <w:rsid w:val="00730868"/>
    <w:rsid w:val="007327C6"/>
    <w:rsid w:val="00733164"/>
    <w:rsid w:val="00736E10"/>
    <w:rsid w:val="00741A8F"/>
    <w:rsid w:val="00747062"/>
    <w:rsid w:val="00757AD2"/>
    <w:rsid w:val="0076013A"/>
    <w:rsid w:val="00761486"/>
    <w:rsid w:val="00761B73"/>
    <w:rsid w:val="00764FEF"/>
    <w:rsid w:val="007845DE"/>
    <w:rsid w:val="00790965"/>
    <w:rsid w:val="00795A83"/>
    <w:rsid w:val="007979B0"/>
    <w:rsid w:val="007A16FE"/>
    <w:rsid w:val="007B1B5C"/>
    <w:rsid w:val="007C7BA3"/>
    <w:rsid w:val="007D7AAA"/>
    <w:rsid w:val="007E5FBB"/>
    <w:rsid w:val="007F4DE0"/>
    <w:rsid w:val="0080189F"/>
    <w:rsid w:val="00802EF0"/>
    <w:rsid w:val="00803A44"/>
    <w:rsid w:val="0081134C"/>
    <w:rsid w:val="00816257"/>
    <w:rsid w:val="008201C1"/>
    <w:rsid w:val="0083646E"/>
    <w:rsid w:val="0084236D"/>
    <w:rsid w:val="00844169"/>
    <w:rsid w:val="00851E15"/>
    <w:rsid w:val="00857342"/>
    <w:rsid w:val="008707FC"/>
    <w:rsid w:val="008711B3"/>
    <w:rsid w:val="0087259F"/>
    <w:rsid w:val="0087443E"/>
    <w:rsid w:val="00874979"/>
    <w:rsid w:val="00875548"/>
    <w:rsid w:val="008762C1"/>
    <w:rsid w:val="0088317B"/>
    <w:rsid w:val="00891314"/>
    <w:rsid w:val="00893119"/>
    <w:rsid w:val="00895460"/>
    <w:rsid w:val="008A3D30"/>
    <w:rsid w:val="008A3EE6"/>
    <w:rsid w:val="008A5465"/>
    <w:rsid w:val="008A75FC"/>
    <w:rsid w:val="008A7E71"/>
    <w:rsid w:val="008C35BF"/>
    <w:rsid w:val="008D0403"/>
    <w:rsid w:val="008D313A"/>
    <w:rsid w:val="008D48A4"/>
    <w:rsid w:val="008D4E0D"/>
    <w:rsid w:val="008E24BF"/>
    <w:rsid w:val="008F3109"/>
    <w:rsid w:val="008F611E"/>
    <w:rsid w:val="008F62F6"/>
    <w:rsid w:val="008F7E39"/>
    <w:rsid w:val="0090709E"/>
    <w:rsid w:val="009258B4"/>
    <w:rsid w:val="00941713"/>
    <w:rsid w:val="0095342B"/>
    <w:rsid w:val="0098721C"/>
    <w:rsid w:val="0099046F"/>
    <w:rsid w:val="00994175"/>
    <w:rsid w:val="009A34B5"/>
    <w:rsid w:val="009A6968"/>
    <w:rsid w:val="009B2FA7"/>
    <w:rsid w:val="009C655F"/>
    <w:rsid w:val="009F1084"/>
    <w:rsid w:val="009F383B"/>
    <w:rsid w:val="009F72DB"/>
    <w:rsid w:val="00A038C2"/>
    <w:rsid w:val="00A30CEE"/>
    <w:rsid w:val="00A314D3"/>
    <w:rsid w:val="00A42F47"/>
    <w:rsid w:val="00A4642B"/>
    <w:rsid w:val="00A515E9"/>
    <w:rsid w:val="00A71915"/>
    <w:rsid w:val="00A7285C"/>
    <w:rsid w:val="00A822A5"/>
    <w:rsid w:val="00AA36C0"/>
    <w:rsid w:val="00AA4635"/>
    <w:rsid w:val="00AB1812"/>
    <w:rsid w:val="00AD179A"/>
    <w:rsid w:val="00AE4401"/>
    <w:rsid w:val="00AE55E3"/>
    <w:rsid w:val="00AF1246"/>
    <w:rsid w:val="00AF2335"/>
    <w:rsid w:val="00AF400E"/>
    <w:rsid w:val="00B01DA8"/>
    <w:rsid w:val="00B12922"/>
    <w:rsid w:val="00B33205"/>
    <w:rsid w:val="00B45019"/>
    <w:rsid w:val="00B50122"/>
    <w:rsid w:val="00B5533B"/>
    <w:rsid w:val="00B91A60"/>
    <w:rsid w:val="00B95056"/>
    <w:rsid w:val="00BA1528"/>
    <w:rsid w:val="00BD0693"/>
    <w:rsid w:val="00BD7F92"/>
    <w:rsid w:val="00BE04EC"/>
    <w:rsid w:val="00BE500F"/>
    <w:rsid w:val="00BF0170"/>
    <w:rsid w:val="00C026D7"/>
    <w:rsid w:val="00C070F9"/>
    <w:rsid w:val="00C10131"/>
    <w:rsid w:val="00C1052D"/>
    <w:rsid w:val="00C17D12"/>
    <w:rsid w:val="00C24402"/>
    <w:rsid w:val="00C2687D"/>
    <w:rsid w:val="00C27E79"/>
    <w:rsid w:val="00C34617"/>
    <w:rsid w:val="00C363EF"/>
    <w:rsid w:val="00C50542"/>
    <w:rsid w:val="00C60843"/>
    <w:rsid w:val="00C87267"/>
    <w:rsid w:val="00C92FE3"/>
    <w:rsid w:val="00C93B05"/>
    <w:rsid w:val="00CA0CE6"/>
    <w:rsid w:val="00CA31CB"/>
    <w:rsid w:val="00CA45E0"/>
    <w:rsid w:val="00CA5CD1"/>
    <w:rsid w:val="00CB5474"/>
    <w:rsid w:val="00CB7D0B"/>
    <w:rsid w:val="00CC6836"/>
    <w:rsid w:val="00CC7023"/>
    <w:rsid w:val="00CD44E5"/>
    <w:rsid w:val="00CE03A2"/>
    <w:rsid w:val="00CF5500"/>
    <w:rsid w:val="00D02A85"/>
    <w:rsid w:val="00D11237"/>
    <w:rsid w:val="00D22032"/>
    <w:rsid w:val="00D22A07"/>
    <w:rsid w:val="00D25CAE"/>
    <w:rsid w:val="00D32A1A"/>
    <w:rsid w:val="00D55279"/>
    <w:rsid w:val="00D5688F"/>
    <w:rsid w:val="00D56DDA"/>
    <w:rsid w:val="00D71AFE"/>
    <w:rsid w:val="00D86809"/>
    <w:rsid w:val="00D906FC"/>
    <w:rsid w:val="00D95CCF"/>
    <w:rsid w:val="00D97D2E"/>
    <w:rsid w:val="00DA3423"/>
    <w:rsid w:val="00DB6C51"/>
    <w:rsid w:val="00DC1D0B"/>
    <w:rsid w:val="00DC3FD5"/>
    <w:rsid w:val="00DE075E"/>
    <w:rsid w:val="00DF2AD1"/>
    <w:rsid w:val="00DF5C9C"/>
    <w:rsid w:val="00DF6A3E"/>
    <w:rsid w:val="00E01645"/>
    <w:rsid w:val="00E01A5E"/>
    <w:rsid w:val="00E13FE0"/>
    <w:rsid w:val="00E207D6"/>
    <w:rsid w:val="00E351C6"/>
    <w:rsid w:val="00E42A6D"/>
    <w:rsid w:val="00E45D5E"/>
    <w:rsid w:val="00E475EB"/>
    <w:rsid w:val="00E52962"/>
    <w:rsid w:val="00E5640B"/>
    <w:rsid w:val="00E65265"/>
    <w:rsid w:val="00E7397C"/>
    <w:rsid w:val="00E8418E"/>
    <w:rsid w:val="00E9149B"/>
    <w:rsid w:val="00E91AC0"/>
    <w:rsid w:val="00E96592"/>
    <w:rsid w:val="00E97F66"/>
    <w:rsid w:val="00EC063C"/>
    <w:rsid w:val="00EC35DD"/>
    <w:rsid w:val="00EC5B22"/>
    <w:rsid w:val="00ED1655"/>
    <w:rsid w:val="00ED2B46"/>
    <w:rsid w:val="00ED3210"/>
    <w:rsid w:val="00ED5596"/>
    <w:rsid w:val="00ED56F6"/>
    <w:rsid w:val="00ED61D6"/>
    <w:rsid w:val="00ED7679"/>
    <w:rsid w:val="00F150CF"/>
    <w:rsid w:val="00F15480"/>
    <w:rsid w:val="00F15F4E"/>
    <w:rsid w:val="00F1633E"/>
    <w:rsid w:val="00F16672"/>
    <w:rsid w:val="00F21867"/>
    <w:rsid w:val="00F33EF5"/>
    <w:rsid w:val="00F35BE7"/>
    <w:rsid w:val="00F36358"/>
    <w:rsid w:val="00F41A57"/>
    <w:rsid w:val="00F55657"/>
    <w:rsid w:val="00F57C6E"/>
    <w:rsid w:val="00F63703"/>
    <w:rsid w:val="00F6753F"/>
    <w:rsid w:val="00F713B2"/>
    <w:rsid w:val="00F75E3E"/>
    <w:rsid w:val="00F85992"/>
    <w:rsid w:val="00FA09FE"/>
    <w:rsid w:val="00FD78B5"/>
    <w:rsid w:val="00FD7B83"/>
    <w:rsid w:val="00FD7E67"/>
    <w:rsid w:val="00FE2C1C"/>
    <w:rsid w:val="00FF327C"/>
    <w:rsid w:val="00FF5BEC"/>
    <w:rsid w:val="00FF7079"/>
    <w:rsid w:val="011B0745"/>
    <w:rsid w:val="011C6E60"/>
    <w:rsid w:val="012810B4"/>
    <w:rsid w:val="01286AB4"/>
    <w:rsid w:val="01332AE4"/>
    <w:rsid w:val="01455615"/>
    <w:rsid w:val="016025FC"/>
    <w:rsid w:val="016F283F"/>
    <w:rsid w:val="01731E4B"/>
    <w:rsid w:val="017B5688"/>
    <w:rsid w:val="01840850"/>
    <w:rsid w:val="01875DDB"/>
    <w:rsid w:val="018A58CB"/>
    <w:rsid w:val="018A6010"/>
    <w:rsid w:val="018E7169"/>
    <w:rsid w:val="019C1CEE"/>
    <w:rsid w:val="01A06D00"/>
    <w:rsid w:val="01A4698D"/>
    <w:rsid w:val="01AD0FE8"/>
    <w:rsid w:val="01B12E58"/>
    <w:rsid w:val="01B42948"/>
    <w:rsid w:val="01C40DDD"/>
    <w:rsid w:val="01D148D2"/>
    <w:rsid w:val="01D17056"/>
    <w:rsid w:val="01DF668D"/>
    <w:rsid w:val="01F1594A"/>
    <w:rsid w:val="01F56D8F"/>
    <w:rsid w:val="01FA1E4C"/>
    <w:rsid w:val="020C68CF"/>
    <w:rsid w:val="021D50D0"/>
    <w:rsid w:val="02222587"/>
    <w:rsid w:val="02266C64"/>
    <w:rsid w:val="022B0E5C"/>
    <w:rsid w:val="02300221"/>
    <w:rsid w:val="0232124C"/>
    <w:rsid w:val="023325D3"/>
    <w:rsid w:val="0234096B"/>
    <w:rsid w:val="02343CC3"/>
    <w:rsid w:val="02385327"/>
    <w:rsid w:val="023C2062"/>
    <w:rsid w:val="02545DFA"/>
    <w:rsid w:val="02562251"/>
    <w:rsid w:val="02595236"/>
    <w:rsid w:val="02613FB4"/>
    <w:rsid w:val="026B46C2"/>
    <w:rsid w:val="0273481D"/>
    <w:rsid w:val="027B5DA6"/>
    <w:rsid w:val="028A0134"/>
    <w:rsid w:val="028B6CB1"/>
    <w:rsid w:val="028E3199"/>
    <w:rsid w:val="02A1111E"/>
    <w:rsid w:val="02B65E19"/>
    <w:rsid w:val="02C13975"/>
    <w:rsid w:val="02C526CC"/>
    <w:rsid w:val="02D037B2"/>
    <w:rsid w:val="02DC779B"/>
    <w:rsid w:val="02E64D83"/>
    <w:rsid w:val="02EE72AF"/>
    <w:rsid w:val="02F01A14"/>
    <w:rsid w:val="02F94AB6"/>
    <w:rsid w:val="0306427F"/>
    <w:rsid w:val="030F6088"/>
    <w:rsid w:val="03102F42"/>
    <w:rsid w:val="03104EC3"/>
    <w:rsid w:val="03192A63"/>
    <w:rsid w:val="031F5AE8"/>
    <w:rsid w:val="03265180"/>
    <w:rsid w:val="032C1E4E"/>
    <w:rsid w:val="03340885"/>
    <w:rsid w:val="0338411E"/>
    <w:rsid w:val="033C49A3"/>
    <w:rsid w:val="033D04E1"/>
    <w:rsid w:val="03402566"/>
    <w:rsid w:val="03411FB9"/>
    <w:rsid w:val="034D4E92"/>
    <w:rsid w:val="0360013E"/>
    <w:rsid w:val="037340F8"/>
    <w:rsid w:val="03745E40"/>
    <w:rsid w:val="037A0439"/>
    <w:rsid w:val="037D2915"/>
    <w:rsid w:val="03920A67"/>
    <w:rsid w:val="03922A1E"/>
    <w:rsid w:val="03964D02"/>
    <w:rsid w:val="03A61697"/>
    <w:rsid w:val="03A762C0"/>
    <w:rsid w:val="03AC0ADD"/>
    <w:rsid w:val="03AC52B5"/>
    <w:rsid w:val="03B43697"/>
    <w:rsid w:val="03C84489"/>
    <w:rsid w:val="03CB07A6"/>
    <w:rsid w:val="03DA48E8"/>
    <w:rsid w:val="03DD1CE2"/>
    <w:rsid w:val="03E848A1"/>
    <w:rsid w:val="03F46C1A"/>
    <w:rsid w:val="03FF60FC"/>
    <w:rsid w:val="040D00EE"/>
    <w:rsid w:val="0410769E"/>
    <w:rsid w:val="04137DFA"/>
    <w:rsid w:val="042042C5"/>
    <w:rsid w:val="04207E21"/>
    <w:rsid w:val="042A32B9"/>
    <w:rsid w:val="043B3772"/>
    <w:rsid w:val="043D154B"/>
    <w:rsid w:val="044B1342"/>
    <w:rsid w:val="04542A1D"/>
    <w:rsid w:val="04575F38"/>
    <w:rsid w:val="04583A5F"/>
    <w:rsid w:val="045A3333"/>
    <w:rsid w:val="045B70AB"/>
    <w:rsid w:val="046E3282"/>
    <w:rsid w:val="047343F5"/>
    <w:rsid w:val="04785B2D"/>
    <w:rsid w:val="047D34C5"/>
    <w:rsid w:val="04863935"/>
    <w:rsid w:val="048F418D"/>
    <w:rsid w:val="04990361"/>
    <w:rsid w:val="04A62A1C"/>
    <w:rsid w:val="04A86794"/>
    <w:rsid w:val="04A9250C"/>
    <w:rsid w:val="04B15483"/>
    <w:rsid w:val="04B23EE7"/>
    <w:rsid w:val="04B3596A"/>
    <w:rsid w:val="04B95A07"/>
    <w:rsid w:val="04CD7FA9"/>
    <w:rsid w:val="04E16048"/>
    <w:rsid w:val="04E51187"/>
    <w:rsid w:val="04F52664"/>
    <w:rsid w:val="04F75026"/>
    <w:rsid w:val="050F34F1"/>
    <w:rsid w:val="05120CA5"/>
    <w:rsid w:val="051E2BFD"/>
    <w:rsid w:val="051F457C"/>
    <w:rsid w:val="052341E9"/>
    <w:rsid w:val="0525056F"/>
    <w:rsid w:val="05263B5D"/>
    <w:rsid w:val="05305D25"/>
    <w:rsid w:val="05332451"/>
    <w:rsid w:val="053F247C"/>
    <w:rsid w:val="054144F3"/>
    <w:rsid w:val="054162A1"/>
    <w:rsid w:val="054942C8"/>
    <w:rsid w:val="055A207A"/>
    <w:rsid w:val="056B4E93"/>
    <w:rsid w:val="056F2E0E"/>
    <w:rsid w:val="057151B6"/>
    <w:rsid w:val="057419B6"/>
    <w:rsid w:val="057448C8"/>
    <w:rsid w:val="0577103C"/>
    <w:rsid w:val="05877380"/>
    <w:rsid w:val="05900FD6"/>
    <w:rsid w:val="05AD7DDA"/>
    <w:rsid w:val="05B80C59"/>
    <w:rsid w:val="05B9052D"/>
    <w:rsid w:val="05C46785"/>
    <w:rsid w:val="05C745B5"/>
    <w:rsid w:val="05CC0F24"/>
    <w:rsid w:val="05CF1AFF"/>
    <w:rsid w:val="05D67331"/>
    <w:rsid w:val="05E10EF0"/>
    <w:rsid w:val="05E554B9"/>
    <w:rsid w:val="05F15805"/>
    <w:rsid w:val="05F23A3F"/>
    <w:rsid w:val="05F477B7"/>
    <w:rsid w:val="05FE0DCD"/>
    <w:rsid w:val="060914B4"/>
    <w:rsid w:val="061624A9"/>
    <w:rsid w:val="061E170D"/>
    <w:rsid w:val="06306515"/>
    <w:rsid w:val="063523FF"/>
    <w:rsid w:val="06391D09"/>
    <w:rsid w:val="063D4CBA"/>
    <w:rsid w:val="063E4935"/>
    <w:rsid w:val="06606ACF"/>
    <w:rsid w:val="066466EB"/>
    <w:rsid w:val="06672484"/>
    <w:rsid w:val="06707F3C"/>
    <w:rsid w:val="0671705A"/>
    <w:rsid w:val="06863D99"/>
    <w:rsid w:val="068E5516"/>
    <w:rsid w:val="069331B4"/>
    <w:rsid w:val="06A15565"/>
    <w:rsid w:val="06A65DB2"/>
    <w:rsid w:val="06B17456"/>
    <w:rsid w:val="06B52E78"/>
    <w:rsid w:val="06BF1DE6"/>
    <w:rsid w:val="06D01FD2"/>
    <w:rsid w:val="06D579A3"/>
    <w:rsid w:val="06DB58D0"/>
    <w:rsid w:val="06DF3FC3"/>
    <w:rsid w:val="06E46F6F"/>
    <w:rsid w:val="06F15066"/>
    <w:rsid w:val="06F32063"/>
    <w:rsid w:val="070F0EB1"/>
    <w:rsid w:val="072A7D78"/>
    <w:rsid w:val="07331A47"/>
    <w:rsid w:val="076619FA"/>
    <w:rsid w:val="07730ECD"/>
    <w:rsid w:val="07782CCB"/>
    <w:rsid w:val="077C1812"/>
    <w:rsid w:val="078608E3"/>
    <w:rsid w:val="07966D78"/>
    <w:rsid w:val="079C3C62"/>
    <w:rsid w:val="079C558D"/>
    <w:rsid w:val="07AA4053"/>
    <w:rsid w:val="07B62F76"/>
    <w:rsid w:val="07B90CB8"/>
    <w:rsid w:val="07CA6B08"/>
    <w:rsid w:val="07CD553D"/>
    <w:rsid w:val="07DC6755"/>
    <w:rsid w:val="07DF13E3"/>
    <w:rsid w:val="07E7633D"/>
    <w:rsid w:val="08087884"/>
    <w:rsid w:val="080A1757"/>
    <w:rsid w:val="080A5070"/>
    <w:rsid w:val="081156D2"/>
    <w:rsid w:val="08165EFE"/>
    <w:rsid w:val="082C4FE6"/>
    <w:rsid w:val="08496282"/>
    <w:rsid w:val="084C38DA"/>
    <w:rsid w:val="084E1401"/>
    <w:rsid w:val="084F7D60"/>
    <w:rsid w:val="085379A2"/>
    <w:rsid w:val="08651682"/>
    <w:rsid w:val="086A1FB2"/>
    <w:rsid w:val="086E4D42"/>
    <w:rsid w:val="08732C15"/>
    <w:rsid w:val="08756DB0"/>
    <w:rsid w:val="087A3EB1"/>
    <w:rsid w:val="088A61B1"/>
    <w:rsid w:val="089321C2"/>
    <w:rsid w:val="089A1817"/>
    <w:rsid w:val="08A74FB5"/>
    <w:rsid w:val="08AF6BA0"/>
    <w:rsid w:val="08B35707"/>
    <w:rsid w:val="08C12777"/>
    <w:rsid w:val="08C35211"/>
    <w:rsid w:val="08C77405"/>
    <w:rsid w:val="08CE0793"/>
    <w:rsid w:val="08F12A12"/>
    <w:rsid w:val="08F32F05"/>
    <w:rsid w:val="08F33D56"/>
    <w:rsid w:val="08FF44E8"/>
    <w:rsid w:val="09061CDB"/>
    <w:rsid w:val="090B5543"/>
    <w:rsid w:val="092224FF"/>
    <w:rsid w:val="09297778"/>
    <w:rsid w:val="092B485F"/>
    <w:rsid w:val="092B692A"/>
    <w:rsid w:val="094C0151"/>
    <w:rsid w:val="095B721E"/>
    <w:rsid w:val="096A320E"/>
    <w:rsid w:val="097320E1"/>
    <w:rsid w:val="097A7FD3"/>
    <w:rsid w:val="097E7AC3"/>
    <w:rsid w:val="099D7EF0"/>
    <w:rsid w:val="099E4A9A"/>
    <w:rsid w:val="09A07A0B"/>
    <w:rsid w:val="09B83739"/>
    <w:rsid w:val="09C94AB7"/>
    <w:rsid w:val="09D171D7"/>
    <w:rsid w:val="09D26061"/>
    <w:rsid w:val="09D807CB"/>
    <w:rsid w:val="09DE583E"/>
    <w:rsid w:val="09FA5850"/>
    <w:rsid w:val="0A0F696E"/>
    <w:rsid w:val="0A1B17B6"/>
    <w:rsid w:val="0A1B19CD"/>
    <w:rsid w:val="0A285C81"/>
    <w:rsid w:val="0A314601"/>
    <w:rsid w:val="0A31618B"/>
    <w:rsid w:val="0A400493"/>
    <w:rsid w:val="0A415C80"/>
    <w:rsid w:val="0A426D43"/>
    <w:rsid w:val="0A526E3D"/>
    <w:rsid w:val="0A5E16A3"/>
    <w:rsid w:val="0A6C6A0E"/>
    <w:rsid w:val="0A7A254C"/>
    <w:rsid w:val="0A854BA6"/>
    <w:rsid w:val="0A991D0A"/>
    <w:rsid w:val="0AA07F0D"/>
    <w:rsid w:val="0ABA2D7D"/>
    <w:rsid w:val="0ABB4135"/>
    <w:rsid w:val="0AC44D7B"/>
    <w:rsid w:val="0AC7367C"/>
    <w:rsid w:val="0ACB0003"/>
    <w:rsid w:val="0ACB797B"/>
    <w:rsid w:val="0AD656DD"/>
    <w:rsid w:val="0AE0655C"/>
    <w:rsid w:val="0AE47DFA"/>
    <w:rsid w:val="0AEA2F37"/>
    <w:rsid w:val="0AEB73DB"/>
    <w:rsid w:val="0AFF0E82"/>
    <w:rsid w:val="0B0D3FDC"/>
    <w:rsid w:val="0B204BAA"/>
    <w:rsid w:val="0B292074"/>
    <w:rsid w:val="0B2C17A1"/>
    <w:rsid w:val="0B310B66"/>
    <w:rsid w:val="0B3218B5"/>
    <w:rsid w:val="0B346724"/>
    <w:rsid w:val="0B3652CB"/>
    <w:rsid w:val="0B3859F1"/>
    <w:rsid w:val="0B436C9C"/>
    <w:rsid w:val="0B472E61"/>
    <w:rsid w:val="0B4F774C"/>
    <w:rsid w:val="0B5605CC"/>
    <w:rsid w:val="0B59208C"/>
    <w:rsid w:val="0B5D7BAD"/>
    <w:rsid w:val="0B5E5DFE"/>
    <w:rsid w:val="0B61769D"/>
    <w:rsid w:val="0B626F71"/>
    <w:rsid w:val="0B703C02"/>
    <w:rsid w:val="0B763E19"/>
    <w:rsid w:val="0B811AED"/>
    <w:rsid w:val="0B884C29"/>
    <w:rsid w:val="0B8A3E03"/>
    <w:rsid w:val="0B900784"/>
    <w:rsid w:val="0BA15CEB"/>
    <w:rsid w:val="0BBC2E35"/>
    <w:rsid w:val="0BBE0916"/>
    <w:rsid w:val="0BBF43C3"/>
    <w:rsid w:val="0BC06BE9"/>
    <w:rsid w:val="0BC639A4"/>
    <w:rsid w:val="0BC814CA"/>
    <w:rsid w:val="0BCC0BA7"/>
    <w:rsid w:val="0BD460C1"/>
    <w:rsid w:val="0BDC4F75"/>
    <w:rsid w:val="0BDE5F69"/>
    <w:rsid w:val="0BE91440"/>
    <w:rsid w:val="0BEF6A57"/>
    <w:rsid w:val="0BF220E7"/>
    <w:rsid w:val="0BF23CD9"/>
    <w:rsid w:val="0BFC73C5"/>
    <w:rsid w:val="0C1C35C4"/>
    <w:rsid w:val="0C2A7A8F"/>
    <w:rsid w:val="0C3A3060"/>
    <w:rsid w:val="0C3A6B03"/>
    <w:rsid w:val="0C400524"/>
    <w:rsid w:val="0C405504"/>
    <w:rsid w:val="0C431547"/>
    <w:rsid w:val="0C434418"/>
    <w:rsid w:val="0C474AE5"/>
    <w:rsid w:val="0C4C783D"/>
    <w:rsid w:val="0C4D6378"/>
    <w:rsid w:val="0C636CA2"/>
    <w:rsid w:val="0C665865"/>
    <w:rsid w:val="0C6B3E00"/>
    <w:rsid w:val="0C747D97"/>
    <w:rsid w:val="0C763876"/>
    <w:rsid w:val="0C7E3D2F"/>
    <w:rsid w:val="0C8C0B1C"/>
    <w:rsid w:val="0C8C24F7"/>
    <w:rsid w:val="0CB2347F"/>
    <w:rsid w:val="0CB50F84"/>
    <w:rsid w:val="0CB57A3A"/>
    <w:rsid w:val="0CD0723B"/>
    <w:rsid w:val="0CD0757E"/>
    <w:rsid w:val="0CD07739"/>
    <w:rsid w:val="0CD2555F"/>
    <w:rsid w:val="0CD31E83"/>
    <w:rsid w:val="0CD914B5"/>
    <w:rsid w:val="0CE20369"/>
    <w:rsid w:val="0CE36DB4"/>
    <w:rsid w:val="0CEE31B2"/>
    <w:rsid w:val="0CFD4282"/>
    <w:rsid w:val="0CFF53BF"/>
    <w:rsid w:val="0D017B8E"/>
    <w:rsid w:val="0D091B1B"/>
    <w:rsid w:val="0D0C188A"/>
    <w:rsid w:val="0D1424ED"/>
    <w:rsid w:val="0D18022F"/>
    <w:rsid w:val="0D1A55CE"/>
    <w:rsid w:val="0D1C0429"/>
    <w:rsid w:val="0D393B9D"/>
    <w:rsid w:val="0D490DFB"/>
    <w:rsid w:val="0D52645C"/>
    <w:rsid w:val="0D55714B"/>
    <w:rsid w:val="0D660F9A"/>
    <w:rsid w:val="0D6B0B8B"/>
    <w:rsid w:val="0D7F02AE"/>
    <w:rsid w:val="0D7F554F"/>
    <w:rsid w:val="0D8372BE"/>
    <w:rsid w:val="0D8633EB"/>
    <w:rsid w:val="0D863B0C"/>
    <w:rsid w:val="0D8749F1"/>
    <w:rsid w:val="0D887F6B"/>
    <w:rsid w:val="0D935B07"/>
    <w:rsid w:val="0DA41AC3"/>
    <w:rsid w:val="0DA43871"/>
    <w:rsid w:val="0DA6583B"/>
    <w:rsid w:val="0DB02216"/>
    <w:rsid w:val="0DB818EE"/>
    <w:rsid w:val="0DC0128D"/>
    <w:rsid w:val="0DC07446"/>
    <w:rsid w:val="0DC65EDD"/>
    <w:rsid w:val="0DCE3154"/>
    <w:rsid w:val="0DCE6B40"/>
    <w:rsid w:val="0DCF7C21"/>
    <w:rsid w:val="0DD26630"/>
    <w:rsid w:val="0DD6291D"/>
    <w:rsid w:val="0DDC125D"/>
    <w:rsid w:val="0DE85E53"/>
    <w:rsid w:val="0DEC49E4"/>
    <w:rsid w:val="0DED346A"/>
    <w:rsid w:val="0DF437F1"/>
    <w:rsid w:val="0E0542EC"/>
    <w:rsid w:val="0E082052"/>
    <w:rsid w:val="0E100F06"/>
    <w:rsid w:val="0E1161B0"/>
    <w:rsid w:val="0E1529C0"/>
    <w:rsid w:val="0E214EC1"/>
    <w:rsid w:val="0E225643"/>
    <w:rsid w:val="0E286E09"/>
    <w:rsid w:val="0E2F7005"/>
    <w:rsid w:val="0E39220B"/>
    <w:rsid w:val="0E3C6AC9"/>
    <w:rsid w:val="0E4035AC"/>
    <w:rsid w:val="0E497C9F"/>
    <w:rsid w:val="0E535DCD"/>
    <w:rsid w:val="0E5928AD"/>
    <w:rsid w:val="0E5A5605"/>
    <w:rsid w:val="0E6F20D1"/>
    <w:rsid w:val="0E77676A"/>
    <w:rsid w:val="0E7B2823"/>
    <w:rsid w:val="0E8042DE"/>
    <w:rsid w:val="0E8D5FCC"/>
    <w:rsid w:val="0E99279E"/>
    <w:rsid w:val="0E9B579A"/>
    <w:rsid w:val="0E9E29B6"/>
    <w:rsid w:val="0EA578A0"/>
    <w:rsid w:val="0EAA4EB7"/>
    <w:rsid w:val="0EAD2BF9"/>
    <w:rsid w:val="0EB37E53"/>
    <w:rsid w:val="0EB43C5E"/>
    <w:rsid w:val="0EB7362F"/>
    <w:rsid w:val="0EBC5B9C"/>
    <w:rsid w:val="0EC341CA"/>
    <w:rsid w:val="0EC719FF"/>
    <w:rsid w:val="0EC817E1"/>
    <w:rsid w:val="0EC870CF"/>
    <w:rsid w:val="0ECA507B"/>
    <w:rsid w:val="0EE26D46"/>
    <w:rsid w:val="0EE31B9E"/>
    <w:rsid w:val="0EEF4FBF"/>
    <w:rsid w:val="0EFE5E1F"/>
    <w:rsid w:val="0F017038"/>
    <w:rsid w:val="0F0740B7"/>
    <w:rsid w:val="0F0D484D"/>
    <w:rsid w:val="0F234C69"/>
    <w:rsid w:val="0F277F16"/>
    <w:rsid w:val="0F2A424A"/>
    <w:rsid w:val="0F332958"/>
    <w:rsid w:val="0F3503D9"/>
    <w:rsid w:val="0F37251B"/>
    <w:rsid w:val="0F686584"/>
    <w:rsid w:val="0F73174D"/>
    <w:rsid w:val="0F752B15"/>
    <w:rsid w:val="0F7A2ADB"/>
    <w:rsid w:val="0F895F66"/>
    <w:rsid w:val="0F9A365F"/>
    <w:rsid w:val="0FBA4CE7"/>
    <w:rsid w:val="0FC26299"/>
    <w:rsid w:val="0FC938CB"/>
    <w:rsid w:val="0FC95811"/>
    <w:rsid w:val="0FCB3337"/>
    <w:rsid w:val="0FD11DE1"/>
    <w:rsid w:val="0FD3751C"/>
    <w:rsid w:val="0FDF3286"/>
    <w:rsid w:val="0FEE5B2D"/>
    <w:rsid w:val="0FEF64F4"/>
    <w:rsid w:val="1001062F"/>
    <w:rsid w:val="100569AC"/>
    <w:rsid w:val="100A3515"/>
    <w:rsid w:val="10150A56"/>
    <w:rsid w:val="10411109"/>
    <w:rsid w:val="1047710D"/>
    <w:rsid w:val="10613A0A"/>
    <w:rsid w:val="106B556A"/>
    <w:rsid w:val="107F572F"/>
    <w:rsid w:val="108B6D7B"/>
    <w:rsid w:val="108F16B8"/>
    <w:rsid w:val="10A047CB"/>
    <w:rsid w:val="10A87B1C"/>
    <w:rsid w:val="10AA15E5"/>
    <w:rsid w:val="10B01022"/>
    <w:rsid w:val="10B62239"/>
    <w:rsid w:val="10B84553"/>
    <w:rsid w:val="10B9412D"/>
    <w:rsid w:val="10C30EB2"/>
    <w:rsid w:val="10D64689"/>
    <w:rsid w:val="10D76E68"/>
    <w:rsid w:val="10E050FF"/>
    <w:rsid w:val="10E32902"/>
    <w:rsid w:val="10EA1EE2"/>
    <w:rsid w:val="10F231DF"/>
    <w:rsid w:val="11050ACA"/>
    <w:rsid w:val="111D2607"/>
    <w:rsid w:val="111D5E14"/>
    <w:rsid w:val="111E1B8C"/>
    <w:rsid w:val="1122342A"/>
    <w:rsid w:val="11255E4E"/>
    <w:rsid w:val="11396C67"/>
    <w:rsid w:val="113B4369"/>
    <w:rsid w:val="114823BD"/>
    <w:rsid w:val="11486138"/>
    <w:rsid w:val="11625540"/>
    <w:rsid w:val="11640302"/>
    <w:rsid w:val="1166277B"/>
    <w:rsid w:val="11686CB0"/>
    <w:rsid w:val="116A6B7F"/>
    <w:rsid w:val="116B6C95"/>
    <w:rsid w:val="118071C8"/>
    <w:rsid w:val="11867E5D"/>
    <w:rsid w:val="119275CA"/>
    <w:rsid w:val="11A02710"/>
    <w:rsid w:val="11A227BD"/>
    <w:rsid w:val="11AC7198"/>
    <w:rsid w:val="11B36778"/>
    <w:rsid w:val="11B81FE1"/>
    <w:rsid w:val="11BF03D5"/>
    <w:rsid w:val="11C03F53"/>
    <w:rsid w:val="11CF0D34"/>
    <w:rsid w:val="11D04D0A"/>
    <w:rsid w:val="11D84F24"/>
    <w:rsid w:val="11E51FC7"/>
    <w:rsid w:val="11EB2B17"/>
    <w:rsid w:val="11FD5C45"/>
    <w:rsid w:val="11FE292E"/>
    <w:rsid w:val="120664A5"/>
    <w:rsid w:val="120C06C7"/>
    <w:rsid w:val="121176BB"/>
    <w:rsid w:val="1216177B"/>
    <w:rsid w:val="12260CF8"/>
    <w:rsid w:val="12313E1B"/>
    <w:rsid w:val="12415B32"/>
    <w:rsid w:val="124D3EFA"/>
    <w:rsid w:val="12647A72"/>
    <w:rsid w:val="126A4AC3"/>
    <w:rsid w:val="12747CB6"/>
    <w:rsid w:val="127E0B34"/>
    <w:rsid w:val="128A57CD"/>
    <w:rsid w:val="12995FE5"/>
    <w:rsid w:val="12A16E3C"/>
    <w:rsid w:val="12A6008B"/>
    <w:rsid w:val="12CA1FCB"/>
    <w:rsid w:val="12DE4108"/>
    <w:rsid w:val="12E17A7A"/>
    <w:rsid w:val="12E353DE"/>
    <w:rsid w:val="12F17E38"/>
    <w:rsid w:val="13051255"/>
    <w:rsid w:val="130F3E82"/>
    <w:rsid w:val="1316738E"/>
    <w:rsid w:val="131E363D"/>
    <w:rsid w:val="1323348A"/>
    <w:rsid w:val="132C2BB7"/>
    <w:rsid w:val="13392CAD"/>
    <w:rsid w:val="133E02C4"/>
    <w:rsid w:val="13442AA5"/>
    <w:rsid w:val="13492AA7"/>
    <w:rsid w:val="134F0723"/>
    <w:rsid w:val="13511DA5"/>
    <w:rsid w:val="13573133"/>
    <w:rsid w:val="135B6500"/>
    <w:rsid w:val="13702B73"/>
    <w:rsid w:val="137E6912"/>
    <w:rsid w:val="13873724"/>
    <w:rsid w:val="13985A25"/>
    <w:rsid w:val="139C1ED2"/>
    <w:rsid w:val="13A63B46"/>
    <w:rsid w:val="13AB49C7"/>
    <w:rsid w:val="13AC7923"/>
    <w:rsid w:val="13B108D5"/>
    <w:rsid w:val="13B9054F"/>
    <w:rsid w:val="13B937F6"/>
    <w:rsid w:val="13C70138"/>
    <w:rsid w:val="13CA1B57"/>
    <w:rsid w:val="13CC58CF"/>
    <w:rsid w:val="13CD770F"/>
    <w:rsid w:val="13D93A12"/>
    <w:rsid w:val="13DF7398"/>
    <w:rsid w:val="13E0285C"/>
    <w:rsid w:val="13FB7F63"/>
    <w:rsid w:val="13FE6B3E"/>
    <w:rsid w:val="14044A9A"/>
    <w:rsid w:val="14052410"/>
    <w:rsid w:val="140C1B5A"/>
    <w:rsid w:val="14170DD2"/>
    <w:rsid w:val="141F1EA3"/>
    <w:rsid w:val="14221436"/>
    <w:rsid w:val="14236564"/>
    <w:rsid w:val="142E0338"/>
    <w:rsid w:val="142F37C4"/>
    <w:rsid w:val="1433674E"/>
    <w:rsid w:val="14362579"/>
    <w:rsid w:val="143811B7"/>
    <w:rsid w:val="143D0668"/>
    <w:rsid w:val="144333DE"/>
    <w:rsid w:val="1448340D"/>
    <w:rsid w:val="14491FAB"/>
    <w:rsid w:val="14593607"/>
    <w:rsid w:val="1460416F"/>
    <w:rsid w:val="146269DC"/>
    <w:rsid w:val="14643D5A"/>
    <w:rsid w:val="14720225"/>
    <w:rsid w:val="147860A8"/>
    <w:rsid w:val="147D5501"/>
    <w:rsid w:val="1497412F"/>
    <w:rsid w:val="149C7EE2"/>
    <w:rsid w:val="14B44CE1"/>
    <w:rsid w:val="14BB3231"/>
    <w:rsid w:val="14CB5B87"/>
    <w:rsid w:val="14D26F15"/>
    <w:rsid w:val="14D91D25"/>
    <w:rsid w:val="14DD3AFC"/>
    <w:rsid w:val="14E135FC"/>
    <w:rsid w:val="15007006"/>
    <w:rsid w:val="150B359E"/>
    <w:rsid w:val="15160CE7"/>
    <w:rsid w:val="151F5856"/>
    <w:rsid w:val="15295E18"/>
    <w:rsid w:val="152F4368"/>
    <w:rsid w:val="1539709F"/>
    <w:rsid w:val="15583528"/>
    <w:rsid w:val="15627B30"/>
    <w:rsid w:val="156B26D7"/>
    <w:rsid w:val="15783F61"/>
    <w:rsid w:val="157A3DE6"/>
    <w:rsid w:val="158B3988"/>
    <w:rsid w:val="158C555D"/>
    <w:rsid w:val="159468C1"/>
    <w:rsid w:val="15981F0D"/>
    <w:rsid w:val="15AC7766"/>
    <w:rsid w:val="15B900D5"/>
    <w:rsid w:val="15BD1974"/>
    <w:rsid w:val="15BD216B"/>
    <w:rsid w:val="15C6055A"/>
    <w:rsid w:val="15CE1DD3"/>
    <w:rsid w:val="15D057E3"/>
    <w:rsid w:val="15D45666"/>
    <w:rsid w:val="15D66ED9"/>
    <w:rsid w:val="15DF7B3C"/>
    <w:rsid w:val="15E2587E"/>
    <w:rsid w:val="15E6711C"/>
    <w:rsid w:val="15F221E6"/>
    <w:rsid w:val="15F72F08"/>
    <w:rsid w:val="15F8452E"/>
    <w:rsid w:val="15FD3544"/>
    <w:rsid w:val="160C68EB"/>
    <w:rsid w:val="16163903"/>
    <w:rsid w:val="16257519"/>
    <w:rsid w:val="16287735"/>
    <w:rsid w:val="162E461F"/>
    <w:rsid w:val="1635775C"/>
    <w:rsid w:val="163B3128"/>
    <w:rsid w:val="163D76F6"/>
    <w:rsid w:val="164C117E"/>
    <w:rsid w:val="166E4748"/>
    <w:rsid w:val="16897AA8"/>
    <w:rsid w:val="168E3310"/>
    <w:rsid w:val="168E4A11"/>
    <w:rsid w:val="169155C5"/>
    <w:rsid w:val="16A9014A"/>
    <w:rsid w:val="16C53D60"/>
    <w:rsid w:val="16C94348"/>
    <w:rsid w:val="16DB4B3A"/>
    <w:rsid w:val="16E66022"/>
    <w:rsid w:val="16E85B07"/>
    <w:rsid w:val="16EE2F79"/>
    <w:rsid w:val="170627BE"/>
    <w:rsid w:val="170B61B2"/>
    <w:rsid w:val="170D692B"/>
    <w:rsid w:val="171152BC"/>
    <w:rsid w:val="17173305"/>
    <w:rsid w:val="171F2C16"/>
    <w:rsid w:val="172E39B4"/>
    <w:rsid w:val="17325186"/>
    <w:rsid w:val="175005C5"/>
    <w:rsid w:val="175B1444"/>
    <w:rsid w:val="175E0F34"/>
    <w:rsid w:val="175F1893"/>
    <w:rsid w:val="1776002C"/>
    <w:rsid w:val="17876830"/>
    <w:rsid w:val="17971A21"/>
    <w:rsid w:val="179813FC"/>
    <w:rsid w:val="17995BAB"/>
    <w:rsid w:val="17A34BD2"/>
    <w:rsid w:val="17C75FBB"/>
    <w:rsid w:val="17E7717C"/>
    <w:rsid w:val="17EC709E"/>
    <w:rsid w:val="18023FB5"/>
    <w:rsid w:val="180826C8"/>
    <w:rsid w:val="180970F2"/>
    <w:rsid w:val="180E64B6"/>
    <w:rsid w:val="181141F9"/>
    <w:rsid w:val="181C2E47"/>
    <w:rsid w:val="181C5842"/>
    <w:rsid w:val="18214C16"/>
    <w:rsid w:val="182874DA"/>
    <w:rsid w:val="182D06F7"/>
    <w:rsid w:val="18330CEA"/>
    <w:rsid w:val="184902BA"/>
    <w:rsid w:val="184F7F30"/>
    <w:rsid w:val="185D5906"/>
    <w:rsid w:val="186153CC"/>
    <w:rsid w:val="186C2C60"/>
    <w:rsid w:val="187B3179"/>
    <w:rsid w:val="187F1162"/>
    <w:rsid w:val="18842C1C"/>
    <w:rsid w:val="18864162"/>
    <w:rsid w:val="18942C73"/>
    <w:rsid w:val="18964687"/>
    <w:rsid w:val="189726EC"/>
    <w:rsid w:val="189E3CDE"/>
    <w:rsid w:val="18AB2751"/>
    <w:rsid w:val="18B241BF"/>
    <w:rsid w:val="18B352B0"/>
    <w:rsid w:val="18B828C6"/>
    <w:rsid w:val="18B8369B"/>
    <w:rsid w:val="18CB25F9"/>
    <w:rsid w:val="18CE4620"/>
    <w:rsid w:val="18D110FB"/>
    <w:rsid w:val="18D21BDA"/>
    <w:rsid w:val="18D4723F"/>
    <w:rsid w:val="18D96748"/>
    <w:rsid w:val="18DE057F"/>
    <w:rsid w:val="18F51DE0"/>
    <w:rsid w:val="18FD23D1"/>
    <w:rsid w:val="19034ED4"/>
    <w:rsid w:val="19052BDB"/>
    <w:rsid w:val="19060385"/>
    <w:rsid w:val="19067AD5"/>
    <w:rsid w:val="19145A23"/>
    <w:rsid w:val="1917583F"/>
    <w:rsid w:val="19205D6B"/>
    <w:rsid w:val="1921046B"/>
    <w:rsid w:val="19263CD4"/>
    <w:rsid w:val="19355814"/>
    <w:rsid w:val="19383276"/>
    <w:rsid w:val="19461C80"/>
    <w:rsid w:val="194A1770"/>
    <w:rsid w:val="1950070B"/>
    <w:rsid w:val="19566367"/>
    <w:rsid w:val="19646EF9"/>
    <w:rsid w:val="19736EC8"/>
    <w:rsid w:val="197607B7"/>
    <w:rsid w:val="197B401F"/>
    <w:rsid w:val="197B7B7C"/>
    <w:rsid w:val="197D7D98"/>
    <w:rsid w:val="19846B5F"/>
    <w:rsid w:val="198536A1"/>
    <w:rsid w:val="198729C4"/>
    <w:rsid w:val="198A1C5F"/>
    <w:rsid w:val="198A6011"/>
    <w:rsid w:val="199D3311"/>
    <w:rsid w:val="19B673D4"/>
    <w:rsid w:val="19BC5A35"/>
    <w:rsid w:val="19CF00CE"/>
    <w:rsid w:val="19D43730"/>
    <w:rsid w:val="19DD0BAC"/>
    <w:rsid w:val="19E41BC5"/>
    <w:rsid w:val="19E8612B"/>
    <w:rsid w:val="19EF40C6"/>
    <w:rsid w:val="19FA3FB8"/>
    <w:rsid w:val="19FF0746"/>
    <w:rsid w:val="1A041929"/>
    <w:rsid w:val="1A1536A1"/>
    <w:rsid w:val="1A163D48"/>
    <w:rsid w:val="1A1B310D"/>
    <w:rsid w:val="1A25349A"/>
    <w:rsid w:val="1A2D17B4"/>
    <w:rsid w:val="1A2E2F77"/>
    <w:rsid w:val="1A3362C5"/>
    <w:rsid w:val="1A4012C8"/>
    <w:rsid w:val="1A4A39F2"/>
    <w:rsid w:val="1A4F498C"/>
    <w:rsid w:val="1A516B2E"/>
    <w:rsid w:val="1A532AFD"/>
    <w:rsid w:val="1A5B175B"/>
    <w:rsid w:val="1A62199D"/>
    <w:rsid w:val="1A6A34B8"/>
    <w:rsid w:val="1A6C7531"/>
    <w:rsid w:val="1A853F5C"/>
    <w:rsid w:val="1A864A2A"/>
    <w:rsid w:val="1A8C7B66"/>
    <w:rsid w:val="1A9133CF"/>
    <w:rsid w:val="1A98475D"/>
    <w:rsid w:val="1A9A23EE"/>
    <w:rsid w:val="1AA72BF2"/>
    <w:rsid w:val="1AB238F3"/>
    <w:rsid w:val="1ABC6760"/>
    <w:rsid w:val="1ACC4020"/>
    <w:rsid w:val="1ADB2FB1"/>
    <w:rsid w:val="1AEB6F83"/>
    <w:rsid w:val="1AF220BF"/>
    <w:rsid w:val="1AF916A0"/>
    <w:rsid w:val="1AFD3BB8"/>
    <w:rsid w:val="1B201992"/>
    <w:rsid w:val="1B397CEE"/>
    <w:rsid w:val="1B4B7A22"/>
    <w:rsid w:val="1B565848"/>
    <w:rsid w:val="1B730FBA"/>
    <w:rsid w:val="1B7C02BE"/>
    <w:rsid w:val="1B811695"/>
    <w:rsid w:val="1B851D20"/>
    <w:rsid w:val="1B8A054A"/>
    <w:rsid w:val="1B9518B5"/>
    <w:rsid w:val="1BA1699C"/>
    <w:rsid w:val="1BA4179F"/>
    <w:rsid w:val="1BA62EAA"/>
    <w:rsid w:val="1BAA0BF8"/>
    <w:rsid w:val="1BAB499B"/>
    <w:rsid w:val="1BAD4238"/>
    <w:rsid w:val="1BB27AA1"/>
    <w:rsid w:val="1BBE4697"/>
    <w:rsid w:val="1BCF4595"/>
    <w:rsid w:val="1BD020FE"/>
    <w:rsid w:val="1BD318AF"/>
    <w:rsid w:val="1BD417C5"/>
    <w:rsid w:val="1BDA094A"/>
    <w:rsid w:val="1BDB6FF7"/>
    <w:rsid w:val="1BEA723A"/>
    <w:rsid w:val="1C0032D3"/>
    <w:rsid w:val="1C0C71B1"/>
    <w:rsid w:val="1C1023E0"/>
    <w:rsid w:val="1C1A2264"/>
    <w:rsid w:val="1C1D1154"/>
    <w:rsid w:val="1C2A4812"/>
    <w:rsid w:val="1C4655C4"/>
    <w:rsid w:val="1C6D27D4"/>
    <w:rsid w:val="1C741E89"/>
    <w:rsid w:val="1C7E39FE"/>
    <w:rsid w:val="1C847937"/>
    <w:rsid w:val="1C8F60C8"/>
    <w:rsid w:val="1C956D7D"/>
    <w:rsid w:val="1CB11B06"/>
    <w:rsid w:val="1CB12360"/>
    <w:rsid w:val="1CBD04AB"/>
    <w:rsid w:val="1CC55535"/>
    <w:rsid w:val="1CCD6C87"/>
    <w:rsid w:val="1CCE4466"/>
    <w:rsid w:val="1CD203FA"/>
    <w:rsid w:val="1CD554C9"/>
    <w:rsid w:val="1CD617E6"/>
    <w:rsid w:val="1CE343B6"/>
    <w:rsid w:val="1CE501A0"/>
    <w:rsid w:val="1CFD33E2"/>
    <w:rsid w:val="1D016007"/>
    <w:rsid w:val="1D09219C"/>
    <w:rsid w:val="1D0D419C"/>
    <w:rsid w:val="1D0F39CD"/>
    <w:rsid w:val="1D102CE3"/>
    <w:rsid w:val="1D1327C1"/>
    <w:rsid w:val="1D156539"/>
    <w:rsid w:val="1D1D719C"/>
    <w:rsid w:val="1D293684"/>
    <w:rsid w:val="1D295B40"/>
    <w:rsid w:val="1D2D5631"/>
    <w:rsid w:val="1D2E13A9"/>
    <w:rsid w:val="1D3C3FA0"/>
    <w:rsid w:val="1D474DEC"/>
    <w:rsid w:val="1D4809E3"/>
    <w:rsid w:val="1D551529"/>
    <w:rsid w:val="1D6333DE"/>
    <w:rsid w:val="1D6B2E53"/>
    <w:rsid w:val="1D9474D1"/>
    <w:rsid w:val="1D9734F7"/>
    <w:rsid w:val="1DA67BC2"/>
    <w:rsid w:val="1DB93368"/>
    <w:rsid w:val="1DBC0763"/>
    <w:rsid w:val="1DC91456"/>
    <w:rsid w:val="1DE303E5"/>
    <w:rsid w:val="1DE71C83"/>
    <w:rsid w:val="1DF4614E"/>
    <w:rsid w:val="1DFA73EA"/>
    <w:rsid w:val="1DFD14A7"/>
    <w:rsid w:val="1DFE521F"/>
    <w:rsid w:val="1E110AAE"/>
    <w:rsid w:val="1E203F0F"/>
    <w:rsid w:val="1E221AC3"/>
    <w:rsid w:val="1E287CDF"/>
    <w:rsid w:val="1E293E8B"/>
    <w:rsid w:val="1E366767"/>
    <w:rsid w:val="1E37133F"/>
    <w:rsid w:val="1E3F65B7"/>
    <w:rsid w:val="1E412DA8"/>
    <w:rsid w:val="1E4C5F8A"/>
    <w:rsid w:val="1E4D643A"/>
    <w:rsid w:val="1E5866DD"/>
    <w:rsid w:val="1E65695B"/>
    <w:rsid w:val="1E6C0D4A"/>
    <w:rsid w:val="1E6F54BC"/>
    <w:rsid w:val="1E7853B3"/>
    <w:rsid w:val="1E786D7F"/>
    <w:rsid w:val="1E88203D"/>
    <w:rsid w:val="1E8B15DE"/>
    <w:rsid w:val="1E9B481C"/>
    <w:rsid w:val="1EA24ADA"/>
    <w:rsid w:val="1EA27958"/>
    <w:rsid w:val="1EA47B74"/>
    <w:rsid w:val="1EC71AB5"/>
    <w:rsid w:val="1ECE074D"/>
    <w:rsid w:val="1EDD2296"/>
    <w:rsid w:val="1EEE0DF0"/>
    <w:rsid w:val="1EEE2B9E"/>
    <w:rsid w:val="1EEE7042"/>
    <w:rsid w:val="1EF04B68"/>
    <w:rsid w:val="1EF5219E"/>
    <w:rsid w:val="1EFB75C8"/>
    <w:rsid w:val="1EFE2B3E"/>
    <w:rsid w:val="1F0061D4"/>
    <w:rsid w:val="1F0658C0"/>
    <w:rsid w:val="1F073C5F"/>
    <w:rsid w:val="1F0C3891"/>
    <w:rsid w:val="1F0D396C"/>
    <w:rsid w:val="1F194453"/>
    <w:rsid w:val="1F1C0339"/>
    <w:rsid w:val="1F1D3483"/>
    <w:rsid w:val="1F333AA6"/>
    <w:rsid w:val="1F397528"/>
    <w:rsid w:val="1F473443"/>
    <w:rsid w:val="1F537B5C"/>
    <w:rsid w:val="1F550E6F"/>
    <w:rsid w:val="1F614F87"/>
    <w:rsid w:val="1F6D7F66"/>
    <w:rsid w:val="1F74629B"/>
    <w:rsid w:val="1F763605"/>
    <w:rsid w:val="1F775289"/>
    <w:rsid w:val="1F9032B5"/>
    <w:rsid w:val="1F934167"/>
    <w:rsid w:val="1F947BE9"/>
    <w:rsid w:val="1F991A63"/>
    <w:rsid w:val="1F9F20EA"/>
    <w:rsid w:val="1FA31BDA"/>
    <w:rsid w:val="1FA37113"/>
    <w:rsid w:val="1FA47700"/>
    <w:rsid w:val="1FA60DB2"/>
    <w:rsid w:val="1FC63B1B"/>
    <w:rsid w:val="1FCB2EDF"/>
    <w:rsid w:val="1FCF5396"/>
    <w:rsid w:val="1FDC50EC"/>
    <w:rsid w:val="1FF266BE"/>
    <w:rsid w:val="2000702C"/>
    <w:rsid w:val="20050180"/>
    <w:rsid w:val="2013291A"/>
    <w:rsid w:val="201C198C"/>
    <w:rsid w:val="201C7BDE"/>
    <w:rsid w:val="20257993"/>
    <w:rsid w:val="202D5948"/>
    <w:rsid w:val="20316E74"/>
    <w:rsid w:val="203A77FC"/>
    <w:rsid w:val="204131A1"/>
    <w:rsid w:val="20431583"/>
    <w:rsid w:val="20452C91"/>
    <w:rsid w:val="20490715"/>
    <w:rsid w:val="20563859"/>
    <w:rsid w:val="20653333"/>
    <w:rsid w:val="206550E2"/>
    <w:rsid w:val="206925CC"/>
    <w:rsid w:val="206A26F8"/>
    <w:rsid w:val="207120EF"/>
    <w:rsid w:val="207277FE"/>
    <w:rsid w:val="20735181"/>
    <w:rsid w:val="20735A50"/>
    <w:rsid w:val="208A785C"/>
    <w:rsid w:val="20992FDD"/>
    <w:rsid w:val="209E4446"/>
    <w:rsid w:val="20AF50AD"/>
    <w:rsid w:val="20AF5EAC"/>
    <w:rsid w:val="20B47F79"/>
    <w:rsid w:val="20BD4F1E"/>
    <w:rsid w:val="20BE2A44"/>
    <w:rsid w:val="20CA3197"/>
    <w:rsid w:val="20CE1BAC"/>
    <w:rsid w:val="20E73D48"/>
    <w:rsid w:val="20EB1A8B"/>
    <w:rsid w:val="20F81C87"/>
    <w:rsid w:val="20FA5254"/>
    <w:rsid w:val="2100305C"/>
    <w:rsid w:val="210600EA"/>
    <w:rsid w:val="210E2431"/>
    <w:rsid w:val="212074F8"/>
    <w:rsid w:val="212158F1"/>
    <w:rsid w:val="21297725"/>
    <w:rsid w:val="212C3E51"/>
    <w:rsid w:val="212E7BC9"/>
    <w:rsid w:val="213A2387"/>
    <w:rsid w:val="214F5868"/>
    <w:rsid w:val="21526FC6"/>
    <w:rsid w:val="215B7E71"/>
    <w:rsid w:val="21667363"/>
    <w:rsid w:val="21754E60"/>
    <w:rsid w:val="2181419D"/>
    <w:rsid w:val="218213E0"/>
    <w:rsid w:val="21946873"/>
    <w:rsid w:val="219B1AF1"/>
    <w:rsid w:val="21A03BE3"/>
    <w:rsid w:val="21B03229"/>
    <w:rsid w:val="21B476FE"/>
    <w:rsid w:val="21B51905"/>
    <w:rsid w:val="21B91F57"/>
    <w:rsid w:val="21BA7652"/>
    <w:rsid w:val="21C4793D"/>
    <w:rsid w:val="21D87D4A"/>
    <w:rsid w:val="21DA2111"/>
    <w:rsid w:val="21E11248"/>
    <w:rsid w:val="21ED35E0"/>
    <w:rsid w:val="21EF3C8F"/>
    <w:rsid w:val="21F1544F"/>
    <w:rsid w:val="21F61590"/>
    <w:rsid w:val="21F76673"/>
    <w:rsid w:val="22123047"/>
    <w:rsid w:val="221A2333"/>
    <w:rsid w:val="222A0391"/>
    <w:rsid w:val="222A0600"/>
    <w:rsid w:val="222F1E4B"/>
    <w:rsid w:val="22384627"/>
    <w:rsid w:val="224C6559"/>
    <w:rsid w:val="22574EFE"/>
    <w:rsid w:val="226754F9"/>
    <w:rsid w:val="226C5F16"/>
    <w:rsid w:val="226D4969"/>
    <w:rsid w:val="227B5090"/>
    <w:rsid w:val="22813D29"/>
    <w:rsid w:val="22886F09"/>
    <w:rsid w:val="228F5BA2"/>
    <w:rsid w:val="2292790A"/>
    <w:rsid w:val="22970C8A"/>
    <w:rsid w:val="229C0B63"/>
    <w:rsid w:val="229C4E3D"/>
    <w:rsid w:val="229E48DB"/>
    <w:rsid w:val="22A00653"/>
    <w:rsid w:val="22AF2349"/>
    <w:rsid w:val="22D30A28"/>
    <w:rsid w:val="22D748F7"/>
    <w:rsid w:val="22E542B8"/>
    <w:rsid w:val="22E8207E"/>
    <w:rsid w:val="22FC0324"/>
    <w:rsid w:val="230C7A96"/>
    <w:rsid w:val="23164DB9"/>
    <w:rsid w:val="232760D6"/>
    <w:rsid w:val="232B3DA4"/>
    <w:rsid w:val="233E45E3"/>
    <w:rsid w:val="234C07DB"/>
    <w:rsid w:val="234F7600"/>
    <w:rsid w:val="235161EF"/>
    <w:rsid w:val="235558E1"/>
    <w:rsid w:val="2359448D"/>
    <w:rsid w:val="237E2F14"/>
    <w:rsid w:val="237F5EC4"/>
    <w:rsid w:val="23884D2A"/>
    <w:rsid w:val="238910E7"/>
    <w:rsid w:val="238B1303"/>
    <w:rsid w:val="239240FD"/>
    <w:rsid w:val="23953F30"/>
    <w:rsid w:val="23971A56"/>
    <w:rsid w:val="239C706C"/>
    <w:rsid w:val="23A75A11"/>
    <w:rsid w:val="23B60698"/>
    <w:rsid w:val="23C91E2B"/>
    <w:rsid w:val="23CD5478"/>
    <w:rsid w:val="23D04F68"/>
    <w:rsid w:val="23DC48E1"/>
    <w:rsid w:val="23F23130"/>
    <w:rsid w:val="23FD2D01"/>
    <w:rsid w:val="241263F9"/>
    <w:rsid w:val="241358B0"/>
    <w:rsid w:val="24177A6E"/>
    <w:rsid w:val="242157C3"/>
    <w:rsid w:val="242968FD"/>
    <w:rsid w:val="244B45EE"/>
    <w:rsid w:val="24545B99"/>
    <w:rsid w:val="24602E04"/>
    <w:rsid w:val="24620C72"/>
    <w:rsid w:val="246456B0"/>
    <w:rsid w:val="24667851"/>
    <w:rsid w:val="246D0A09"/>
    <w:rsid w:val="24721326"/>
    <w:rsid w:val="24733244"/>
    <w:rsid w:val="248B5CF8"/>
    <w:rsid w:val="249D5DF0"/>
    <w:rsid w:val="24A3442A"/>
    <w:rsid w:val="24AB32DF"/>
    <w:rsid w:val="24C743DE"/>
    <w:rsid w:val="24C7636B"/>
    <w:rsid w:val="24CA5E5B"/>
    <w:rsid w:val="24D634B6"/>
    <w:rsid w:val="24D9505B"/>
    <w:rsid w:val="24DE20AE"/>
    <w:rsid w:val="24E76A0D"/>
    <w:rsid w:val="24EC48AF"/>
    <w:rsid w:val="24EE2D6F"/>
    <w:rsid w:val="24F03545"/>
    <w:rsid w:val="24F42870"/>
    <w:rsid w:val="24F44C86"/>
    <w:rsid w:val="24FF3D57"/>
    <w:rsid w:val="250251D0"/>
    <w:rsid w:val="25070E5D"/>
    <w:rsid w:val="251A0B90"/>
    <w:rsid w:val="25206BBC"/>
    <w:rsid w:val="25236737"/>
    <w:rsid w:val="25270BB7"/>
    <w:rsid w:val="25291C09"/>
    <w:rsid w:val="252A68FA"/>
    <w:rsid w:val="253908EB"/>
    <w:rsid w:val="253A4D8F"/>
    <w:rsid w:val="25453733"/>
    <w:rsid w:val="25482763"/>
    <w:rsid w:val="254B68E8"/>
    <w:rsid w:val="25551BC9"/>
    <w:rsid w:val="256C6F12"/>
    <w:rsid w:val="256F7918"/>
    <w:rsid w:val="25761B3F"/>
    <w:rsid w:val="257C7AA3"/>
    <w:rsid w:val="2580476C"/>
    <w:rsid w:val="258204E4"/>
    <w:rsid w:val="258C0DDD"/>
    <w:rsid w:val="258F5DB6"/>
    <w:rsid w:val="2593624D"/>
    <w:rsid w:val="259D3570"/>
    <w:rsid w:val="259E558F"/>
    <w:rsid w:val="25A51CCF"/>
    <w:rsid w:val="25AF7E08"/>
    <w:rsid w:val="25BA5ED0"/>
    <w:rsid w:val="25BB1492"/>
    <w:rsid w:val="25C01BCB"/>
    <w:rsid w:val="25C05CAA"/>
    <w:rsid w:val="25C40AFC"/>
    <w:rsid w:val="25C857DC"/>
    <w:rsid w:val="25CB3C39"/>
    <w:rsid w:val="25DD571A"/>
    <w:rsid w:val="25E21636"/>
    <w:rsid w:val="25E72502"/>
    <w:rsid w:val="25F1238A"/>
    <w:rsid w:val="25FA2770"/>
    <w:rsid w:val="260F13F9"/>
    <w:rsid w:val="261076D1"/>
    <w:rsid w:val="261455E0"/>
    <w:rsid w:val="26282E39"/>
    <w:rsid w:val="262A4E03"/>
    <w:rsid w:val="262C2703"/>
    <w:rsid w:val="262E41C8"/>
    <w:rsid w:val="26400FBB"/>
    <w:rsid w:val="2641214D"/>
    <w:rsid w:val="2647140A"/>
    <w:rsid w:val="2647784B"/>
    <w:rsid w:val="264A77E2"/>
    <w:rsid w:val="26504A46"/>
    <w:rsid w:val="26535CAB"/>
    <w:rsid w:val="265F463D"/>
    <w:rsid w:val="266A3452"/>
    <w:rsid w:val="267141B1"/>
    <w:rsid w:val="26722306"/>
    <w:rsid w:val="26756C51"/>
    <w:rsid w:val="26770841"/>
    <w:rsid w:val="26793695"/>
    <w:rsid w:val="2687382E"/>
    <w:rsid w:val="268F110A"/>
    <w:rsid w:val="26923EA1"/>
    <w:rsid w:val="269A44CC"/>
    <w:rsid w:val="269E1096"/>
    <w:rsid w:val="26A56238"/>
    <w:rsid w:val="26AC3A6A"/>
    <w:rsid w:val="26B86A6D"/>
    <w:rsid w:val="26B97F35"/>
    <w:rsid w:val="26BE3FFD"/>
    <w:rsid w:val="26D242B5"/>
    <w:rsid w:val="26D4437E"/>
    <w:rsid w:val="26EF2E89"/>
    <w:rsid w:val="26F50BDB"/>
    <w:rsid w:val="270218DC"/>
    <w:rsid w:val="27046688"/>
    <w:rsid w:val="27075144"/>
    <w:rsid w:val="27111B1F"/>
    <w:rsid w:val="27135897"/>
    <w:rsid w:val="27277150"/>
    <w:rsid w:val="272B673B"/>
    <w:rsid w:val="272C4490"/>
    <w:rsid w:val="27392160"/>
    <w:rsid w:val="274C0DA9"/>
    <w:rsid w:val="27510300"/>
    <w:rsid w:val="27573D6E"/>
    <w:rsid w:val="275A055F"/>
    <w:rsid w:val="2760611B"/>
    <w:rsid w:val="27613467"/>
    <w:rsid w:val="276460F3"/>
    <w:rsid w:val="276F4A98"/>
    <w:rsid w:val="277B343D"/>
    <w:rsid w:val="277F4CDB"/>
    <w:rsid w:val="277F5951"/>
    <w:rsid w:val="278F5708"/>
    <w:rsid w:val="279006B1"/>
    <w:rsid w:val="279C6BE5"/>
    <w:rsid w:val="279F537D"/>
    <w:rsid w:val="27AE3812"/>
    <w:rsid w:val="27BF157B"/>
    <w:rsid w:val="27C44DE4"/>
    <w:rsid w:val="27CA6378"/>
    <w:rsid w:val="27CE39B1"/>
    <w:rsid w:val="27D25752"/>
    <w:rsid w:val="27D65473"/>
    <w:rsid w:val="27DC62E6"/>
    <w:rsid w:val="27E965F8"/>
    <w:rsid w:val="27EA3646"/>
    <w:rsid w:val="27EE3C0E"/>
    <w:rsid w:val="27F531EF"/>
    <w:rsid w:val="28090A48"/>
    <w:rsid w:val="28092FC4"/>
    <w:rsid w:val="2814170F"/>
    <w:rsid w:val="281751F7"/>
    <w:rsid w:val="2824782D"/>
    <w:rsid w:val="28263A3F"/>
    <w:rsid w:val="2826784C"/>
    <w:rsid w:val="284414D9"/>
    <w:rsid w:val="284942E0"/>
    <w:rsid w:val="28544807"/>
    <w:rsid w:val="28577A06"/>
    <w:rsid w:val="285D4B29"/>
    <w:rsid w:val="285F2D5E"/>
    <w:rsid w:val="28610884"/>
    <w:rsid w:val="286914E7"/>
    <w:rsid w:val="286D547B"/>
    <w:rsid w:val="28717E29"/>
    <w:rsid w:val="288A7DDB"/>
    <w:rsid w:val="288D4E09"/>
    <w:rsid w:val="28904CC6"/>
    <w:rsid w:val="2895052E"/>
    <w:rsid w:val="289B1FE8"/>
    <w:rsid w:val="28A24E0A"/>
    <w:rsid w:val="28A55D66"/>
    <w:rsid w:val="28B23B68"/>
    <w:rsid w:val="28C72772"/>
    <w:rsid w:val="28CB21A2"/>
    <w:rsid w:val="28D53886"/>
    <w:rsid w:val="28E2675C"/>
    <w:rsid w:val="28E3757A"/>
    <w:rsid w:val="28EF40E2"/>
    <w:rsid w:val="28F42EF1"/>
    <w:rsid w:val="28F65471"/>
    <w:rsid w:val="290C2C3E"/>
    <w:rsid w:val="291F241F"/>
    <w:rsid w:val="29233D8C"/>
    <w:rsid w:val="292E4C0A"/>
    <w:rsid w:val="29472D4C"/>
    <w:rsid w:val="294959C9"/>
    <w:rsid w:val="29550251"/>
    <w:rsid w:val="29565F0F"/>
    <w:rsid w:val="2963135F"/>
    <w:rsid w:val="297407F2"/>
    <w:rsid w:val="297665B1"/>
    <w:rsid w:val="29895888"/>
    <w:rsid w:val="29972429"/>
    <w:rsid w:val="299B7DC6"/>
    <w:rsid w:val="29A0718A"/>
    <w:rsid w:val="29A30A29"/>
    <w:rsid w:val="29AF0DA8"/>
    <w:rsid w:val="29B328DF"/>
    <w:rsid w:val="29B81939"/>
    <w:rsid w:val="29B91549"/>
    <w:rsid w:val="29B9624D"/>
    <w:rsid w:val="29C071C9"/>
    <w:rsid w:val="29C571A2"/>
    <w:rsid w:val="29D404F5"/>
    <w:rsid w:val="29D82EFE"/>
    <w:rsid w:val="29DE648E"/>
    <w:rsid w:val="29F50127"/>
    <w:rsid w:val="29F6324E"/>
    <w:rsid w:val="29F679E9"/>
    <w:rsid w:val="2A03331C"/>
    <w:rsid w:val="2A0D14D9"/>
    <w:rsid w:val="2A1D6AAB"/>
    <w:rsid w:val="2A2B2D7C"/>
    <w:rsid w:val="2A50295E"/>
    <w:rsid w:val="2A506E02"/>
    <w:rsid w:val="2A5F7045"/>
    <w:rsid w:val="2A63499B"/>
    <w:rsid w:val="2A64640A"/>
    <w:rsid w:val="2A6C70F3"/>
    <w:rsid w:val="2A7D2C27"/>
    <w:rsid w:val="2A8712D7"/>
    <w:rsid w:val="2A8E652A"/>
    <w:rsid w:val="2A932CF9"/>
    <w:rsid w:val="2A97028D"/>
    <w:rsid w:val="2A9A5B9B"/>
    <w:rsid w:val="2A9F6B59"/>
    <w:rsid w:val="2ABC7FF4"/>
    <w:rsid w:val="2ABF1892"/>
    <w:rsid w:val="2AC263F9"/>
    <w:rsid w:val="2ACB0237"/>
    <w:rsid w:val="2ACD779E"/>
    <w:rsid w:val="2ADE3757"/>
    <w:rsid w:val="2AE412F9"/>
    <w:rsid w:val="2B027027"/>
    <w:rsid w:val="2B2142FB"/>
    <w:rsid w:val="2B2D5FA7"/>
    <w:rsid w:val="2B2E2CA4"/>
    <w:rsid w:val="2B3343C9"/>
    <w:rsid w:val="2B34402E"/>
    <w:rsid w:val="2B4C1378"/>
    <w:rsid w:val="2B4D3EA0"/>
    <w:rsid w:val="2B4D6E9E"/>
    <w:rsid w:val="2B5E554F"/>
    <w:rsid w:val="2B626DED"/>
    <w:rsid w:val="2B707A71"/>
    <w:rsid w:val="2B724B56"/>
    <w:rsid w:val="2B7F5CDD"/>
    <w:rsid w:val="2B821BEB"/>
    <w:rsid w:val="2B824D9A"/>
    <w:rsid w:val="2B8C3E6A"/>
    <w:rsid w:val="2B9845BD"/>
    <w:rsid w:val="2B9F3B9D"/>
    <w:rsid w:val="2BA60333"/>
    <w:rsid w:val="2BA80578"/>
    <w:rsid w:val="2BC0214D"/>
    <w:rsid w:val="2BC20F4E"/>
    <w:rsid w:val="2BCE6231"/>
    <w:rsid w:val="2BE00EFB"/>
    <w:rsid w:val="2BE2230C"/>
    <w:rsid w:val="2BEC5F4B"/>
    <w:rsid w:val="2BFF63EA"/>
    <w:rsid w:val="2C042F86"/>
    <w:rsid w:val="2C05145A"/>
    <w:rsid w:val="2C071743"/>
    <w:rsid w:val="2C0F23A5"/>
    <w:rsid w:val="2C1005F7"/>
    <w:rsid w:val="2C1712BE"/>
    <w:rsid w:val="2C1B6F9C"/>
    <w:rsid w:val="2C1E3207"/>
    <w:rsid w:val="2C1F083A"/>
    <w:rsid w:val="2C2B420A"/>
    <w:rsid w:val="2C3B0AA8"/>
    <w:rsid w:val="2C3C2326"/>
    <w:rsid w:val="2C3D33B6"/>
    <w:rsid w:val="2C421A24"/>
    <w:rsid w:val="2C4B162F"/>
    <w:rsid w:val="2C5030EA"/>
    <w:rsid w:val="2C5746C9"/>
    <w:rsid w:val="2C575E26"/>
    <w:rsid w:val="2C6B3F75"/>
    <w:rsid w:val="2C781ABD"/>
    <w:rsid w:val="2C785A0E"/>
    <w:rsid w:val="2C806757"/>
    <w:rsid w:val="2C88462B"/>
    <w:rsid w:val="2C885BE8"/>
    <w:rsid w:val="2C8C5647"/>
    <w:rsid w:val="2C956D4E"/>
    <w:rsid w:val="2C97701D"/>
    <w:rsid w:val="2CA00F04"/>
    <w:rsid w:val="2CA724FC"/>
    <w:rsid w:val="2CB75040"/>
    <w:rsid w:val="2CBD0053"/>
    <w:rsid w:val="2CC338BC"/>
    <w:rsid w:val="2CD836F5"/>
    <w:rsid w:val="2CD87660"/>
    <w:rsid w:val="2CE02EDD"/>
    <w:rsid w:val="2CE37ABA"/>
    <w:rsid w:val="2CE974BF"/>
    <w:rsid w:val="2D012636"/>
    <w:rsid w:val="2D0A2A99"/>
    <w:rsid w:val="2D0D31CA"/>
    <w:rsid w:val="2D102879"/>
    <w:rsid w:val="2D147C44"/>
    <w:rsid w:val="2D22001E"/>
    <w:rsid w:val="2D2500D2"/>
    <w:rsid w:val="2D256324"/>
    <w:rsid w:val="2D2D6F87"/>
    <w:rsid w:val="2D314CC9"/>
    <w:rsid w:val="2D315B17"/>
    <w:rsid w:val="2D346567"/>
    <w:rsid w:val="2D430559"/>
    <w:rsid w:val="2D69075E"/>
    <w:rsid w:val="2D6C3F53"/>
    <w:rsid w:val="2D791D8E"/>
    <w:rsid w:val="2D7B4BF1"/>
    <w:rsid w:val="2D851FC2"/>
    <w:rsid w:val="2D8C0151"/>
    <w:rsid w:val="2D8D5EDE"/>
    <w:rsid w:val="2D8F5ECC"/>
    <w:rsid w:val="2D9731F4"/>
    <w:rsid w:val="2D9C5EBB"/>
    <w:rsid w:val="2D9D3074"/>
    <w:rsid w:val="2DA239F0"/>
    <w:rsid w:val="2DB96A6D"/>
    <w:rsid w:val="2DBB0A37"/>
    <w:rsid w:val="2DBD1AA0"/>
    <w:rsid w:val="2DBE1F85"/>
    <w:rsid w:val="2DBF0527"/>
    <w:rsid w:val="2DD930F5"/>
    <w:rsid w:val="2DDD275B"/>
    <w:rsid w:val="2E0776F6"/>
    <w:rsid w:val="2E110FB4"/>
    <w:rsid w:val="2E155E9D"/>
    <w:rsid w:val="2E1D2633"/>
    <w:rsid w:val="2E216F64"/>
    <w:rsid w:val="2E295BBF"/>
    <w:rsid w:val="2E2B4F8C"/>
    <w:rsid w:val="2E2C36E3"/>
    <w:rsid w:val="2E370B62"/>
    <w:rsid w:val="2E372EE9"/>
    <w:rsid w:val="2E3C3D01"/>
    <w:rsid w:val="2E3E428E"/>
    <w:rsid w:val="2E426A62"/>
    <w:rsid w:val="2E466A10"/>
    <w:rsid w:val="2E466D42"/>
    <w:rsid w:val="2E4F2320"/>
    <w:rsid w:val="2E6E74F1"/>
    <w:rsid w:val="2E7C6418"/>
    <w:rsid w:val="2E8307E6"/>
    <w:rsid w:val="2E8B49D1"/>
    <w:rsid w:val="2E900A99"/>
    <w:rsid w:val="2E913546"/>
    <w:rsid w:val="2E9E012E"/>
    <w:rsid w:val="2EA65243"/>
    <w:rsid w:val="2EAD41BF"/>
    <w:rsid w:val="2EB34696"/>
    <w:rsid w:val="2EB818D2"/>
    <w:rsid w:val="2EB931C8"/>
    <w:rsid w:val="2EBA484A"/>
    <w:rsid w:val="2ECD4833"/>
    <w:rsid w:val="2EDF69A7"/>
    <w:rsid w:val="2EE9473F"/>
    <w:rsid w:val="2EF064BE"/>
    <w:rsid w:val="2EFF147B"/>
    <w:rsid w:val="2EFF4953"/>
    <w:rsid w:val="2F062EE8"/>
    <w:rsid w:val="2F0D52C2"/>
    <w:rsid w:val="2F0F47A3"/>
    <w:rsid w:val="2F1B152E"/>
    <w:rsid w:val="2F1C0509"/>
    <w:rsid w:val="2F2203B5"/>
    <w:rsid w:val="2F2731FF"/>
    <w:rsid w:val="2F2E5002"/>
    <w:rsid w:val="2F326AD7"/>
    <w:rsid w:val="2F340AA1"/>
    <w:rsid w:val="2F4D1B62"/>
    <w:rsid w:val="2F4F58DB"/>
    <w:rsid w:val="2F665E23"/>
    <w:rsid w:val="2F7013AD"/>
    <w:rsid w:val="2F715851"/>
    <w:rsid w:val="2F841F69"/>
    <w:rsid w:val="2F924F7E"/>
    <w:rsid w:val="2FA944BF"/>
    <w:rsid w:val="2FAD55E2"/>
    <w:rsid w:val="2FAE748A"/>
    <w:rsid w:val="2FBB7F64"/>
    <w:rsid w:val="2FE72D78"/>
    <w:rsid w:val="2FF21880"/>
    <w:rsid w:val="2FF93F47"/>
    <w:rsid w:val="2FFD4E80"/>
    <w:rsid w:val="30000983"/>
    <w:rsid w:val="300E29D8"/>
    <w:rsid w:val="30141F0E"/>
    <w:rsid w:val="301979CE"/>
    <w:rsid w:val="30270C98"/>
    <w:rsid w:val="302B69EF"/>
    <w:rsid w:val="303A20E7"/>
    <w:rsid w:val="303B5E5F"/>
    <w:rsid w:val="304A7E50"/>
    <w:rsid w:val="304E5C2E"/>
    <w:rsid w:val="305475E1"/>
    <w:rsid w:val="30571CB2"/>
    <w:rsid w:val="30645F48"/>
    <w:rsid w:val="306727B0"/>
    <w:rsid w:val="306E324C"/>
    <w:rsid w:val="3071362F"/>
    <w:rsid w:val="30843362"/>
    <w:rsid w:val="308E41E1"/>
    <w:rsid w:val="309230A4"/>
    <w:rsid w:val="309B6AD1"/>
    <w:rsid w:val="30A752A2"/>
    <w:rsid w:val="30A76777"/>
    <w:rsid w:val="30B33C47"/>
    <w:rsid w:val="30B579BF"/>
    <w:rsid w:val="30C72962"/>
    <w:rsid w:val="30D3517C"/>
    <w:rsid w:val="30D71B46"/>
    <w:rsid w:val="30DF4A3C"/>
    <w:rsid w:val="30F3375D"/>
    <w:rsid w:val="30FD3E4B"/>
    <w:rsid w:val="31004DA0"/>
    <w:rsid w:val="3106021B"/>
    <w:rsid w:val="310F0183"/>
    <w:rsid w:val="311816FD"/>
    <w:rsid w:val="31181D14"/>
    <w:rsid w:val="31263CF5"/>
    <w:rsid w:val="312D21AD"/>
    <w:rsid w:val="313239DC"/>
    <w:rsid w:val="313528AE"/>
    <w:rsid w:val="3139239E"/>
    <w:rsid w:val="313A1C72"/>
    <w:rsid w:val="31412227"/>
    <w:rsid w:val="314825E1"/>
    <w:rsid w:val="314E07A0"/>
    <w:rsid w:val="31544EBE"/>
    <w:rsid w:val="315471D8"/>
    <w:rsid w:val="31615451"/>
    <w:rsid w:val="316A69FC"/>
    <w:rsid w:val="316E0C38"/>
    <w:rsid w:val="317020C3"/>
    <w:rsid w:val="31717D8A"/>
    <w:rsid w:val="31760D5B"/>
    <w:rsid w:val="317644D4"/>
    <w:rsid w:val="317B2CDC"/>
    <w:rsid w:val="317E7C37"/>
    <w:rsid w:val="3181104A"/>
    <w:rsid w:val="31895B75"/>
    <w:rsid w:val="318A554F"/>
    <w:rsid w:val="318B552C"/>
    <w:rsid w:val="319D01C6"/>
    <w:rsid w:val="31AC247D"/>
    <w:rsid w:val="31C45344"/>
    <w:rsid w:val="31CF4AB1"/>
    <w:rsid w:val="31D64287"/>
    <w:rsid w:val="31D64C76"/>
    <w:rsid w:val="31E06CBE"/>
    <w:rsid w:val="31E91846"/>
    <w:rsid w:val="31F167D5"/>
    <w:rsid w:val="31F60C40"/>
    <w:rsid w:val="31FB58A6"/>
    <w:rsid w:val="31FB7654"/>
    <w:rsid w:val="320329AC"/>
    <w:rsid w:val="3205690C"/>
    <w:rsid w:val="3214795F"/>
    <w:rsid w:val="321949C0"/>
    <w:rsid w:val="32290ED6"/>
    <w:rsid w:val="322C2549"/>
    <w:rsid w:val="323E7691"/>
    <w:rsid w:val="32425283"/>
    <w:rsid w:val="324442AF"/>
    <w:rsid w:val="32630900"/>
    <w:rsid w:val="32676A97"/>
    <w:rsid w:val="326A2A2B"/>
    <w:rsid w:val="32777163"/>
    <w:rsid w:val="32783F72"/>
    <w:rsid w:val="32787651"/>
    <w:rsid w:val="327F1F86"/>
    <w:rsid w:val="328A4EEE"/>
    <w:rsid w:val="329655CE"/>
    <w:rsid w:val="32B51EF8"/>
    <w:rsid w:val="32CC2D9E"/>
    <w:rsid w:val="32DD3309"/>
    <w:rsid w:val="32E713F8"/>
    <w:rsid w:val="32EE189D"/>
    <w:rsid w:val="32F01183"/>
    <w:rsid w:val="32FC64ED"/>
    <w:rsid w:val="32FD4850"/>
    <w:rsid w:val="33020E2B"/>
    <w:rsid w:val="330B0D48"/>
    <w:rsid w:val="33152997"/>
    <w:rsid w:val="331807EE"/>
    <w:rsid w:val="332025F3"/>
    <w:rsid w:val="333A1FF0"/>
    <w:rsid w:val="333C4F99"/>
    <w:rsid w:val="333D5F0E"/>
    <w:rsid w:val="33435756"/>
    <w:rsid w:val="33536CAB"/>
    <w:rsid w:val="3353775E"/>
    <w:rsid w:val="3355269D"/>
    <w:rsid w:val="336631F3"/>
    <w:rsid w:val="33694A91"/>
    <w:rsid w:val="336A6357"/>
    <w:rsid w:val="33751688"/>
    <w:rsid w:val="337E22EA"/>
    <w:rsid w:val="338A5133"/>
    <w:rsid w:val="338E3C10"/>
    <w:rsid w:val="33A0560C"/>
    <w:rsid w:val="33C72E9D"/>
    <w:rsid w:val="33D5021C"/>
    <w:rsid w:val="33D65D45"/>
    <w:rsid w:val="33D91C17"/>
    <w:rsid w:val="33E04D53"/>
    <w:rsid w:val="33E54163"/>
    <w:rsid w:val="33E73C96"/>
    <w:rsid w:val="33F40270"/>
    <w:rsid w:val="33FC0E14"/>
    <w:rsid w:val="340547BA"/>
    <w:rsid w:val="340D18C0"/>
    <w:rsid w:val="340E3324"/>
    <w:rsid w:val="340E3F14"/>
    <w:rsid w:val="341669C7"/>
    <w:rsid w:val="34342668"/>
    <w:rsid w:val="343A12C2"/>
    <w:rsid w:val="34403E6E"/>
    <w:rsid w:val="34445D0F"/>
    <w:rsid w:val="3445081E"/>
    <w:rsid w:val="344828F8"/>
    <w:rsid w:val="34493EF4"/>
    <w:rsid w:val="344F3C87"/>
    <w:rsid w:val="3470295F"/>
    <w:rsid w:val="34790D04"/>
    <w:rsid w:val="34796F56"/>
    <w:rsid w:val="348558FB"/>
    <w:rsid w:val="348C0A37"/>
    <w:rsid w:val="348C6C89"/>
    <w:rsid w:val="34923D05"/>
    <w:rsid w:val="349618B6"/>
    <w:rsid w:val="34B12BAE"/>
    <w:rsid w:val="34B61F58"/>
    <w:rsid w:val="34C04B85"/>
    <w:rsid w:val="34CA155F"/>
    <w:rsid w:val="34CE54F3"/>
    <w:rsid w:val="34D07C9F"/>
    <w:rsid w:val="34DB376C"/>
    <w:rsid w:val="34E500C1"/>
    <w:rsid w:val="34E72111"/>
    <w:rsid w:val="34EA68D3"/>
    <w:rsid w:val="34FD5600"/>
    <w:rsid w:val="34FF38FF"/>
    <w:rsid w:val="35095AFD"/>
    <w:rsid w:val="35136E2B"/>
    <w:rsid w:val="351E4A6E"/>
    <w:rsid w:val="351F0C68"/>
    <w:rsid w:val="35283990"/>
    <w:rsid w:val="35387F2F"/>
    <w:rsid w:val="354154A9"/>
    <w:rsid w:val="3546508A"/>
    <w:rsid w:val="354D6418"/>
    <w:rsid w:val="35695D82"/>
    <w:rsid w:val="35734CD1"/>
    <w:rsid w:val="35793B42"/>
    <w:rsid w:val="357B2720"/>
    <w:rsid w:val="357E0CC8"/>
    <w:rsid w:val="35837366"/>
    <w:rsid w:val="358B1D54"/>
    <w:rsid w:val="359A53D6"/>
    <w:rsid w:val="35A41DB0"/>
    <w:rsid w:val="35AA386B"/>
    <w:rsid w:val="35B00755"/>
    <w:rsid w:val="35BA13AA"/>
    <w:rsid w:val="35C91817"/>
    <w:rsid w:val="35CF1523"/>
    <w:rsid w:val="35DA2FE6"/>
    <w:rsid w:val="35EF3A10"/>
    <w:rsid w:val="35F10F01"/>
    <w:rsid w:val="35F40F8A"/>
    <w:rsid w:val="35FC7E3E"/>
    <w:rsid w:val="35FF348B"/>
    <w:rsid w:val="360610B1"/>
    <w:rsid w:val="3612105F"/>
    <w:rsid w:val="36133391"/>
    <w:rsid w:val="3619279E"/>
    <w:rsid w:val="361C2483"/>
    <w:rsid w:val="361C5DEB"/>
    <w:rsid w:val="36204DA1"/>
    <w:rsid w:val="36257B28"/>
    <w:rsid w:val="36260A17"/>
    <w:rsid w:val="36276F31"/>
    <w:rsid w:val="362F0EA3"/>
    <w:rsid w:val="363B44C3"/>
    <w:rsid w:val="364036FD"/>
    <w:rsid w:val="36573B54"/>
    <w:rsid w:val="365D6B2F"/>
    <w:rsid w:val="36631C6B"/>
    <w:rsid w:val="366D4898"/>
    <w:rsid w:val="36910587"/>
    <w:rsid w:val="369D33CF"/>
    <w:rsid w:val="36A04C6E"/>
    <w:rsid w:val="36A209E6"/>
    <w:rsid w:val="36A4650C"/>
    <w:rsid w:val="36A5033B"/>
    <w:rsid w:val="36A858D0"/>
    <w:rsid w:val="36AB3AA5"/>
    <w:rsid w:val="36B10C29"/>
    <w:rsid w:val="36BF5033"/>
    <w:rsid w:val="36BF714A"/>
    <w:rsid w:val="36C4095C"/>
    <w:rsid w:val="36D52B69"/>
    <w:rsid w:val="36E172EC"/>
    <w:rsid w:val="36E34CAC"/>
    <w:rsid w:val="36ED0247"/>
    <w:rsid w:val="36F6663C"/>
    <w:rsid w:val="37031F9E"/>
    <w:rsid w:val="370D3AA8"/>
    <w:rsid w:val="3710296B"/>
    <w:rsid w:val="37180CA8"/>
    <w:rsid w:val="371A4A20"/>
    <w:rsid w:val="372907BF"/>
    <w:rsid w:val="37357164"/>
    <w:rsid w:val="373B6DAB"/>
    <w:rsid w:val="37400017"/>
    <w:rsid w:val="37402FFD"/>
    <w:rsid w:val="374920E6"/>
    <w:rsid w:val="37496B37"/>
    <w:rsid w:val="374A60BA"/>
    <w:rsid w:val="374C65D1"/>
    <w:rsid w:val="375052FE"/>
    <w:rsid w:val="375515B4"/>
    <w:rsid w:val="375717D0"/>
    <w:rsid w:val="376D2DA2"/>
    <w:rsid w:val="37883D58"/>
    <w:rsid w:val="37895702"/>
    <w:rsid w:val="378B147A"/>
    <w:rsid w:val="378D6FA0"/>
    <w:rsid w:val="37920A5A"/>
    <w:rsid w:val="37A4428E"/>
    <w:rsid w:val="37BA3B0D"/>
    <w:rsid w:val="37BF6486"/>
    <w:rsid w:val="37C93D50"/>
    <w:rsid w:val="37D50CE8"/>
    <w:rsid w:val="37DE3834"/>
    <w:rsid w:val="37DE5A4E"/>
    <w:rsid w:val="37DF5322"/>
    <w:rsid w:val="37E0102F"/>
    <w:rsid w:val="37E33064"/>
    <w:rsid w:val="37EA0E19"/>
    <w:rsid w:val="37FC5ED4"/>
    <w:rsid w:val="380F5C07"/>
    <w:rsid w:val="38117A81"/>
    <w:rsid w:val="381D7397"/>
    <w:rsid w:val="3824413E"/>
    <w:rsid w:val="38296F15"/>
    <w:rsid w:val="38427378"/>
    <w:rsid w:val="38434D5F"/>
    <w:rsid w:val="384E59B9"/>
    <w:rsid w:val="385F0F63"/>
    <w:rsid w:val="3865451A"/>
    <w:rsid w:val="38705A01"/>
    <w:rsid w:val="387A7DE0"/>
    <w:rsid w:val="38A128D7"/>
    <w:rsid w:val="38A9615A"/>
    <w:rsid w:val="38B5568A"/>
    <w:rsid w:val="38BC28BF"/>
    <w:rsid w:val="38C34C43"/>
    <w:rsid w:val="38C369DB"/>
    <w:rsid w:val="38C62D44"/>
    <w:rsid w:val="38CA7D80"/>
    <w:rsid w:val="38CC2814"/>
    <w:rsid w:val="38D94467"/>
    <w:rsid w:val="38DB3D35"/>
    <w:rsid w:val="38DD5D05"/>
    <w:rsid w:val="38E65F4E"/>
    <w:rsid w:val="38F47AC8"/>
    <w:rsid w:val="3900767F"/>
    <w:rsid w:val="390E4D04"/>
    <w:rsid w:val="39171F2E"/>
    <w:rsid w:val="391B270E"/>
    <w:rsid w:val="391D07F7"/>
    <w:rsid w:val="39246D3F"/>
    <w:rsid w:val="392628AE"/>
    <w:rsid w:val="39306FC2"/>
    <w:rsid w:val="39411F5A"/>
    <w:rsid w:val="39455658"/>
    <w:rsid w:val="394B7113"/>
    <w:rsid w:val="395428CE"/>
    <w:rsid w:val="396C7089"/>
    <w:rsid w:val="396E4BAF"/>
    <w:rsid w:val="39785A2E"/>
    <w:rsid w:val="397A53E5"/>
    <w:rsid w:val="397B2759"/>
    <w:rsid w:val="398C3287"/>
    <w:rsid w:val="399536EF"/>
    <w:rsid w:val="399B08EE"/>
    <w:rsid w:val="39A71E6F"/>
    <w:rsid w:val="39B32B9B"/>
    <w:rsid w:val="39BA4B62"/>
    <w:rsid w:val="39C26CA9"/>
    <w:rsid w:val="39C62C3D"/>
    <w:rsid w:val="39CD7B28"/>
    <w:rsid w:val="39D57B17"/>
    <w:rsid w:val="39DC3FE0"/>
    <w:rsid w:val="39DE4976"/>
    <w:rsid w:val="39E061E6"/>
    <w:rsid w:val="39F86EB8"/>
    <w:rsid w:val="3A116C63"/>
    <w:rsid w:val="3A233BEC"/>
    <w:rsid w:val="3A2367B2"/>
    <w:rsid w:val="3A2D01F3"/>
    <w:rsid w:val="3A2F09BE"/>
    <w:rsid w:val="3A350309"/>
    <w:rsid w:val="3A445DFF"/>
    <w:rsid w:val="3A502A4B"/>
    <w:rsid w:val="3A663AD8"/>
    <w:rsid w:val="3A674F97"/>
    <w:rsid w:val="3A685AA2"/>
    <w:rsid w:val="3A6B10EF"/>
    <w:rsid w:val="3A773F37"/>
    <w:rsid w:val="3A7D77A0"/>
    <w:rsid w:val="3A823D54"/>
    <w:rsid w:val="3A922B1F"/>
    <w:rsid w:val="3A944AE9"/>
    <w:rsid w:val="3AA552B7"/>
    <w:rsid w:val="3AA800E7"/>
    <w:rsid w:val="3AAB2255"/>
    <w:rsid w:val="3AB446E3"/>
    <w:rsid w:val="3ABC194A"/>
    <w:rsid w:val="3AC23405"/>
    <w:rsid w:val="3AC82E91"/>
    <w:rsid w:val="3ACA050B"/>
    <w:rsid w:val="3ACD1DA9"/>
    <w:rsid w:val="3ACE6E73"/>
    <w:rsid w:val="3AE24587"/>
    <w:rsid w:val="3AEC7C4E"/>
    <w:rsid w:val="3AF55D8D"/>
    <w:rsid w:val="3AFC4300"/>
    <w:rsid w:val="3B023801"/>
    <w:rsid w:val="3B054B54"/>
    <w:rsid w:val="3B075DBD"/>
    <w:rsid w:val="3B135A0E"/>
    <w:rsid w:val="3B1F0EA1"/>
    <w:rsid w:val="3B205239"/>
    <w:rsid w:val="3B325ADB"/>
    <w:rsid w:val="3B331C0C"/>
    <w:rsid w:val="3B336DA1"/>
    <w:rsid w:val="3B3A743F"/>
    <w:rsid w:val="3B5656D2"/>
    <w:rsid w:val="3B576E95"/>
    <w:rsid w:val="3B612ACA"/>
    <w:rsid w:val="3B6444BC"/>
    <w:rsid w:val="3B653A24"/>
    <w:rsid w:val="3B753C60"/>
    <w:rsid w:val="3B830163"/>
    <w:rsid w:val="3B8E778B"/>
    <w:rsid w:val="3BAB20EB"/>
    <w:rsid w:val="3BB30F9F"/>
    <w:rsid w:val="3BBA232E"/>
    <w:rsid w:val="3BBC60A6"/>
    <w:rsid w:val="3BC92571"/>
    <w:rsid w:val="3BD40106"/>
    <w:rsid w:val="3BDA1567"/>
    <w:rsid w:val="3BDD426E"/>
    <w:rsid w:val="3BF75330"/>
    <w:rsid w:val="3C0C3C1E"/>
    <w:rsid w:val="3C0D6901"/>
    <w:rsid w:val="3C265139"/>
    <w:rsid w:val="3C395948"/>
    <w:rsid w:val="3C3F2833"/>
    <w:rsid w:val="3C5D0674"/>
    <w:rsid w:val="3C5E53AF"/>
    <w:rsid w:val="3C5E6933"/>
    <w:rsid w:val="3C607C8A"/>
    <w:rsid w:val="3C6109FB"/>
    <w:rsid w:val="3C6127A9"/>
    <w:rsid w:val="3C6841F4"/>
    <w:rsid w:val="3C724306"/>
    <w:rsid w:val="3C9C5ED7"/>
    <w:rsid w:val="3CAA5544"/>
    <w:rsid w:val="3CAC78FC"/>
    <w:rsid w:val="3CB11D10"/>
    <w:rsid w:val="3CC1149A"/>
    <w:rsid w:val="3CC44B88"/>
    <w:rsid w:val="3CF03085"/>
    <w:rsid w:val="3CFE624A"/>
    <w:rsid w:val="3D041845"/>
    <w:rsid w:val="3D1B71CB"/>
    <w:rsid w:val="3D27538A"/>
    <w:rsid w:val="3D28451E"/>
    <w:rsid w:val="3D2B5533"/>
    <w:rsid w:val="3D3659E4"/>
    <w:rsid w:val="3D4025AD"/>
    <w:rsid w:val="3D46641D"/>
    <w:rsid w:val="3D4F4CF8"/>
    <w:rsid w:val="3D5567B2"/>
    <w:rsid w:val="3D567E34"/>
    <w:rsid w:val="3D575218"/>
    <w:rsid w:val="3D791F02"/>
    <w:rsid w:val="3D7B3D3F"/>
    <w:rsid w:val="3D826E7B"/>
    <w:rsid w:val="3D837D87"/>
    <w:rsid w:val="3D890383"/>
    <w:rsid w:val="3D8D1EE4"/>
    <w:rsid w:val="3D954E00"/>
    <w:rsid w:val="3D976F39"/>
    <w:rsid w:val="3D98669F"/>
    <w:rsid w:val="3D994F8E"/>
    <w:rsid w:val="3D9D51DB"/>
    <w:rsid w:val="3DC17801"/>
    <w:rsid w:val="3DDD0555"/>
    <w:rsid w:val="3DF51DAD"/>
    <w:rsid w:val="3E08189A"/>
    <w:rsid w:val="3E143147"/>
    <w:rsid w:val="3E1C107E"/>
    <w:rsid w:val="3E3068D7"/>
    <w:rsid w:val="3E4B54BF"/>
    <w:rsid w:val="3E53182E"/>
    <w:rsid w:val="3E5A1BA6"/>
    <w:rsid w:val="3E5F0F6A"/>
    <w:rsid w:val="3E7C54DB"/>
    <w:rsid w:val="3E7F33BB"/>
    <w:rsid w:val="3E7F7FA8"/>
    <w:rsid w:val="3E8010CD"/>
    <w:rsid w:val="3E8B1D5F"/>
    <w:rsid w:val="3E987FEA"/>
    <w:rsid w:val="3E9A57FC"/>
    <w:rsid w:val="3E9E7CE5"/>
    <w:rsid w:val="3EA13331"/>
    <w:rsid w:val="3EAF254A"/>
    <w:rsid w:val="3EC7548D"/>
    <w:rsid w:val="3EC860DD"/>
    <w:rsid w:val="3ECB6296"/>
    <w:rsid w:val="3EDA0A4D"/>
    <w:rsid w:val="3EF47905"/>
    <w:rsid w:val="3EFA1783"/>
    <w:rsid w:val="3F0264C5"/>
    <w:rsid w:val="3F0F0BE2"/>
    <w:rsid w:val="3F202F10"/>
    <w:rsid w:val="3F210EC9"/>
    <w:rsid w:val="3F3D2409"/>
    <w:rsid w:val="3F426C6F"/>
    <w:rsid w:val="3F6211A5"/>
    <w:rsid w:val="3F676329"/>
    <w:rsid w:val="3F6935B6"/>
    <w:rsid w:val="3F762A0F"/>
    <w:rsid w:val="3F7C4554"/>
    <w:rsid w:val="3F7F43EA"/>
    <w:rsid w:val="3F8D1F9F"/>
    <w:rsid w:val="3F9561C4"/>
    <w:rsid w:val="3FAE03FB"/>
    <w:rsid w:val="3FAE6298"/>
    <w:rsid w:val="3FB56C6D"/>
    <w:rsid w:val="3FB83028"/>
    <w:rsid w:val="3FBD203A"/>
    <w:rsid w:val="3FC43688"/>
    <w:rsid w:val="3FC574E9"/>
    <w:rsid w:val="3FC7326B"/>
    <w:rsid w:val="3FCA633E"/>
    <w:rsid w:val="3FD77A95"/>
    <w:rsid w:val="3FDB2873"/>
    <w:rsid w:val="3FE33135"/>
    <w:rsid w:val="3FE756BB"/>
    <w:rsid w:val="3FE91433"/>
    <w:rsid w:val="3FEB5A56"/>
    <w:rsid w:val="3FEE14AA"/>
    <w:rsid w:val="3FFB2968"/>
    <w:rsid w:val="40006B84"/>
    <w:rsid w:val="400C6ED0"/>
    <w:rsid w:val="40186F4D"/>
    <w:rsid w:val="401A1C65"/>
    <w:rsid w:val="402970A9"/>
    <w:rsid w:val="402D3EAF"/>
    <w:rsid w:val="40332727"/>
    <w:rsid w:val="4037219F"/>
    <w:rsid w:val="403E63A7"/>
    <w:rsid w:val="4041301D"/>
    <w:rsid w:val="404C2337"/>
    <w:rsid w:val="404E3C35"/>
    <w:rsid w:val="40526FD9"/>
    <w:rsid w:val="4057639D"/>
    <w:rsid w:val="406F3B26"/>
    <w:rsid w:val="407451A1"/>
    <w:rsid w:val="40774C91"/>
    <w:rsid w:val="407C5E04"/>
    <w:rsid w:val="407D6F97"/>
    <w:rsid w:val="408B28DB"/>
    <w:rsid w:val="408E2D6D"/>
    <w:rsid w:val="409749EB"/>
    <w:rsid w:val="409F1300"/>
    <w:rsid w:val="40B01F51"/>
    <w:rsid w:val="40EA71F7"/>
    <w:rsid w:val="40EC1995"/>
    <w:rsid w:val="40FD25B9"/>
    <w:rsid w:val="40FD2D47"/>
    <w:rsid w:val="40FF3A12"/>
    <w:rsid w:val="41004C87"/>
    <w:rsid w:val="410302D3"/>
    <w:rsid w:val="410E63D5"/>
    <w:rsid w:val="411B561D"/>
    <w:rsid w:val="411E335F"/>
    <w:rsid w:val="411F5631"/>
    <w:rsid w:val="412B2151"/>
    <w:rsid w:val="41465FC8"/>
    <w:rsid w:val="414A4154"/>
    <w:rsid w:val="41506754"/>
    <w:rsid w:val="41517290"/>
    <w:rsid w:val="415B429A"/>
    <w:rsid w:val="415E0CB5"/>
    <w:rsid w:val="415F13B8"/>
    <w:rsid w:val="41656898"/>
    <w:rsid w:val="41692A9C"/>
    <w:rsid w:val="41756B51"/>
    <w:rsid w:val="419F2B4F"/>
    <w:rsid w:val="41BF1229"/>
    <w:rsid w:val="41C21F3C"/>
    <w:rsid w:val="41CC4B69"/>
    <w:rsid w:val="41D35A42"/>
    <w:rsid w:val="41D55938"/>
    <w:rsid w:val="41F82D54"/>
    <w:rsid w:val="41FA17F9"/>
    <w:rsid w:val="421107CE"/>
    <w:rsid w:val="421942D7"/>
    <w:rsid w:val="42274E4A"/>
    <w:rsid w:val="42403BC1"/>
    <w:rsid w:val="424961B9"/>
    <w:rsid w:val="424B3C09"/>
    <w:rsid w:val="424B3CDF"/>
    <w:rsid w:val="424D161D"/>
    <w:rsid w:val="425A4C58"/>
    <w:rsid w:val="426A4202"/>
    <w:rsid w:val="4274327E"/>
    <w:rsid w:val="42784CF1"/>
    <w:rsid w:val="4279281C"/>
    <w:rsid w:val="4281050D"/>
    <w:rsid w:val="42820C90"/>
    <w:rsid w:val="428D00B5"/>
    <w:rsid w:val="429274CF"/>
    <w:rsid w:val="429A4F68"/>
    <w:rsid w:val="429F227D"/>
    <w:rsid w:val="42AE0712"/>
    <w:rsid w:val="42B301FB"/>
    <w:rsid w:val="42BF647C"/>
    <w:rsid w:val="42C53B09"/>
    <w:rsid w:val="42C73E06"/>
    <w:rsid w:val="42DD22F7"/>
    <w:rsid w:val="42DE0FF8"/>
    <w:rsid w:val="42DE49EE"/>
    <w:rsid w:val="42DF08CC"/>
    <w:rsid w:val="42E452E0"/>
    <w:rsid w:val="42E87389"/>
    <w:rsid w:val="42EE0B0F"/>
    <w:rsid w:val="42F922C6"/>
    <w:rsid w:val="43016A94"/>
    <w:rsid w:val="43026FB7"/>
    <w:rsid w:val="431524B8"/>
    <w:rsid w:val="433834D6"/>
    <w:rsid w:val="433B1FA6"/>
    <w:rsid w:val="434B25DE"/>
    <w:rsid w:val="434B7D0F"/>
    <w:rsid w:val="43517287"/>
    <w:rsid w:val="4357727C"/>
    <w:rsid w:val="435E7A42"/>
    <w:rsid w:val="436D767E"/>
    <w:rsid w:val="437904B5"/>
    <w:rsid w:val="437B43B9"/>
    <w:rsid w:val="437B6846"/>
    <w:rsid w:val="437C611B"/>
    <w:rsid w:val="438717BF"/>
    <w:rsid w:val="438E7AE6"/>
    <w:rsid w:val="439671DC"/>
    <w:rsid w:val="43A318F9"/>
    <w:rsid w:val="43A55671"/>
    <w:rsid w:val="43C2257D"/>
    <w:rsid w:val="43C53F65"/>
    <w:rsid w:val="43C97207"/>
    <w:rsid w:val="43CB6B12"/>
    <w:rsid w:val="43CD7293"/>
    <w:rsid w:val="43E90788"/>
    <w:rsid w:val="44004F9E"/>
    <w:rsid w:val="440844E4"/>
    <w:rsid w:val="440F2AB9"/>
    <w:rsid w:val="441E3BBC"/>
    <w:rsid w:val="442962A2"/>
    <w:rsid w:val="44305883"/>
    <w:rsid w:val="44397080"/>
    <w:rsid w:val="446077EA"/>
    <w:rsid w:val="447050B4"/>
    <w:rsid w:val="448223C6"/>
    <w:rsid w:val="448E6ECB"/>
    <w:rsid w:val="449027BD"/>
    <w:rsid w:val="44953938"/>
    <w:rsid w:val="44C05B20"/>
    <w:rsid w:val="44C075E6"/>
    <w:rsid w:val="44C60B39"/>
    <w:rsid w:val="44CE5A21"/>
    <w:rsid w:val="44EA30F8"/>
    <w:rsid w:val="44F43F6F"/>
    <w:rsid w:val="44F543D6"/>
    <w:rsid w:val="44FC39B7"/>
    <w:rsid w:val="450A0BD9"/>
    <w:rsid w:val="450D23B0"/>
    <w:rsid w:val="450D7972"/>
    <w:rsid w:val="45120858"/>
    <w:rsid w:val="45196317"/>
    <w:rsid w:val="451A3E3D"/>
    <w:rsid w:val="4525140F"/>
    <w:rsid w:val="452E29F9"/>
    <w:rsid w:val="453749EF"/>
    <w:rsid w:val="453942C3"/>
    <w:rsid w:val="453E73B1"/>
    <w:rsid w:val="45405487"/>
    <w:rsid w:val="454F776E"/>
    <w:rsid w:val="45561426"/>
    <w:rsid w:val="45605CF4"/>
    <w:rsid w:val="45615D4B"/>
    <w:rsid w:val="456926CF"/>
    <w:rsid w:val="457A56BB"/>
    <w:rsid w:val="457E08F5"/>
    <w:rsid w:val="457F1EF2"/>
    <w:rsid w:val="458737E3"/>
    <w:rsid w:val="458F0387"/>
    <w:rsid w:val="45933DA8"/>
    <w:rsid w:val="459A7498"/>
    <w:rsid w:val="459E3F1D"/>
    <w:rsid w:val="45A21BDE"/>
    <w:rsid w:val="45A358AF"/>
    <w:rsid w:val="45BD1FBC"/>
    <w:rsid w:val="45C5502C"/>
    <w:rsid w:val="45CB6A27"/>
    <w:rsid w:val="45CC0AAA"/>
    <w:rsid w:val="45CE106B"/>
    <w:rsid w:val="45DB181E"/>
    <w:rsid w:val="45DE6F05"/>
    <w:rsid w:val="45E06994"/>
    <w:rsid w:val="45E94170"/>
    <w:rsid w:val="45EC57D9"/>
    <w:rsid w:val="45EF2366"/>
    <w:rsid w:val="45F5415F"/>
    <w:rsid w:val="45F952A7"/>
    <w:rsid w:val="460B72B5"/>
    <w:rsid w:val="46123585"/>
    <w:rsid w:val="46132D66"/>
    <w:rsid w:val="46144D30"/>
    <w:rsid w:val="461D1E37"/>
    <w:rsid w:val="46222FA9"/>
    <w:rsid w:val="46333408"/>
    <w:rsid w:val="463B22BD"/>
    <w:rsid w:val="46627BD5"/>
    <w:rsid w:val="46657D32"/>
    <w:rsid w:val="46674E60"/>
    <w:rsid w:val="466B6068"/>
    <w:rsid w:val="46733805"/>
    <w:rsid w:val="467A701F"/>
    <w:rsid w:val="467E1578"/>
    <w:rsid w:val="469A6FE4"/>
    <w:rsid w:val="46B5206F"/>
    <w:rsid w:val="46B61944"/>
    <w:rsid w:val="46B74038"/>
    <w:rsid w:val="46BD7176"/>
    <w:rsid w:val="46BF09E1"/>
    <w:rsid w:val="46C40504"/>
    <w:rsid w:val="46D93214"/>
    <w:rsid w:val="46E73BA2"/>
    <w:rsid w:val="46EC09AA"/>
    <w:rsid w:val="46F72688"/>
    <w:rsid w:val="470236DB"/>
    <w:rsid w:val="47046B53"/>
    <w:rsid w:val="471A0124"/>
    <w:rsid w:val="471C20EE"/>
    <w:rsid w:val="472735FD"/>
    <w:rsid w:val="47292A9F"/>
    <w:rsid w:val="473016F6"/>
    <w:rsid w:val="47347E50"/>
    <w:rsid w:val="474319E3"/>
    <w:rsid w:val="475F022D"/>
    <w:rsid w:val="476920BB"/>
    <w:rsid w:val="47726B9D"/>
    <w:rsid w:val="478A52AA"/>
    <w:rsid w:val="479010C6"/>
    <w:rsid w:val="4792415F"/>
    <w:rsid w:val="47941C85"/>
    <w:rsid w:val="479563F3"/>
    <w:rsid w:val="47975C19"/>
    <w:rsid w:val="47BE3FA3"/>
    <w:rsid w:val="47CD1DBA"/>
    <w:rsid w:val="47CF7161"/>
    <w:rsid w:val="47DC362C"/>
    <w:rsid w:val="47E1044E"/>
    <w:rsid w:val="47E23C25"/>
    <w:rsid w:val="47E80223"/>
    <w:rsid w:val="47FD75BA"/>
    <w:rsid w:val="480759C0"/>
    <w:rsid w:val="4808129F"/>
    <w:rsid w:val="48104F02"/>
    <w:rsid w:val="48165C69"/>
    <w:rsid w:val="482A7041"/>
    <w:rsid w:val="482C010F"/>
    <w:rsid w:val="48395E23"/>
    <w:rsid w:val="483D40CA"/>
    <w:rsid w:val="48474F49"/>
    <w:rsid w:val="485639ED"/>
    <w:rsid w:val="486755EB"/>
    <w:rsid w:val="48693111"/>
    <w:rsid w:val="4877379D"/>
    <w:rsid w:val="487931C1"/>
    <w:rsid w:val="48842922"/>
    <w:rsid w:val="488717E9"/>
    <w:rsid w:val="488E2B78"/>
    <w:rsid w:val="48974E68"/>
    <w:rsid w:val="489D1D0E"/>
    <w:rsid w:val="489F4D85"/>
    <w:rsid w:val="48A566C8"/>
    <w:rsid w:val="48A57EC2"/>
    <w:rsid w:val="48A66A02"/>
    <w:rsid w:val="48AE3C4C"/>
    <w:rsid w:val="48AE76E2"/>
    <w:rsid w:val="48BC1937"/>
    <w:rsid w:val="48C83AF6"/>
    <w:rsid w:val="48C848DA"/>
    <w:rsid w:val="48CD7546"/>
    <w:rsid w:val="48D13C35"/>
    <w:rsid w:val="48D83DF3"/>
    <w:rsid w:val="48ED73F7"/>
    <w:rsid w:val="48EE30FE"/>
    <w:rsid w:val="48F30C2D"/>
    <w:rsid w:val="48FA5654"/>
    <w:rsid w:val="48FE6D16"/>
    <w:rsid w:val="490270C2"/>
    <w:rsid w:val="490715A5"/>
    <w:rsid w:val="492359B6"/>
    <w:rsid w:val="4925486E"/>
    <w:rsid w:val="49263CF7"/>
    <w:rsid w:val="49290AF3"/>
    <w:rsid w:val="492D715F"/>
    <w:rsid w:val="49316E28"/>
    <w:rsid w:val="493556E9"/>
    <w:rsid w:val="493A4AAE"/>
    <w:rsid w:val="49423FC2"/>
    <w:rsid w:val="49463453"/>
    <w:rsid w:val="494646C9"/>
    <w:rsid w:val="494C691B"/>
    <w:rsid w:val="49546944"/>
    <w:rsid w:val="495B038B"/>
    <w:rsid w:val="495E19B4"/>
    <w:rsid w:val="496F29A9"/>
    <w:rsid w:val="497A134E"/>
    <w:rsid w:val="498A6904"/>
    <w:rsid w:val="499B0DB3"/>
    <w:rsid w:val="49B54134"/>
    <w:rsid w:val="49BC41D0"/>
    <w:rsid w:val="49BD74DC"/>
    <w:rsid w:val="49BE123B"/>
    <w:rsid w:val="49C7262C"/>
    <w:rsid w:val="49CD792E"/>
    <w:rsid w:val="49DA3B9B"/>
    <w:rsid w:val="49DE1F49"/>
    <w:rsid w:val="49DE5801"/>
    <w:rsid w:val="49E1317B"/>
    <w:rsid w:val="49F11610"/>
    <w:rsid w:val="49F705E8"/>
    <w:rsid w:val="4A065CEC"/>
    <w:rsid w:val="4A074B0F"/>
    <w:rsid w:val="4A0A3EF5"/>
    <w:rsid w:val="4A0D3F70"/>
    <w:rsid w:val="4A0F7CE8"/>
    <w:rsid w:val="4A205A52"/>
    <w:rsid w:val="4A2332A1"/>
    <w:rsid w:val="4A3B6D2F"/>
    <w:rsid w:val="4A471230"/>
    <w:rsid w:val="4A637DAD"/>
    <w:rsid w:val="4A673681"/>
    <w:rsid w:val="4A6B25AA"/>
    <w:rsid w:val="4A7D6761"/>
    <w:rsid w:val="4A8561FD"/>
    <w:rsid w:val="4A8764E5"/>
    <w:rsid w:val="4A8C1339"/>
    <w:rsid w:val="4A954692"/>
    <w:rsid w:val="4A9C34E6"/>
    <w:rsid w:val="4AAE5753"/>
    <w:rsid w:val="4AC46D25"/>
    <w:rsid w:val="4ACB1AD6"/>
    <w:rsid w:val="4ACB459D"/>
    <w:rsid w:val="4ACE3B43"/>
    <w:rsid w:val="4AD14F9E"/>
    <w:rsid w:val="4ADD7182"/>
    <w:rsid w:val="4AE03C0B"/>
    <w:rsid w:val="4AE1759E"/>
    <w:rsid w:val="4AE97EF2"/>
    <w:rsid w:val="4AFE13FC"/>
    <w:rsid w:val="4B126760"/>
    <w:rsid w:val="4B2050FF"/>
    <w:rsid w:val="4B2C48CA"/>
    <w:rsid w:val="4B2E419E"/>
    <w:rsid w:val="4B3B68BB"/>
    <w:rsid w:val="4B3D2633"/>
    <w:rsid w:val="4B3F00A5"/>
    <w:rsid w:val="4B475260"/>
    <w:rsid w:val="4B5160DF"/>
    <w:rsid w:val="4B6740DF"/>
    <w:rsid w:val="4B7E3C72"/>
    <w:rsid w:val="4B7F2C4C"/>
    <w:rsid w:val="4B8614D9"/>
    <w:rsid w:val="4B8E5E8B"/>
    <w:rsid w:val="4B9366F7"/>
    <w:rsid w:val="4B983D81"/>
    <w:rsid w:val="4B9E1324"/>
    <w:rsid w:val="4BA91A77"/>
    <w:rsid w:val="4BBA1FCA"/>
    <w:rsid w:val="4BBB3CBE"/>
    <w:rsid w:val="4BBF129A"/>
    <w:rsid w:val="4BBF20A9"/>
    <w:rsid w:val="4BC13264"/>
    <w:rsid w:val="4BC468B1"/>
    <w:rsid w:val="4BD96F32"/>
    <w:rsid w:val="4BE51871"/>
    <w:rsid w:val="4BEE3E8C"/>
    <w:rsid w:val="4BF52F0E"/>
    <w:rsid w:val="4BFF5B3B"/>
    <w:rsid w:val="4C025EBB"/>
    <w:rsid w:val="4C094FBF"/>
    <w:rsid w:val="4C0D4CDA"/>
    <w:rsid w:val="4C110EEC"/>
    <w:rsid w:val="4C15710C"/>
    <w:rsid w:val="4C196BFC"/>
    <w:rsid w:val="4C2537F3"/>
    <w:rsid w:val="4C2B64CE"/>
    <w:rsid w:val="4C4719BC"/>
    <w:rsid w:val="4C473140"/>
    <w:rsid w:val="4C510125"/>
    <w:rsid w:val="4C573346"/>
    <w:rsid w:val="4C5E4F57"/>
    <w:rsid w:val="4C63431C"/>
    <w:rsid w:val="4C727118"/>
    <w:rsid w:val="4C75719F"/>
    <w:rsid w:val="4C833B69"/>
    <w:rsid w:val="4C8C5F6D"/>
    <w:rsid w:val="4C8E6EB1"/>
    <w:rsid w:val="4C9D782D"/>
    <w:rsid w:val="4CA23096"/>
    <w:rsid w:val="4CAC5CC3"/>
    <w:rsid w:val="4CAC79AF"/>
    <w:rsid w:val="4CAE47FD"/>
    <w:rsid w:val="4CC90623"/>
    <w:rsid w:val="4CD527F9"/>
    <w:rsid w:val="4CD6689C"/>
    <w:rsid w:val="4CEA5B9F"/>
    <w:rsid w:val="4CF015CD"/>
    <w:rsid w:val="4CF15A85"/>
    <w:rsid w:val="4CF70834"/>
    <w:rsid w:val="4D043409"/>
    <w:rsid w:val="4D1B26B0"/>
    <w:rsid w:val="4D1C4CF2"/>
    <w:rsid w:val="4D1F0243"/>
    <w:rsid w:val="4D341814"/>
    <w:rsid w:val="4D3519E8"/>
    <w:rsid w:val="4D3B1C54"/>
    <w:rsid w:val="4D3E28A0"/>
    <w:rsid w:val="4D461C73"/>
    <w:rsid w:val="4D470B7A"/>
    <w:rsid w:val="4D6B16DA"/>
    <w:rsid w:val="4D73233C"/>
    <w:rsid w:val="4D8E5937"/>
    <w:rsid w:val="4D8E7176"/>
    <w:rsid w:val="4D9001A3"/>
    <w:rsid w:val="4D987FF5"/>
    <w:rsid w:val="4DB71498"/>
    <w:rsid w:val="4DB72B71"/>
    <w:rsid w:val="4DCB0E87"/>
    <w:rsid w:val="4DD302B1"/>
    <w:rsid w:val="4DD33CB9"/>
    <w:rsid w:val="4DE35714"/>
    <w:rsid w:val="4DE423C6"/>
    <w:rsid w:val="4DE80F7C"/>
    <w:rsid w:val="4DEC3EB2"/>
    <w:rsid w:val="4E0062C6"/>
    <w:rsid w:val="4E0B07C7"/>
    <w:rsid w:val="4E133CD7"/>
    <w:rsid w:val="4E1E383A"/>
    <w:rsid w:val="4E2E22A8"/>
    <w:rsid w:val="4E2F0959"/>
    <w:rsid w:val="4E391DC2"/>
    <w:rsid w:val="4E3C6BD2"/>
    <w:rsid w:val="4E5B79A0"/>
    <w:rsid w:val="4E5F22D3"/>
    <w:rsid w:val="4E656129"/>
    <w:rsid w:val="4E685C19"/>
    <w:rsid w:val="4E6C4E22"/>
    <w:rsid w:val="4E74636C"/>
    <w:rsid w:val="4E796078"/>
    <w:rsid w:val="4E7E543D"/>
    <w:rsid w:val="4E9314BE"/>
    <w:rsid w:val="4E9B5FEF"/>
    <w:rsid w:val="4E9F20E6"/>
    <w:rsid w:val="4EA81BA1"/>
    <w:rsid w:val="4EB1309C"/>
    <w:rsid w:val="4EC70551"/>
    <w:rsid w:val="4EC93427"/>
    <w:rsid w:val="4EDE30DC"/>
    <w:rsid w:val="4EF456FF"/>
    <w:rsid w:val="4EFE20DA"/>
    <w:rsid w:val="4F057FD4"/>
    <w:rsid w:val="4F1028CB"/>
    <w:rsid w:val="4F117784"/>
    <w:rsid w:val="4F127F44"/>
    <w:rsid w:val="4F15503D"/>
    <w:rsid w:val="4F174E7F"/>
    <w:rsid w:val="4F1E789E"/>
    <w:rsid w:val="4F1F09CE"/>
    <w:rsid w:val="4F2E13EF"/>
    <w:rsid w:val="4F3D0E54"/>
    <w:rsid w:val="4F4026F2"/>
    <w:rsid w:val="4F440434"/>
    <w:rsid w:val="4F483026"/>
    <w:rsid w:val="4F4A28F8"/>
    <w:rsid w:val="4F4C79CB"/>
    <w:rsid w:val="4F4E7E9B"/>
    <w:rsid w:val="4F545138"/>
    <w:rsid w:val="4F5D5052"/>
    <w:rsid w:val="4F6732A3"/>
    <w:rsid w:val="4F714FA1"/>
    <w:rsid w:val="4F734876"/>
    <w:rsid w:val="4F762AE3"/>
    <w:rsid w:val="4F781E8C"/>
    <w:rsid w:val="4F7D56F4"/>
    <w:rsid w:val="4F876573"/>
    <w:rsid w:val="4F8B6063"/>
    <w:rsid w:val="4FA06B21"/>
    <w:rsid w:val="4FA45A24"/>
    <w:rsid w:val="4FAB2261"/>
    <w:rsid w:val="4FB56C3C"/>
    <w:rsid w:val="4FB66B40"/>
    <w:rsid w:val="4FBA4479"/>
    <w:rsid w:val="4FBF7ABB"/>
    <w:rsid w:val="4FF86478"/>
    <w:rsid w:val="500377B9"/>
    <w:rsid w:val="50141055"/>
    <w:rsid w:val="501606C3"/>
    <w:rsid w:val="5019541D"/>
    <w:rsid w:val="501C5049"/>
    <w:rsid w:val="501E2357"/>
    <w:rsid w:val="50205988"/>
    <w:rsid w:val="502070E9"/>
    <w:rsid w:val="50245B70"/>
    <w:rsid w:val="502B20C0"/>
    <w:rsid w:val="503D01FE"/>
    <w:rsid w:val="504558D1"/>
    <w:rsid w:val="50495C03"/>
    <w:rsid w:val="504D48EB"/>
    <w:rsid w:val="50526B81"/>
    <w:rsid w:val="50547184"/>
    <w:rsid w:val="50577CF3"/>
    <w:rsid w:val="505C165F"/>
    <w:rsid w:val="50616DC4"/>
    <w:rsid w:val="506177CB"/>
    <w:rsid w:val="50722D7F"/>
    <w:rsid w:val="5076286F"/>
    <w:rsid w:val="50880023"/>
    <w:rsid w:val="5089213E"/>
    <w:rsid w:val="508A42C1"/>
    <w:rsid w:val="508F4DC0"/>
    <w:rsid w:val="5091122C"/>
    <w:rsid w:val="50946E92"/>
    <w:rsid w:val="50953188"/>
    <w:rsid w:val="50A60343"/>
    <w:rsid w:val="50A62A29"/>
    <w:rsid w:val="50AD3DB7"/>
    <w:rsid w:val="50AE1DF5"/>
    <w:rsid w:val="50AF3741"/>
    <w:rsid w:val="50B23A4D"/>
    <w:rsid w:val="50BC3FFA"/>
    <w:rsid w:val="50C10A2C"/>
    <w:rsid w:val="50D374B5"/>
    <w:rsid w:val="50D83982"/>
    <w:rsid w:val="50DD0962"/>
    <w:rsid w:val="50E10C1D"/>
    <w:rsid w:val="50E32E48"/>
    <w:rsid w:val="50FF5739"/>
    <w:rsid w:val="510A61FD"/>
    <w:rsid w:val="510F79C5"/>
    <w:rsid w:val="51183927"/>
    <w:rsid w:val="5119643C"/>
    <w:rsid w:val="511E4CB5"/>
    <w:rsid w:val="51213DF8"/>
    <w:rsid w:val="512F58B0"/>
    <w:rsid w:val="513B5867"/>
    <w:rsid w:val="513D71EF"/>
    <w:rsid w:val="513E25B9"/>
    <w:rsid w:val="513E5A39"/>
    <w:rsid w:val="514618BA"/>
    <w:rsid w:val="514C15EB"/>
    <w:rsid w:val="514E10F6"/>
    <w:rsid w:val="514E6A25"/>
    <w:rsid w:val="5152229B"/>
    <w:rsid w:val="51597A9B"/>
    <w:rsid w:val="51610E6A"/>
    <w:rsid w:val="51621DB9"/>
    <w:rsid w:val="51633D24"/>
    <w:rsid w:val="5167665C"/>
    <w:rsid w:val="516C77CE"/>
    <w:rsid w:val="51713037"/>
    <w:rsid w:val="51736DAF"/>
    <w:rsid w:val="51742231"/>
    <w:rsid w:val="51762BC5"/>
    <w:rsid w:val="517D19DC"/>
    <w:rsid w:val="518A5EA7"/>
    <w:rsid w:val="518C0E58"/>
    <w:rsid w:val="51A52CE0"/>
    <w:rsid w:val="51B7313F"/>
    <w:rsid w:val="51BF1FF4"/>
    <w:rsid w:val="51C07B1A"/>
    <w:rsid w:val="51C94131"/>
    <w:rsid w:val="51D84E64"/>
    <w:rsid w:val="51E90E1F"/>
    <w:rsid w:val="51F55A16"/>
    <w:rsid w:val="520C3185"/>
    <w:rsid w:val="521A1920"/>
    <w:rsid w:val="521A547C"/>
    <w:rsid w:val="521C11F4"/>
    <w:rsid w:val="52206A34"/>
    <w:rsid w:val="522209B2"/>
    <w:rsid w:val="52266A2A"/>
    <w:rsid w:val="522B2747"/>
    <w:rsid w:val="52354064"/>
    <w:rsid w:val="523835F9"/>
    <w:rsid w:val="523F3135"/>
    <w:rsid w:val="524423CF"/>
    <w:rsid w:val="524742A6"/>
    <w:rsid w:val="525677EB"/>
    <w:rsid w:val="52584B5E"/>
    <w:rsid w:val="52666914"/>
    <w:rsid w:val="526A6399"/>
    <w:rsid w:val="52720E14"/>
    <w:rsid w:val="5272350A"/>
    <w:rsid w:val="52775016"/>
    <w:rsid w:val="527F1783"/>
    <w:rsid w:val="52953522"/>
    <w:rsid w:val="52AB2F2C"/>
    <w:rsid w:val="52AF5DB5"/>
    <w:rsid w:val="52BE42FB"/>
    <w:rsid w:val="52C127EF"/>
    <w:rsid w:val="52C553E8"/>
    <w:rsid w:val="52DA40DA"/>
    <w:rsid w:val="52E00474"/>
    <w:rsid w:val="52E14AF7"/>
    <w:rsid w:val="52E15F9A"/>
    <w:rsid w:val="52E3195F"/>
    <w:rsid w:val="52EF7C4F"/>
    <w:rsid w:val="52FD1026"/>
    <w:rsid w:val="530D4875"/>
    <w:rsid w:val="530F48B5"/>
    <w:rsid w:val="531445C2"/>
    <w:rsid w:val="531F3169"/>
    <w:rsid w:val="532145E9"/>
    <w:rsid w:val="533267F6"/>
    <w:rsid w:val="533671B0"/>
    <w:rsid w:val="53476745"/>
    <w:rsid w:val="534A583A"/>
    <w:rsid w:val="535C3E1A"/>
    <w:rsid w:val="535D7D17"/>
    <w:rsid w:val="536F2469"/>
    <w:rsid w:val="538746FC"/>
    <w:rsid w:val="538E6122"/>
    <w:rsid w:val="53986006"/>
    <w:rsid w:val="53C102A5"/>
    <w:rsid w:val="53C438F2"/>
    <w:rsid w:val="53C70524"/>
    <w:rsid w:val="53C9715A"/>
    <w:rsid w:val="53CB20A7"/>
    <w:rsid w:val="53CC09F8"/>
    <w:rsid w:val="53D224B3"/>
    <w:rsid w:val="53D97B36"/>
    <w:rsid w:val="53DE5859"/>
    <w:rsid w:val="53E41E35"/>
    <w:rsid w:val="53EE433A"/>
    <w:rsid w:val="53F43369"/>
    <w:rsid w:val="54002651"/>
    <w:rsid w:val="54143355"/>
    <w:rsid w:val="54165D78"/>
    <w:rsid w:val="541E78FD"/>
    <w:rsid w:val="54200489"/>
    <w:rsid w:val="542645AC"/>
    <w:rsid w:val="542F5533"/>
    <w:rsid w:val="54332825"/>
    <w:rsid w:val="543640C4"/>
    <w:rsid w:val="54493198"/>
    <w:rsid w:val="544E3886"/>
    <w:rsid w:val="54663865"/>
    <w:rsid w:val="546D36B7"/>
    <w:rsid w:val="5470584C"/>
    <w:rsid w:val="54737B83"/>
    <w:rsid w:val="5474356A"/>
    <w:rsid w:val="54752E3E"/>
    <w:rsid w:val="548968E9"/>
    <w:rsid w:val="549332C4"/>
    <w:rsid w:val="549B2978"/>
    <w:rsid w:val="54A83A59"/>
    <w:rsid w:val="54AB4AB2"/>
    <w:rsid w:val="54B24875"/>
    <w:rsid w:val="54B93CBC"/>
    <w:rsid w:val="54CC5154"/>
    <w:rsid w:val="54D9517B"/>
    <w:rsid w:val="54E3424B"/>
    <w:rsid w:val="54E67898"/>
    <w:rsid w:val="54EF4724"/>
    <w:rsid w:val="55216C10"/>
    <w:rsid w:val="55237B12"/>
    <w:rsid w:val="55390FC3"/>
    <w:rsid w:val="55467430"/>
    <w:rsid w:val="55487546"/>
    <w:rsid w:val="554C1F36"/>
    <w:rsid w:val="55571B27"/>
    <w:rsid w:val="555F232B"/>
    <w:rsid w:val="55674641"/>
    <w:rsid w:val="55684AE1"/>
    <w:rsid w:val="55697BBC"/>
    <w:rsid w:val="557072DC"/>
    <w:rsid w:val="557650C0"/>
    <w:rsid w:val="557A1666"/>
    <w:rsid w:val="55804A87"/>
    <w:rsid w:val="558516D8"/>
    <w:rsid w:val="558E065B"/>
    <w:rsid w:val="55954D7C"/>
    <w:rsid w:val="55986710"/>
    <w:rsid w:val="559A1DA6"/>
    <w:rsid w:val="55A0213D"/>
    <w:rsid w:val="55AC0C03"/>
    <w:rsid w:val="55B024DF"/>
    <w:rsid w:val="55B42ADC"/>
    <w:rsid w:val="55B81234"/>
    <w:rsid w:val="55D0369C"/>
    <w:rsid w:val="55D05579"/>
    <w:rsid w:val="55DB13C7"/>
    <w:rsid w:val="55DC7658"/>
    <w:rsid w:val="55E32FDD"/>
    <w:rsid w:val="55E40E17"/>
    <w:rsid w:val="55E42029"/>
    <w:rsid w:val="55E942E3"/>
    <w:rsid w:val="55F1536E"/>
    <w:rsid w:val="55F57453"/>
    <w:rsid w:val="55F77D8C"/>
    <w:rsid w:val="55FA689A"/>
    <w:rsid w:val="55FD0ED7"/>
    <w:rsid w:val="560A0081"/>
    <w:rsid w:val="561246D1"/>
    <w:rsid w:val="56173809"/>
    <w:rsid w:val="561F5757"/>
    <w:rsid w:val="56290384"/>
    <w:rsid w:val="563A5C76"/>
    <w:rsid w:val="563A7131"/>
    <w:rsid w:val="563C1E65"/>
    <w:rsid w:val="56486438"/>
    <w:rsid w:val="5652748F"/>
    <w:rsid w:val="565A22EB"/>
    <w:rsid w:val="5663781F"/>
    <w:rsid w:val="56707D61"/>
    <w:rsid w:val="567F1D52"/>
    <w:rsid w:val="567F5DEC"/>
    <w:rsid w:val="56842916"/>
    <w:rsid w:val="568D1ECE"/>
    <w:rsid w:val="56930FE4"/>
    <w:rsid w:val="569D66FD"/>
    <w:rsid w:val="569F23F4"/>
    <w:rsid w:val="56A0670B"/>
    <w:rsid w:val="56A53BA1"/>
    <w:rsid w:val="56AC4BB2"/>
    <w:rsid w:val="56D71B8E"/>
    <w:rsid w:val="56DC0F52"/>
    <w:rsid w:val="56E33834"/>
    <w:rsid w:val="57014E5D"/>
    <w:rsid w:val="57024DD5"/>
    <w:rsid w:val="5723775D"/>
    <w:rsid w:val="572C012C"/>
    <w:rsid w:val="572C1D0F"/>
    <w:rsid w:val="573174F0"/>
    <w:rsid w:val="5737262D"/>
    <w:rsid w:val="57392849"/>
    <w:rsid w:val="57436E8D"/>
    <w:rsid w:val="574877CF"/>
    <w:rsid w:val="57491FAC"/>
    <w:rsid w:val="57560D05"/>
    <w:rsid w:val="5756749B"/>
    <w:rsid w:val="57607B1F"/>
    <w:rsid w:val="57622118"/>
    <w:rsid w:val="576673BF"/>
    <w:rsid w:val="57727A98"/>
    <w:rsid w:val="577C3BB3"/>
    <w:rsid w:val="57853BD7"/>
    <w:rsid w:val="579009BF"/>
    <w:rsid w:val="579F40B4"/>
    <w:rsid w:val="57A203EE"/>
    <w:rsid w:val="57A729EE"/>
    <w:rsid w:val="57B65997"/>
    <w:rsid w:val="57B65C47"/>
    <w:rsid w:val="57CA16F3"/>
    <w:rsid w:val="57DB745C"/>
    <w:rsid w:val="57DE20AF"/>
    <w:rsid w:val="57E02CC4"/>
    <w:rsid w:val="57E44562"/>
    <w:rsid w:val="57E74053"/>
    <w:rsid w:val="57E80FEC"/>
    <w:rsid w:val="57E96661"/>
    <w:rsid w:val="57EF1A7A"/>
    <w:rsid w:val="57F30C49"/>
    <w:rsid w:val="57F61E26"/>
    <w:rsid w:val="57FE314A"/>
    <w:rsid w:val="580F5357"/>
    <w:rsid w:val="581B5AAA"/>
    <w:rsid w:val="58252748"/>
    <w:rsid w:val="5827444F"/>
    <w:rsid w:val="58277B25"/>
    <w:rsid w:val="582B03E3"/>
    <w:rsid w:val="583D0117"/>
    <w:rsid w:val="58476163"/>
    <w:rsid w:val="585316E8"/>
    <w:rsid w:val="585D4315"/>
    <w:rsid w:val="586E5BF0"/>
    <w:rsid w:val="586F76E0"/>
    <w:rsid w:val="5881245A"/>
    <w:rsid w:val="58853078"/>
    <w:rsid w:val="5892554F"/>
    <w:rsid w:val="589A2E73"/>
    <w:rsid w:val="589A6EED"/>
    <w:rsid w:val="58A33D6F"/>
    <w:rsid w:val="58A81A34"/>
    <w:rsid w:val="58B037A1"/>
    <w:rsid w:val="58C90C87"/>
    <w:rsid w:val="58CF78EC"/>
    <w:rsid w:val="58D45600"/>
    <w:rsid w:val="58D67B86"/>
    <w:rsid w:val="58DA5965"/>
    <w:rsid w:val="58DE5456"/>
    <w:rsid w:val="58E06213"/>
    <w:rsid w:val="58E94D2F"/>
    <w:rsid w:val="58EB3E63"/>
    <w:rsid w:val="58EE2BC9"/>
    <w:rsid w:val="590C38B8"/>
    <w:rsid w:val="590F3861"/>
    <w:rsid w:val="5916031E"/>
    <w:rsid w:val="592B61C1"/>
    <w:rsid w:val="59316535"/>
    <w:rsid w:val="59320F33"/>
    <w:rsid w:val="593926A8"/>
    <w:rsid w:val="59407EBE"/>
    <w:rsid w:val="59420C76"/>
    <w:rsid w:val="595C281E"/>
    <w:rsid w:val="59613991"/>
    <w:rsid w:val="596572F5"/>
    <w:rsid w:val="596841B7"/>
    <w:rsid w:val="596B2F52"/>
    <w:rsid w:val="596F3A2E"/>
    <w:rsid w:val="59701E26"/>
    <w:rsid w:val="59742F9E"/>
    <w:rsid w:val="597E09E7"/>
    <w:rsid w:val="597E1270"/>
    <w:rsid w:val="598A1C1A"/>
    <w:rsid w:val="5999312B"/>
    <w:rsid w:val="59A10231"/>
    <w:rsid w:val="59A16310"/>
    <w:rsid w:val="59A75213"/>
    <w:rsid w:val="59AF0BA0"/>
    <w:rsid w:val="59EA607C"/>
    <w:rsid w:val="59F322AD"/>
    <w:rsid w:val="59F4317B"/>
    <w:rsid w:val="59FF38D6"/>
    <w:rsid w:val="5A145471"/>
    <w:rsid w:val="5A1770BF"/>
    <w:rsid w:val="5A2234B9"/>
    <w:rsid w:val="5A274BDA"/>
    <w:rsid w:val="5A4623AC"/>
    <w:rsid w:val="5A4B0EB3"/>
    <w:rsid w:val="5A5474AC"/>
    <w:rsid w:val="5A581238"/>
    <w:rsid w:val="5A5F471A"/>
    <w:rsid w:val="5A7252BD"/>
    <w:rsid w:val="5A7871E4"/>
    <w:rsid w:val="5A7C7658"/>
    <w:rsid w:val="5A907813"/>
    <w:rsid w:val="5A9421F5"/>
    <w:rsid w:val="5A953CA8"/>
    <w:rsid w:val="5A9658BC"/>
    <w:rsid w:val="5AA35C89"/>
    <w:rsid w:val="5ACB52FC"/>
    <w:rsid w:val="5ACE70EB"/>
    <w:rsid w:val="5AD84127"/>
    <w:rsid w:val="5AE228D6"/>
    <w:rsid w:val="5AE8436A"/>
    <w:rsid w:val="5AEA43E4"/>
    <w:rsid w:val="5B062A42"/>
    <w:rsid w:val="5B1A029B"/>
    <w:rsid w:val="5B1E125F"/>
    <w:rsid w:val="5B302675"/>
    <w:rsid w:val="5B413A7A"/>
    <w:rsid w:val="5B463737"/>
    <w:rsid w:val="5B500161"/>
    <w:rsid w:val="5B576442"/>
    <w:rsid w:val="5B591DBE"/>
    <w:rsid w:val="5B6106BF"/>
    <w:rsid w:val="5B6B40F1"/>
    <w:rsid w:val="5B6B6D49"/>
    <w:rsid w:val="5B70610D"/>
    <w:rsid w:val="5B743E4F"/>
    <w:rsid w:val="5B7756EE"/>
    <w:rsid w:val="5B7B51DE"/>
    <w:rsid w:val="5B7C4BEC"/>
    <w:rsid w:val="5B7C6694"/>
    <w:rsid w:val="5B7F3AD9"/>
    <w:rsid w:val="5B8D04A3"/>
    <w:rsid w:val="5B8D6CBF"/>
    <w:rsid w:val="5B961CE4"/>
    <w:rsid w:val="5B9763EF"/>
    <w:rsid w:val="5B9861D5"/>
    <w:rsid w:val="5B9F068C"/>
    <w:rsid w:val="5BA332F6"/>
    <w:rsid w:val="5BAA7871"/>
    <w:rsid w:val="5BB1598F"/>
    <w:rsid w:val="5BD0773A"/>
    <w:rsid w:val="5BDB3ECE"/>
    <w:rsid w:val="5BDC0ECD"/>
    <w:rsid w:val="5BE56AFB"/>
    <w:rsid w:val="5BF00AB9"/>
    <w:rsid w:val="5BF1001D"/>
    <w:rsid w:val="5BF40781"/>
    <w:rsid w:val="5BFC461E"/>
    <w:rsid w:val="5C034B53"/>
    <w:rsid w:val="5C0C4088"/>
    <w:rsid w:val="5C1318BA"/>
    <w:rsid w:val="5C1D0043"/>
    <w:rsid w:val="5C1E0FE0"/>
    <w:rsid w:val="5C1F359E"/>
    <w:rsid w:val="5C2515ED"/>
    <w:rsid w:val="5C2F421A"/>
    <w:rsid w:val="5C3830CF"/>
    <w:rsid w:val="5C3A5C61"/>
    <w:rsid w:val="5C3D06E5"/>
    <w:rsid w:val="5C4149E6"/>
    <w:rsid w:val="5C4A2E02"/>
    <w:rsid w:val="5C4F0418"/>
    <w:rsid w:val="5C5207F5"/>
    <w:rsid w:val="5C5B0B6B"/>
    <w:rsid w:val="5C6B2575"/>
    <w:rsid w:val="5C777E0A"/>
    <w:rsid w:val="5C7B2FBB"/>
    <w:rsid w:val="5C8528F0"/>
    <w:rsid w:val="5C8C5BE6"/>
    <w:rsid w:val="5CA2297D"/>
    <w:rsid w:val="5CB31611"/>
    <w:rsid w:val="5CCA76F5"/>
    <w:rsid w:val="5CCD42E1"/>
    <w:rsid w:val="5CD901EE"/>
    <w:rsid w:val="5CE15514"/>
    <w:rsid w:val="5CE35BEB"/>
    <w:rsid w:val="5CE60D7D"/>
    <w:rsid w:val="5CF02F03"/>
    <w:rsid w:val="5D0501C0"/>
    <w:rsid w:val="5D07484F"/>
    <w:rsid w:val="5D094A6B"/>
    <w:rsid w:val="5D1610E5"/>
    <w:rsid w:val="5D1F428F"/>
    <w:rsid w:val="5D215048"/>
    <w:rsid w:val="5D23783A"/>
    <w:rsid w:val="5D2A305F"/>
    <w:rsid w:val="5D381BE1"/>
    <w:rsid w:val="5D3E4A7C"/>
    <w:rsid w:val="5D40331D"/>
    <w:rsid w:val="5D422441"/>
    <w:rsid w:val="5D486316"/>
    <w:rsid w:val="5D4B6E32"/>
    <w:rsid w:val="5D4D2B00"/>
    <w:rsid w:val="5D532672"/>
    <w:rsid w:val="5D5B4559"/>
    <w:rsid w:val="5D7243BE"/>
    <w:rsid w:val="5D7A7717"/>
    <w:rsid w:val="5D8B722E"/>
    <w:rsid w:val="5D8E0A0E"/>
    <w:rsid w:val="5D942E6E"/>
    <w:rsid w:val="5DA0424B"/>
    <w:rsid w:val="5DAD5F77"/>
    <w:rsid w:val="5DB0281E"/>
    <w:rsid w:val="5DE148D7"/>
    <w:rsid w:val="5DF9067E"/>
    <w:rsid w:val="5E0102B9"/>
    <w:rsid w:val="5E055233"/>
    <w:rsid w:val="5E0F60B1"/>
    <w:rsid w:val="5E115985"/>
    <w:rsid w:val="5E1831B8"/>
    <w:rsid w:val="5E1E62F4"/>
    <w:rsid w:val="5E265718"/>
    <w:rsid w:val="5E267A96"/>
    <w:rsid w:val="5E3177EA"/>
    <w:rsid w:val="5E4F64AE"/>
    <w:rsid w:val="5E543726"/>
    <w:rsid w:val="5E5A661E"/>
    <w:rsid w:val="5E5D05EE"/>
    <w:rsid w:val="5E6E2DD8"/>
    <w:rsid w:val="5E6E3499"/>
    <w:rsid w:val="5E8425FB"/>
    <w:rsid w:val="5E895B76"/>
    <w:rsid w:val="5E897C12"/>
    <w:rsid w:val="5E8F1717"/>
    <w:rsid w:val="5E9640DD"/>
    <w:rsid w:val="5EA66A16"/>
    <w:rsid w:val="5EB168FD"/>
    <w:rsid w:val="5EB74AFA"/>
    <w:rsid w:val="5EC80258"/>
    <w:rsid w:val="5ED46499"/>
    <w:rsid w:val="5ED74E21"/>
    <w:rsid w:val="5EE00278"/>
    <w:rsid w:val="5EFE1958"/>
    <w:rsid w:val="5F047CD6"/>
    <w:rsid w:val="5F056343"/>
    <w:rsid w:val="5F0D315A"/>
    <w:rsid w:val="5F0F7EFF"/>
    <w:rsid w:val="5F265D30"/>
    <w:rsid w:val="5F2931A3"/>
    <w:rsid w:val="5F2A1E16"/>
    <w:rsid w:val="5F2E68F6"/>
    <w:rsid w:val="5F304531"/>
    <w:rsid w:val="5F3062DF"/>
    <w:rsid w:val="5F3538F6"/>
    <w:rsid w:val="5F421AF7"/>
    <w:rsid w:val="5F454D59"/>
    <w:rsid w:val="5F4A53DD"/>
    <w:rsid w:val="5F4F37A0"/>
    <w:rsid w:val="5F506981"/>
    <w:rsid w:val="5F5C5326"/>
    <w:rsid w:val="5F681446"/>
    <w:rsid w:val="5F700DD2"/>
    <w:rsid w:val="5F7B4CDD"/>
    <w:rsid w:val="5F9A0CFC"/>
    <w:rsid w:val="5F9B7562"/>
    <w:rsid w:val="5FA25BBD"/>
    <w:rsid w:val="5FA360B5"/>
    <w:rsid w:val="5FAC2BC0"/>
    <w:rsid w:val="5FC01AAC"/>
    <w:rsid w:val="5FC82083"/>
    <w:rsid w:val="5FD5678C"/>
    <w:rsid w:val="5FD96977"/>
    <w:rsid w:val="5FEB2839"/>
    <w:rsid w:val="5FEC725A"/>
    <w:rsid w:val="5FEF102D"/>
    <w:rsid w:val="5FF92B75"/>
    <w:rsid w:val="5FFC41D3"/>
    <w:rsid w:val="5FFE63DD"/>
    <w:rsid w:val="600225BA"/>
    <w:rsid w:val="60046FC6"/>
    <w:rsid w:val="60071602"/>
    <w:rsid w:val="600853A0"/>
    <w:rsid w:val="601259E5"/>
    <w:rsid w:val="60132E4B"/>
    <w:rsid w:val="601479AF"/>
    <w:rsid w:val="601C261E"/>
    <w:rsid w:val="602776E2"/>
    <w:rsid w:val="602A11D8"/>
    <w:rsid w:val="6034283E"/>
    <w:rsid w:val="60356AA6"/>
    <w:rsid w:val="603A6C4E"/>
    <w:rsid w:val="603F0467"/>
    <w:rsid w:val="604C30D8"/>
    <w:rsid w:val="60596E8D"/>
    <w:rsid w:val="60676F4C"/>
    <w:rsid w:val="60730B79"/>
    <w:rsid w:val="607E307A"/>
    <w:rsid w:val="608F34D9"/>
    <w:rsid w:val="608F5287"/>
    <w:rsid w:val="60906C21"/>
    <w:rsid w:val="609E141A"/>
    <w:rsid w:val="60A10E81"/>
    <w:rsid w:val="60AD7720"/>
    <w:rsid w:val="60B64407"/>
    <w:rsid w:val="60C831F4"/>
    <w:rsid w:val="60C87E19"/>
    <w:rsid w:val="60C969EB"/>
    <w:rsid w:val="60D317FB"/>
    <w:rsid w:val="60D419BC"/>
    <w:rsid w:val="60DC3129"/>
    <w:rsid w:val="60E07AA7"/>
    <w:rsid w:val="60E22EDF"/>
    <w:rsid w:val="60EE1C3B"/>
    <w:rsid w:val="60F572E9"/>
    <w:rsid w:val="60FA4DF7"/>
    <w:rsid w:val="60FC3AC1"/>
    <w:rsid w:val="61077514"/>
    <w:rsid w:val="612754C0"/>
    <w:rsid w:val="612E30B2"/>
    <w:rsid w:val="612E5BDA"/>
    <w:rsid w:val="61357A4E"/>
    <w:rsid w:val="61385162"/>
    <w:rsid w:val="613A39B5"/>
    <w:rsid w:val="61477910"/>
    <w:rsid w:val="614B11AE"/>
    <w:rsid w:val="61534E9C"/>
    <w:rsid w:val="615838CB"/>
    <w:rsid w:val="615C160D"/>
    <w:rsid w:val="6162474A"/>
    <w:rsid w:val="617E5068"/>
    <w:rsid w:val="61804D92"/>
    <w:rsid w:val="61A134C4"/>
    <w:rsid w:val="61AE798F"/>
    <w:rsid w:val="61B65550"/>
    <w:rsid w:val="61B71418"/>
    <w:rsid w:val="61BC533C"/>
    <w:rsid w:val="61D52281"/>
    <w:rsid w:val="61D8096B"/>
    <w:rsid w:val="61DB0928"/>
    <w:rsid w:val="61DE3FE4"/>
    <w:rsid w:val="61E932B3"/>
    <w:rsid w:val="61EF2482"/>
    <w:rsid w:val="61F949B0"/>
    <w:rsid w:val="61FC40A6"/>
    <w:rsid w:val="620121B5"/>
    <w:rsid w:val="621C6FEF"/>
    <w:rsid w:val="62302AFC"/>
    <w:rsid w:val="62372D99"/>
    <w:rsid w:val="623813B5"/>
    <w:rsid w:val="62430EFD"/>
    <w:rsid w:val="62487DE4"/>
    <w:rsid w:val="625230A0"/>
    <w:rsid w:val="62533ECD"/>
    <w:rsid w:val="625F30D0"/>
    <w:rsid w:val="626A3E9A"/>
    <w:rsid w:val="627E55B4"/>
    <w:rsid w:val="62917095"/>
    <w:rsid w:val="62980944"/>
    <w:rsid w:val="6299419B"/>
    <w:rsid w:val="62A212A2"/>
    <w:rsid w:val="62AA26A5"/>
    <w:rsid w:val="62BD2580"/>
    <w:rsid w:val="62CA6A4B"/>
    <w:rsid w:val="62CC27C3"/>
    <w:rsid w:val="62CC712F"/>
    <w:rsid w:val="62CD0017"/>
    <w:rsid w:val="62DB2A06"/>
    <w:rsid w:val="62DF26A5"/>
    <w:rsid w:val="62EE44E7"/>
    <w:rsid w:val="62FF5E1D"/>
    <w:rsid w:val="63304B00"/>
    <w:rsid w:val="633510D6"/>
    <w:rsid w:val="63473C42"/>
    <w:rsid w:val="634D560B"/>
    <w:rsid w:val="634E142A"/>
    <w:rsid w:val="636F3375"/>
    <w:rsid w:val="6375477B"/>
    <w:rsid w:val="638766EA"/>
    <w:rsid w:val="639B7912"/>
    <w:rsid w:val="639D7CBB"/>
    <w:rsid w:val="63A728E8"/>
    <w:rsid w:val="63B11523"/>
    <w:rsid w:val="63B26BF6"/>
    <w:rsid w:val="63B76FCF"/>
    <w:rsid w:val="63DC1721"/>
    <w:rsid w:val="63DC3EA2"/>
    <w:rsid w:val="63E77EFB"/>
    <w:rsid w:val="63F33E3E"/>
    <w:rsid w:val="63F35869"/>
    <w:rsid w:val="63F43D7F"/>
    <w:rsid w:val="63FB7C5B"/>
    <w:rsid w:val="64016DD0"/>
    <w:rsid w:val="640B1CE3"/>
    <w:rsid w:val="640E45C0"/>
    <w:rsid w:val="641461CF"/>
    <w:rsid w:val="642F2780"/>
    <w:rsid w:val="643A73B9"/>
    <w:rsid w:val="643E4FFA"/>
    <w:rsid w:val="64410B11"/>
    <w:rsid w:val="64462101"/>
    <w:rsid w:val="644956B2"/>
    <w:rsid w:val="64572560"/>
    <w:rsid w:val="64614B24"/>
    <w:rsid w:val="64632CB3"/>
    <w:rsid w:val="64684A9D"/>
    <w:rsid w:val="646A27B1"/>
    <w:rsid w:val="646D58E0"/>
    <w:rsid w:val="64801AB7"/>
    <w:rsid w:val="64920802"/>
    <w:rsid w:val="64952E51"/>
    <w:rsid w:val="649542B0"/>
    <w:rsid w:val="64963088"/>
    <w:rsid w:val="64975883"/>
    <w:rsid w:val="64AF08A5"/>
    <w:rsid w:val="64AF7CA6"/>
    <w:rsid w:val="64C92D35"/>
    <w:rsid w:val="64EC5304"/>
    <w:rsid w:val="64F102BF"/>
    <w:rsid w:val="650D7400"/>
    <w:rsid w:val="651435D8"/>
    <w:rsid w:val="65146C1E"/>
    <w:rsid w:val="651D29D6"/>
    <w:rsid w:val="651D5558"/>
    <w:rsid w:val="652266CA"/>
    <w:rsid w:val="65257580"/>
    <w:rsid w:val="6529468E"/>
    <w:rsid w:val="652B2944"/>
    <w:rsid w:val="653F54CE"/>
    <w:rsid w:val="65515201"/>
    <w:rsid w:val="65531A0A"/>
    <w:rsid w:val="65547995"/>
    <w:rsid w:val="655F347A"/>
    <w:rsid w:val="657872E1"/>
    <w:rsid w:val="65842F4D"/>
    <w:rsid w:val="659A6BA8"/>
    <w:rsid w:val="65A33FC7"/>
    <w:rsid w:val="65A45288"/>
    <w:rsid w:val="65A93A97"/>
    <w:rsid w:val="65BF5B3A"/>
    <w:rsid w:val="65C81F29"/>
    <w:rsid w:val="65D26342"/>
    <w:rsid w:val="65DF6369"/>
    <w:rsid w:val="65E05E34"/>
    <w:rsid w:val="65E57439"/>
    <w:rsid w:val="65F362B8"/>
    <w:rsid w:val="66075638"/>
    <w:rsid w:val="66136E8B"/>
    <w:rsid w:val="66140709"/>
    <w:rsid w:val="661E50E3"/>
    <w:rsid w:val="66240A32"/>
    <w:rsid w:val="66252916"/>
    <w:rsid w:val="663C04DA"/>
    <w:rsid w:val="664D1D37"/>
    <w:rsid w:val="66576CDC"/>
    <w:rsid w:val="665C3E5E"/>
    <w:rsid w:val="6667423B"/>
    <w:rsid w:val="66680388"/>
    <w:rsid w:val="666A4129"/>
    <w:rsid w:val="666D606B"/>
    <w:rsid w:val="667271DD"/>
    <w:rsid w:val="66805501"/>
    <w:rsid w:val="66813D52"/>
    <w:rsid w:val="6686712D"/>
    <w:rsid w:val="668C4743"/>
    <w:rsid w:val="668E2B5F"/>
    <w:rsid w:val="669058B0"/>
    <w:rsid w:val="66A544E2"/>
    <w:rsid w:val="66A55805"/>
    <w:rsid w:val="66A870A3"/>
    <w:rsid w:val="66B009A1"/>
    <w:rsid w:val="66B5531C"/>
    <w:rsid w:val="66B614F8"/>
    <w:rsid w:val="66B87FAA"/>
    <w:rsid w:val="66C43F6D"/>
    <w:rsid w:val="66CC0FE3"/>
    <w:rsid w:val="66DC2F18"/>
    <w:rsid w:val="66E06471"/>
    <w:rsid w:val="66E31636"/>
    <w:rsid w:val="66E31F99"/>
    <w:rsid w:val="66E77BCB"/>
    <w:rsid w:val="66FC5136"/>
    <w:rsid w:val="67011240"/>
    <w:rsid w:val="670769EF"/>
    <w:rsid w:val="67081B62"/>
    <w:rsid w:val="670901AC"/>
    <w:rsid w:val="670B5E14"/>
    <w:rsid w:val="670E39CB"/>
    <w:rsid w:val="670F2C7E"/>
    <w:rsid w:val="6718672E"/>
    <w:rsid w:val="672229B1"/>
    <w:rsid w:val="672E1BB9"/>
    <w:rsid w:val="67397CFB"/>
    <w:rsid w:val="673B1CC5"/>
    <w:rsid w:val="673F3837"/>
    <w:rsid w:val="67464960"/>
    <w:rsid w:val="674943E2"/>
    <w:rsid w:val="674E29F1"/>
    <w:rsid w:val="67507348"/>
    <w:rsid w:val="675A3684"/>
    <w:rsid w:val="67627DAD"/>
    <w:rsid w:val="676A4358"/>
    <w:rsid w:val="677547A6"/>
    <w:rsid w:val="6777136E"/>
    <w:rsid w:val="67780EE9"/>
    <w:rsid w:val="67804F52"/>
    <w:rsid w:val="67A45ABC"/>
    <w:rsid w:val="67A94E81"/>
    <w:rsid w:val="67B038D7"/>
    <w:rsid w:val="67C47F0C"/>
    <w:rsid w:val="67C777C4"/>
    <w:rsid w:val="67CE5F06"/>
    <w:rsid w:val="67D0240D"/>
    <w:rsid w:val="67DC3FAC"/>
    <w:rsid w:val="67E1286C"/>
    <w:rsid w:val="67FA0C0D"/>
    <w:rsid w:val="67FF4C3E"/>
    <w:rsid w:val="68016A6B"/>
    <w:rsid w:val="680208B4"/>
    <w:rsid w:val="68142C42"/>
    <w:rsid w:val="68156FD0"/>
    <w:rsid w:val="681D4695"/>
    <w:rsid w:val="68246BFD"/>
    <w:rsid w:val="683010FE"/>
    <w:rsid w:val="683055A2"/>
    <w:rsid w:val="684626D0"/>
    <w:rsid w:val="68484560"/>
    <w:rsid w:val="684E271D"/>
    <w:rsid w:val="684E5A28"/>
    <w:rsid w:val="68614A86"/>
    <w:rsid w:val="68717079"/>
    <w:rsid w:val="68790CF7"/>
    <w:rsid w:val="68854606"/>
    <w:rsid w:val="688B78A6"/>
    <w:rsid w:val="688F781D"/>
    <w:rsid w:val="689567EB"/>
    <w:rsid w:val="68996CA3"/>
    <w:rsid w:val="68B03FED"/>
    <w:rsid w:val="68BE670A"/>
    <w:rsid w:val="68D2558C"/>
    <w:rsid w:val="68E048D2"/>
    <w:rsid w:val="68E94ED4"/>
    <w:rsid w:val="68ED5241"/>
    <w:rsid w:val="68F0088D"/>
    <w:rsid w:val="68F1213F"/>
    <w:rsid w:val="68F27821"/>
    <w:rsid w:val="68F640F6"/>
    <w:rsid w:val="68FD4A1E"/>
    <w:rsid w:val="6908207B"/>
    <w:rsid w:val="690F22C5"/>
    <w:rsid w:val="690F6F65"/>
    <w:rsid w:val="69161CEC"/>
    <w:rsid w:val="691630DF"/>
    <w:rsid w:val="69230C63"/>
    <w:rsid w:val="6924638E"/>
    <w:rsid w:val="69256789"/>
    <w:rsid w:val="69307669"/>
    <w:rsid w:val="69431329"/>
    <w:rsid w:val="69433957"/>
    <w:rsid w:val="69487489"/>
    <w:rsid w:val="694A2693"/>
    <w:rsid w:val="695C1E51"/>
    <w:rsid w:val="696F6E4A"/>
    <w:rsid w:val="69717C20"/>
    <w:rsid w:val="697257F6"/>
    <w:rsid w:val="69743D31"/>
    <w:rsid w:val="69796862"/>
    <w:rsid w:val="69847953"/>
    <w:rsid w:val="69954D44"/>
    <w:rsid w:val="699B2EEF"/>
    <w:rsid w:val="69A079F6"/>
    <w:rsid w:val="69AF4512"/>
    <w:rsid w:val="69B0699A"/>
    <w:rsid w:val="69B61AD7"/>
    <w:rsid w:val="69BC48E1"/>
    <w:rsid w:val="69BD4C13"/>
    <w:rsid w:val="69BF098B"/>
    <w:rsid w:val="69BF2D66"/>
    <w:rsid w:val="69C8232E"/>
    <w:rsid w:val="69D041F6"/>
    <w:rsid w:val="69DC7ED6"/>
    <w:rsid w:val="69DD3507"/>
    <w:rsid w:val="69DD7064"/>
    <w:rsid w:val="69E46644"/>
    <w:rsid w:val="69E74C2E"/>
    <w:rsid w:val="69F31215"/>
    <w:rsid w:val="6A0B1C0E"/>
    <w:rsid w:val="6A166382"/>
    <w:rsid w:val="6A21103C"/>
    <w:rsid w:val="6A2151A2"/>
    <w:rsid w:val="6A287D0E"/>
    <w:rsid w:val="6A325601"/>
    <w:rsid w:val="6A333127"/>
    <w:rsid w:val="6A3E4447"/>
    <w:rsid w:val="6A4A65ED"/>
    <w:rsid w:val="6A4B0471"/>
    <w:rsid w:val="6A4B5CD4"/>
    <w:rsid w:val="6A5A380F"/>
    <w:rsid w:val="6A654DA4"/>
    <w:rsid w:val="6A6710BE"/>
    <w:rsid w:val="6A6C13A4"/>
    <w:rsid w:val="6A6D228E"/>
    <w:rsid w:val="6A6E23B2"/>
    <w:rsid w:val="6A6E4160"/>
    <w:rsid w:val="6A8120E5"/>
    <w:rsid w:val="6A9040D6"/>
    <w:rsid w:val="6A9212D6"/>
    <w:rsid w:val="6AB75300"/>
    <w:rsid w:val="6AC31C9C"/>
    <w:rsid w:val="6ACA5C0D"/>
    <w:rsid w:val="6AD55F8D"/>
    <w:rsid w:val="6ADE4CEF"/>
    <w:rsid w:val="6AE0238F"/>
    <w:rsid w:val="6AE33F32"/>
    <w:rsid w:val="6AF639EA"/>
    <w:rsid w:val="6AF77EC7"/>
    <w:rsid w:val="6B0D0B90"/>
    <w:rsid w:val="6B283F80"/>
    <w:rsid w:val="6B29549A"/>
    <w:rsid w:val="6B3820E8"/>
    <w:rsid w:val="6B4942E4"/>
    <w:rsid w:val="6B4A697B"/>
    <w:rsid w:val="6B4F5BCB"/>
    <w:rsid w:val="6B5415A7"/>
    <w:rsid w:val="6B5E2426"/>
    <w:rsid w:val="6B607F4C"/>
    <w:rsid w:val="6B695532"/>
    <w:rsid w:val="6B8177EB"/>
    <w:rsid w:val="6B893449"/>
    <w:rsid w:val="6B8C2AEF"/>
    <w:rsid w:val="6B8C4031"/>
    <w:rsid w:val="6B966E69"/>
    <w:rsid w:val="6B99520C"/>
    <w:rsid w:val="6B9B50BB"/>
    <w:rsid w:val="6B9D65B0"/>
    <w:rsid w:val="6BBA2260"/>
    <w:rsid w:val="6BC45E58"/>
    <w:rsid w:val="6BC511BE"/>
    <w:rsid w:val="6BCE4EB6"/>
    <w:rsid w:val="6BD36970"/>
    <w:rsid w:val="6BD808EE"/>
    <w:rsid w:val="6BE368D1"/>
    <w:rsid w:val="6BE904BD"/>
    <w:rsid w:val="6BEC17E2"/>
    <w:rsid w:val="6C0764F9"/>
    <w:rsid w:val="6C0C1E82"/>
    <w:rsid w:val="6C134FBF"/>
    <w:rsid w:val="6C1F1BB5"/>
    <w:rsid w:val="6C341BAE"/>
    <w:rsid w:val="6C4D617E"/>
    <w:rsid w:val="6C5309A3"/>
    <w:rsid w:val="6C547EAB"/>
    <w:rsid w:val="6C753404"/>
    <w:rsid w:val="6C891803"/>
    <w:rsid w:val="6C9E63FC"/>
    <w:rsid w:val="6CB01ED4"/>
    <w:rsid w:val="6CB426A8"/>
    <w:rsid w:val="6CB57E24"/>
    <w:rsid w:val="6CB646E5"/>
    <w:rsid w:val="6CB71DEE"/>
    <w:rsid w:val="6CB971B3"/>
    <w:rsid w:val="6CBA306E"/>
    <w:rsid w:val="6CC317B0"/>
    <w:rsid w:val="6CCA7B9B"/>
    <w:rsid w:val="6CCF41D4"/>
    <w:rsid w:val="6CDA5A16"/>
    <w:rsid w:val="6CE2561C"/>
    <w:rsid w:val="6CE85AC3"/>
    <w:rsid w:val="6CED7E7A"/>
    <w:rsid w:val="6CF32377"/>
    <w:rsid w:val="6D0576C2"/>
    <w:rsid w:val="6D0A6513"/>
    <w:rsid w:val="6D1348F2"/>
    <w:rsid w:val="6D140F40"/>
    <w:rsid w:val="6D1523F0"/>
    <w:rsid w:val="6D19464B"/>
    <w:rsid w:val="6D254FA9"/>
    <w:rsid w:val="6D30738D"/>
    <w:rsid w:val="6D350EF8"/>
    <w:rsid w:val="6D36701A"/>
    <w:rsid w:val="6D443E48"/>
    <w:rsid w:val="6D4C4C2C"/>
    <w:rsid w:val="6D516565"/>
    <w:rsid w:val="6D535020"/>
    <w:rsid w:val="6D5B6C1D"/>
    <w:rsid w:val="6D6B4986"/>
    <w:rsid w:val="6D8C3FA6"/>
    <w:rsid w:val="6D9143ED"/>
    <w:rsid w:val="6D9220F4"/>
    <w:rsid w:val="6D9370B4"/>
    <w:rsid w:val="6DA5433C"/>
    <w:rsid w:val="6DD21449"/>
    <w:rsid w:val="6DD91CAB"/>
    <w:rsid w:val="6DE0518A"/>
    <w:rsid w:val="6DE516E7"/>
    <w:rsid w:val="6DE76703"/>
    <w:rsid w:val="6DEF7365"/>
    <w:rsid w:val="6DF400D8"/>
    <w:rsid w:val="6DF64B98"/>
    <w:rsid w:val="6DF9175D"/>
    <w:rsid w:val="6DFB21AE"/>
    <w:rsid w:val="6DFF1C9E"/>
    <w:rsid w:val="6E0959EE"/>
    <w:rsid w:val="6E0A5F70"/>
    <w:rsid w:val="6E0C74EA"/>
    <w:rsid w:val="6E1350C3"/>
    <w:rsid w:val="6E182D60"/>
    <w:rsid w:val="6E186AE3"/>
    <w:rsid w:val="6E1F6504"/>
    <w:rsid w:val="6E324B8F"/>
    <w:rsid w:val="6E360992"/>
    <w:rsid w:val="6E382643"/>
    <w:rsid w:val="6E4E22DE"/>
    <w:rsid w:val="6E580C7A"/>
    <w:rsid w:val="6E59196E"/>
    <w:rsid w:val="6E5D69C5"/>
    <w:rsid w:val="6E61200C"/>
    <w:rsid w:val="6E731D44"/>
    <w:rsid w:val="6E861072"/>
    <w:rsid w:val="6E90012A"/>
    <w:rsid w:val="6E957F0D"/>
    <w:rsid w:val="6E9C541D"/>
    <w:rsid w:val="6EA463A2"/>
    <w:rsid w:val="6EAB3BD4"/>
    <w:rsid w:val="6EAD7C01"/>
    <w:rsid w:val="6EBA726E"/>
    <w:rsid w:val="6EC707D9"/>
    <w:rsid w:val="6ED30A35"/>
    <w:rsid w:val="6EDC006B"/>
    <w:rsid w:val="6EDF387E"/>
    <w:rsid w:val="6EDF73DA"/>
    <w:rsid w:val="6EE60768"/>
    <w:rsid w:val="6EE90507"/>
    <w:rsid w:val="6EED4691"/>
    <w:rsid w:val="6F0E7CBF"/>
    <w:rsid w:val="6F1057E5"/>
    <w:rsid w:val="6F196D90"/>
    <w:rsid w:val="6F1C062E"/>
    <w:rsid w:val="6F1C23DC"/>
    <w:rsid w:val="6F2178F0"/>
    <w:rsid w:val="6F2B261F"/>
    <w:rsid w:val="6F347726"/>
    <w:rsid w:val="6F3A4890"/>
    <w:rsid w:val="6F4A6F49"/>
    <w:rsid w:val="6F4B0F13"/>
    <w:rsid w:val="6F4C1BD9"/>
    <w:rsid w:val="6F4C2F17"/>
    <w:rsid w:val="6F536381"/>
    <w:rsid w:val="6F697E58"/>
    <w:rsid w:val="6F6B5112"/>
    <w:rsid w:val="6F814935"/>
    <w:rsid w:val="6F857F81"/>
    <w:rsid w:val="6F882C87"/>
    <w:rsid w:val="6F9A78E4"/>
    <w:rsid w:val="6FA04D65"/>
    <w:rsid w:val="6FA079EF"/>
    <w:rsid w:val="6FAA79E8"/>
    <w:rsid w:val="6FB43FAF"/>
    <w:rsid w:val="6FB870EA"/>
    <w:rsid w:val="6FC605F7"/>
    <w:rsid w:val="6FE34B2D"/>
    <w:rsid w:val="6FF459AC"/>
    <w:rsid w:val="6FFD045F"/>
    <w:rsid w:val="7003534A"/>
    <w:rsid w:val="70090BB2"/>
    <w:rsid w:val="70134194"/>
    <w:rsid w:val="70143110"/>
    <w:rsid w:val="701B17DE"/>
    <w:rsid w:val="701D29D8"/>
    <w:rsid w:val="702304C2"/>
    <w:rsid w:val="70253512"/>
    <w:rsid w:val="702F34DE"/>
    <w:rsid w:val="703A4681"/>
    <w:rsid w:val="70442C01"/>
    <w:rsid w:val="70560C7D"/>
    <w:rsid w:val="70761FC0"/>
    <w:rsid w:val="707C7245"/>
    <w:rsid w:val="70857D4A"/>
    <w:rsid w:val="70877D29"/>
    <w:rsid w:val="70980188"/>
    <w:rsid w:val="70996708"/>
    <w:rsid w:val="709F2274"/>
    <w:rsid w:val="70AB4CD0"/>
    <w:rsid w:val="70B703FB"/>
    <w:rsid w:val="70C60851"/>
    <w:rsid w:val="70C90342"/>
    <w:rsid w:val="70D2627E"/>
    <w:rsid w:val="70DF0C58"/>
    <w:rsid w:val="70E65E8C"/>
    <w:rsid w:val="70EB33D4"/>
    <w:rsid w:val="70EB3E10"/>
    <w:rsid w:val="70ED2282"/>
    <w:rsid w:val="70F25AEA"/>
    <w:rsid w:val="70F80C27"/>
    <w:rsid w:val="7101188A"/>
    <w:rsid w:val="710A2058"/>
    <w:rsid w:val="71120A45"/>
    <w:rsid w:val="71211CA2"/>
    <w:rsid w:val="712D08D1"/>
    <w:rsid w:val="71300B55"/>
    <w:rsid w:val="713C4FB8"/>
    <w:rsid w:val="7150668A"/>
    <w:rsid w:val="715220E5"/>
    <w:rsid w:val="71620536"/>
    <w:rsid w:val="716F3903"/>
    <w:rsid w:val="717C3606"/>
    <w:rsid w:val="71851D97"/>
    <w:rsid w:val="71883D59"/>
    <w:rsid w:val="718D2089"/>
    <w:rsid w:val="718F6427"/>
    <w:rsid w:val="71A23E46"/>
    <w:rsid w:val="71B106E9"/>
    <w:rsid w:val="71B90FEC"/>
    <w:rsid w:val="71C034F3"/>
    <w:rsid w:val="71C05959"/>
    <w:rsid w:val="71C85D97"/>
    <w:rsid w:val="71CA611F"/>
    <w:rsid w:val="71CD12A1"/>
    <w:rsid w:val="71DE7634"/>
    <w:rsid w:val="71E80C9B"/>
    <w:rsid w:val="71EB2805"/>
    <w:rsid w:val="71F76560"/>
    <w:rsid w:val="71FC352D"/>
    <w:rsid w:val="72031631"/>
    <w:rsid w:val="720A6E64"/>
    <w:rsid w:val="721455EC"/>
    <w:rsid w:val="721E2D25"/>
    <w:rsid w:val="72275320"/>
    <w:rsid w:val="72323596"/>
    <w:rsid w:val="72343EE1"/>
    <w:rsid w:val="723A79AD"/>
    <w:rsid w:val="724D4C05"/>
    <w:rsid w:val="725414D9"/>
    <w:rsid w:val="725F6793"/>
    <w:rsid w:val="72646574"/>
    <w:rsid w:val="72654A7D"/>
    <w:rsid w:val="72693B8A"/>
    <w:rsid w:val="726A7902"/>
    <w:rsid w:val="727D38B6"/>
    <w:rsid w:val="727D76E1"/>
    <w:rsid w:val="728409C4"/>
    <w:rsid w:val="7289422C"/>
    <w:rsid w:val="729E4788"/>
    <w:rsid w:val="72B72541"/>
    <w:rsid w:val="72C41DA0"/>
    <w:rsid w:val="72CE60E3"/>
    <w:rsid w:val="72D5739E"/>
    <w:rsid w:val="72E6211C"/>
    <w:rsid w:val="72ED20E1"/>
    <w:rsid w:val="72EE6064"/>
    <w:rsid w:val="72EF0DCC"/>
    <w:rsid w:val="72F26016"/>
    <w:rsid w:val="72FB0A74"/>
    <w:rsid w:val="72FD2510"/>
    <w:rsid w:val="730218E9"/>
    <w:rsid w:val="73023CFE"/>
    <w:rsid w:val="73025D8D"/>
    <w:rsid w:val="730613D9"/>
    <w:rsid w:val="73084A11"/>
    <w:rsid w:val="730A180C"/>
    <w:rsid w:val="730C5509"/>
    <w:rsid w:val="73165FEB"/>
    <w:rsid w:val="73213329"/>
    <w:rsid w:val="7349576A"/>
    <w:rsid w:val="73497518"/>
    <w:rsid w:val="734B3290"/>
    <w:rsid w:val="73511779"/>
    <w:rsid w:val="7358775B"/>
    <w:rsid w:val="73593BFF"/>
    <w:rsid w:val="735A19E4"/>
    <w:rsid w:val="736307B4"/>
    <w:rsid w:val="73763E04"/>
    <w:rsid w:val="7384568E"/>
    <w:rsid w:val="73894F95"/>
    <w:rsid w:val="738F6262"/>
    <w:rsid w:val="739764D5"/>
    <w:rsid w:val="739D01CE"/>
    <w:rsid w:val="739D4495"/>
    <w:rsid w:val="73A3593A"/>
    <w:rsid w:val="73A6170B"/>
    <w:rsid w:val="73CB43D1"/>
    <w:rsid w:val="73CF4D8D"/>
    <w:rsid w:val="73DB0AB8"/>
    <w:rsid w:val="73DE4EEA"/>
    <w:rsid w:val="73E060CE"/>
    <w:rsid w:val="73E13BF4"/>
    <w:rsid w:val="73EF00BF"/>
    <w:rsid w:val="73EF7F54"/>
    <w:rsid w:val="73FF38D7"/>
    <w:rsid w:val="74027E32"/>
    <w:rsid w:val="740D6797"/>
    <w:rsid w:val="74212243"/>
    <w:rsid w:val="742817A0"/>
    <w:rsid w:val="7439483C"/>
    <w:rsid w:val="7441186B"/>
    <w:rsid w:val="744F6BF8"/>
    <w:rsid w:val="744F6DB0"/>
    <w:rsid w:val="74580737"/>
    <w:rsid w:val="745A6515"/>
    <w:rsid w:val="745D2F5D"/>
    <w:rsid w:val="746455C4"/>
    <w:rsid w:val="7468372F"/>
    <w:rsid w:val="74714F78"/>
    <w:rsid w:val="747E5E1B"/>
    <w:rsid w:val="7483341C"/>
    <w:rsid w:val="748C51F5"/>
    <w:rsid w:val="748D3D06"/>
    <w:rsid w:val="74911176"/>
    <w:rsid w:val="7491689D"/>
    <w:rsid w:val="74A62BBA"/>
    <w:rsid w:val="74A94D98"/>
    <w:rsid w:val="74B51309"/>
    <w:rsid w:val="74C31032"/>
    <w:rsid w:val="74C50E20"/>
    <w:rsid w:val="74C51CB3"/>
    <w:rsid w:val="74DA51A1"/>
    <w:rsid w:val="74DF349D"/>
    <w:rsid w:val="74FA6D1C"/>
    <w:rsid w:val="75151F05"/>
    <w:rsid w:val="751F49D4"/>
    <w:rsid w:val="753130F6"/>
    <w:rsid w:val="753733EF"/>
    <w:rsid w:val="753B10E2"/>
    <w:rsid w:val="754D1541"/>
    <w:rsid w:val="7557416E"/>
    <w:rsid w:val="755A1A58"/>
    <w:rsid w:val="755A1EB0"/>
    <w:rsid w:val="7561323F"/>
    <w:rsid w:val="7563640C"/>
    <w:rsid w:val="7567385F"/>
    <w:rsid w:val="757F4889"/>
    <w:rsid w:val="758807CB"/>
    <w:rsid w:val="758D3DC5"/>
    <w:rsid w:val="75935240"/>
    <w:rsid w:val="759814DF"/>
    <w:rsid w:val="75A849CA"/>
    <w:rsid w:val="75B275F6"/>
    <w:rsid w:val="75BC2223"/>
    <w:rsid w:val="75CC188F"/>
    <w:rsid w:val="75D94B83"/>
    <w:rsid w:val="75EB0D5A"/>
    <w:rsid w:val="75FD7697"/>
    <w:rsid w:val="75FE0A8D"/>
    <w:rsid w:val="76004806"/>
    <w:rsid w:val="760D2FC2"/>
    <w:rsid w:val="761A68BF"/>
    <w:rsid w:val="761D53A3"/>
    <w:rsid w:val="76271ED6"/>
    <w:rsid w:val="763E6306"/>
    <w:rsid w:val="764010A6"/>
    <w:rsid w:val="7645046A"/>
    <w:rsid w:val="764C17F9"/>
    <w:rsid w:val="764C2858"/>
    <w:rsid w:val="765B40D3"/>
    <w:rsid w:val="765B5EE0"/>
    <w:rsid w:val="76602FEC"/>
    <w:rsid w:val="76631F55"/>
    <w:rsid w:val="766B233D"/>
    <w:rsid w:val="76771710"/>
    <w:rsid w:val="76796366"/>
    <w:rsid w:val="768A0573"/>
    <w:rsid w:val="769755B2"/>
    <w:rsid w:val="769D3E02"/>
    <w:rsid w:val="76A746E7"/>
    <w:rsid w:val="76A87C47"/>
    <w:rsid w:val="76BB24DB"/>
    <w:rsid w:val="76CD6A2D"/>
    <w:rsid w:val="76CF4DF4"/>
    <w:rsid w:val="76D67314"/>
    <w:rsid w:val="76D75581"/>
    <w:rsid w:val="76E97048"/>
    <w:rsid w:val="76EC6B38"/>
    <w:rsid w:val="76FC5631"/>
    <w:rsid w:val="771D4F43"/>
    <w:rsid w:val="771F6F0D"/>
    <w:rsid w:val="77246D17"/>
    <w:rsid w:val="773036C1"/>
    <w:rsid w:val="773A24F5"/>
    <w:rsid w:val="77442B18"/>
    <w:rsid w:val="774F3C86"/>
    <w:rsid w:val="77521091"/>
    <w:rsid w:val="77536D65"/>
    <w:rsid w:val="775841CD"/>
    <w:rsid w:val="7759151F"/>
    <w:rsid w:val="775A6197"/>
    <w:rsid w:val="77844FC2"/>
    <w:rsid w:val="778F2AE0"/>
    <w:rsid w:val="77974CF6"/>
    <w:rsid w:val="779A6594"/>
    <w:rsid w:val="77A25449"/>
    <w:rsid w:val="77A952F9"/>
    <w:rsid w:val="77AE12C0"/>
    <w:rsid w:val="77B70EF4"/>
    <w:rsid w:val="77B96D29"/>
    <w:rsid w:val="77C35511"/>
    <w:rsid w:val="77C83101"/>
    <w:rsid w:val="77CE623E"/>
    <w:rsid w:val="77DF2D80"/>
    <w:rsid w:val="77EA16ED"/>
    <w:rsid w:val="77EE4794"/>
    <w:rsid w:val="77FE4D75"/>
    <w:rsid w:val="78035212"/>
    <w:rsid w:val="78065C1D"/>
    <w:rsid w:val="780954AF"/>
    <w:rsid w:val="7812162E"/>
    <w:rsid w:val="78161D85"/>
    <w:rsid w:val="7819395D"/>
    <w:rsid w:val="78411105"/>
    <w:rsid w:val="78535F11"/>
    <w:rsid w:val="785C7CED"/>
    <w:rsid w:val="78774B27"/>
    <w:rsid w:val="787F42B6"/>
    <w:rsid w:val="788C05D2"/>
    <w:rsid w:val="789578BF"/>
    <w:rsid w:val="789B0816"/>
    <w:rsid w:val="789B25C4"/>
    <w:rsid w:val="78A02FA0"/>
    <w:rsid w:val="78A3467A"/>
    <w:rsid w:val="78AF2513"/>
    <w:rsid w:val="78AF797E"/>
    <w:rsid w:val="78B2790D"/>
    <w:rsid w:val="78B72536"/>
    <w:rsid w:val="78BE62B2"/>
    <w:rsid w:val="78CF6308"/>
    <w:rsid w:val="78D62AA8"/>
    <w:rsid w:val="78D74662"/>
    <w:rsid w:val="78D771A3"/>
    <w:rsid w:val="78E42A17"/>
    <w:rsid w:val="78E71CAD"/>
    <w:rsid w:val="78E81581"/>
    <w:rsid w:val="78EC2046"/>
    <w:rsid w:val="78FD327E"/>
    <w:rsid w:val="790939D1"/>
    <w:rsid w:val="790C1556"/>
    <w:rsid w:val="7914780B"/>
    <w:rsid w:val="79260EC0"/>
    <w:rsid w:val="79292BD8"/>
    <w:rsid w:val="79295E21"/>
    <w:rsid w:val="79312349"/>
    <w:rsid w:val="79345BCF"/>
    <w:rsid w:val="793E0A4E"/>
    <w:rsid w:val="7962377D"/>
    <w:rsid w:val="796C3F60"/>
    <w:rsid w:val="7984574E"/>
    <w:rsid w:val="79863274"/>
    <w:rsid w:val="79AA30AC"/>
    <w:rsid w:val="79AB21E7"/>
    <w:rsid w:val="79AC25AE"/>
    <w:rsid w:val="79AE4579"/>
    <w:rsid w:val="79B15C6C"/>
    <w:rsid w:val="79BB418C"/>
    <w:rsid w:val="79BF22E2"/>
    <w:rsid w:val="79D51C3E"/>
    <w:rsid w:val="79D5630C"/>
    <w:rsid w:val="79D93672"/>
    <w:rsid w:val="79DA711C"/>
    <w:rsid w:val="79E1494E"/>
    <w:rsid w:val="79EF2611"/>
    <w:rsid w:val="79F0693F"/>
    <w:rsid w:val="7A010DC5"/>
    <w:rsid w:val="7A1A39BC"/>
    <w:rsid w:val="7A1E1A9A"/>
    <w:rsid w:val="7A236D15"/>
    <w:rsid w:val="7A287E87"/>
    <w:rsid w:val="7A2A00A3"/>
    <w:rsid w:val="7A3507F6"/>
    <w:rsid w:val="7A3E03B2"/>
    <w:rsid w:val="7A3E76AA"/>
    <w:rsid w:val="7A4077F7"/>
    <w:rsid w:val="7A420716"/>
    <w:rsid w:val="7A47254E"/>
    <w:rsid w:val="7A4B40F7"/>
    <w:rsid w:val="7A5177F0"/>
    <w:rsid w:val="7A534623"/>
    <w:rsid w:val="7A57077D"/>
    <w:rsid w:val="7A5769BE"/>
    <w:rsid w:val="7A5C2227"/>
    <w:rsid w:val="7A686F19"/>
    <w:rsid w:val="7A6F4FF0"/>
    <w:rsid w:val="7A822DCC"/>
    <w:rsid w:val="7A892DF2"/>
    <w:rsid w:val="7A8A6D94"/>
    <w:rsid w:val="7A9541F1"/>
    <w:rsid w:val="7AA240DD"/>
    <w:rsid w:val="7AAA11E4"/>
    <w:rsid w:val="7AAD24B8"/>
    <w:rsid w:val="7AC14D48"/>
    <w:rsid w:val="7AC676A0"/>
    <w:rsid w:val="7ACC4816"/>
    <w:rsid w:val="7ACD0AA1"/>
    <w:rsid w:val="7AD47E8C"/>
    <w:rsid w:val="7AD925EE"/>
    <w:rsid w:val="7AE2272C"/>
    <w:rsid w:val="7AFB43BB"/>
    <w:rsid w:val="7B090ACC"/>
    <w:rsid w:val="7B135565"/>
    <w:rsid w:val="7B1623D5"/>
    <w:rsid w:val="7B1F572E"/>
    <w:rsid w:val="7B2F47B9"/>
    <w:rsid w:val="7B48352B"/>
    <w:rsid w:val="7B5C4D49"/>
    <w:rsid w:val="7B65124E"/>
    <w:rsid w:val="7B65510B"/>
    <w:rsid w:val="7B7F7F7B"/>
    <w:rsid w:val="7B886C9B"/>
    <w:rsid w:val="7B9559F0"/>
    <w:rsid w:val="7BAD573A"/>
    <w:rsid w:val="7BBF231D"/>
    <w:rsid w:val="7BC10C1E"/>
    <w:rsid w:val="7BC57958"/>
    <w:rsid w:val="7BC95036"/>
    <w:rsid w:val="7BCB7664"/>
    <w:rsid w:val="7BEF03AB"/>
    <w:rsid w:val="7BFE0E75"/>
    <w:rsid w:val="7C0A43EE"/>
    <w:rsid w:val="7C0B4F4F"/>
    <w:rsid w:val="7C0E7550"/>
    <w:rsid w:val="7C161C8C"/>
    <w:rsid w:val="7C183F2B"/>
    <w:rsid w:val="7C2B0102"/>
    <w:rsid w:val="7C3E1BE4"/>
    <w:rsid w:val="7C444D20"/>
    <w:rsid w:val="7C464F3C"/>
    <w:rsid w:val="7C504E5F"/>
    <w:rsid w:val="7C5B642F"/>
    <w:rsid w:val="7C635AEE"/>
    <w:rsid w:val="7C667989"/>
    <w:rsid w:val="7C6B6751"/>
    <w:rsid w:val="7C73601B"/>
    <w:rsid w:val="7C7C2669"/>
    <w:rsid w:val="7C8810B1"/>
    <w:rsid w:val="7CA879B6"/>
    <w:rsid w:val="7CB32D6F"/>
    <w:rsid w:val="7CB34123"/>
    <w:rsid w:val="7CC52305"/>
    <w:rsid w:val="7CC627FE"/>
    <w:rsid w:val="7CD04806"/>
    <w:rsid w:val="7CD90529"/>
    <w:rsid w:val="7CDB5685"/>
    <w:rsid w:val="7CE66D30"/>
    <w:rsid w:val="7CE82C6A"/>
    <w:rsid w:val="7D012C11"/>
    <w:rsid w:val="7D142945"/>
    <w:rsid w:val="7D197F5B"/>
    <w:rsid w:val="7D1F46C3"/>
    <w:rsid w:val="7D2A660C"/>
    <w:rsid w:val="7D3A406C"/>
    <w:rsid w:val="7D447B7E"/>
    <w:rsid w:val="7D4E5163"/>
    <w:rsid w:val="7D613146"/>
    <w:rsid w:val="7D80622C"/>
    <w:rsid w:val="7D836093"/>
    <w:rsid w:val="7D873408"/>
    <w:rsid w:val="7D8C0F8A"/>
    <w:rsid w:val="7D8F021D"/>
    <w:rsid w:val="7D952036"/>
    <w:rsid w:val="7D952941"/>
    <w:rsid w:val="7DA01451"/>
    <w:rsid w:val="7DA656E0"/>
    <w:rsid w:val="7DB56BBC"/>
    <w:rsid w:val="7DBF0B02"/>
    <w:rsid w:val="7DC97BD3"/>
    <w:rsid w:val="7DCF5A8B"/>
    <w:rsid w:val="7DD163E6"/>
    <w:rsid w:val="7DD5149E"/>
    <w:rsid w:val="7DD8627D"/>
    <w:rsid w:val="7DDB3462"/>
    <w:rsid w:val="7DDD4775"/>
    <w:rsid w:val="7DDD542C"/>
    <w:rsid w:val="7DDF27D1"/>
    <w:rsid w:val="7DE401B6"/>
    <w:rsid w:val="7DE86CFF"/>
    <w:rsid w:val="7DFA5FDE"/>
    <w:rsid w:val="7DFF6410"/>
    <w:rsid w:val="7E097FCF"/>
    <w:rsid w:val="7E0B2A9C"/>
    <w:rsid w:val="7E0F3157"/>
    <w:rsid w:val="7E122C67"/>
    <w:rsid w:val="7E21531B"/>
    <w:rsid w:val="7E2863CD"/>
    <w:rsid w:val="7E300A65"/>
    <w:rsid w:val="7E3D3152"/>
    <w:rsid w:val="7E5704FB"/>
    <w:rsid w:val="7E5751DF"/>
    <w:rsid w:val="7E582D05"/>
    <w:rsid w:val="7E596A2F"/>
    <w:rsid w:val="7E622BFC"/>
    <w:rsid w:val="7E6E1677"/>
    <w:rsid w:val="7E7863C3"/>
    <w:rsid w:val="7E931FBC"/>
    <w:rsid w:val="7E977CD1"/>
    <w:rsid w:val="7E9E6A96"/>
    <w:rsid w:val="7E9F26E2"/>
    <w:rsid w:val="7EA446F4"/>
    <w:rsid w:val="7EB268B9"/>
    <w:rsid w:val="7EBB39C0"/>
    <w:rsid w:val="7EBC03B6"/>
    <w:rsid w:val="7EC14A50"/>
    <w:rsid w:val="7ED21776"/>
    <w:rsid w:val="7ED54355"/>
    <w:rsid w:val="7ED54741"/>
    <w:rsid w:val="7ED72A3A"/>
    <w:rsid w:val="7ED80E61"/>
    <w:rsid w:val="7ED92098"/>
    <w:rsid w:val="7EE06F82"/>
    <w:rsid w:val="7EE2719E"/>
    <w:rsid w:val="7EE40D5F"/>
    <w:rsid w:val="7EED4BDD"/>
    <w:rsid w:val="7EEE23D2"/>
    <w:rsid w:val="7EF722B8"/>
    <w:rsid w:val="7EF90044"/>
    <w:rsid w:val="7EFD10D9"/>
    <w:rsid w:val="7F0D2386"/>
    <w:rsid w:val="7F0F5AB9"/>
    <w:rsid w:val="7F143629"/>
    <w:rsid w:val="7F192494"/>
    <w:rsid w:val="7F1A4E57"/>
    <w:rsid w:val="7F286B7B"/>
    <w:rsid w:val="7F315A30"/>
    <w:rsid w:val="7F435763"/>
    <w:rsid w:val="7F4D3C24"/>
    <w:rsid w:val="7F5931D8"/>
    <w:rsid w:val="7F5D4F2D"/>
    <w:rsid w:val="7F6000C3"/>
    <w:rsid w:val="7F745C30"/>
    <w:rsid w:val="7F78540D"/>
    <w:rsid w:val="7F7D0C75"/>
    <w:rsid w:val="7F8228CA"/>
    <w:rsid w:val="7F8738A2"/>
    <w:rsid w:val="7F8A4872"/>
    <w:rsid w:val="7F935DAC"/>
    <w:rsid w:val="7FB33447"/>
    <w:rsid w:val="7FD174CA"/>
    <w:rsid w:val="7FD64829"/>
    <w:rsid w:val="7FD748FB"/>
    <w:rsid w:val="7FDE455C"/>
    <w:rsid w:val="7FE07F1C"/>
    <w:rsid w:val="7FEA3E31"/>
    <w:rsid w:val="7FEC7E36"/>
    <w:rsid w:val="7FFE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60"/>
    <w:autoRedefine/>
    <w:qFormat/>
    <w:uiPriority w:val="0"/>
    <w:pPr>
      <w:keepNext/>
      <w:keepLines/>
      <w:spacing w:line="360" w:lineRule="auto"/>
      <w:jc w:val="center"/>
      <w:outlineLvl w:val="0"/>
    </w:pPr>
    <w:rPr>
      <w:rFonts w:eastAsia="华文楷体"/>
      <w:b/>
      <w:bCs/>
      <w:kern w:val="44"/>
      <w:sz w:val="36"/>
      <w:szCs w:val="44"/>
    </w:rPr>
  </w:style>
  <w:style w:type="paragraph" w:styleId="2">
    <w:name w:val="heading 2"/>
    <w:basedOn w:val="1"/>
    <w:next w:val="1"/>
    <w:autoRedefine/>
    <w:unhideWhenUsed/>
    <w:qFormat/>
    <w:uiPriority w:val="0"/>
    <w:pPr>
      <w:keepNext/>
      <w:keepLines/>
      <w:spacing w:line="360" w:lineRule="auto"/>
      <w:jc w:val="left"/>
      <w:outlineLvl w:val="1"/>
    </w:pPr>
    <w:rPr>
      <w:rFonts w:ascii="Arial" w:hAnsi="Arial" w:eastAsia="华文楷体"/>
      <w:b/>
      <w:bCs/>
      <w:sz w:val="28"/>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 w:val="21"/>
    </w:rPr>
  </w:style>
  <w:style w:type="paragraph" w:styleId="6">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7">
    <w:name w:val="Normal Indent"/>
    <w:basedOn w:val="1"/>
    <w:link w:val="53"/>
    <w:autoRedefine/>
    <w:qFormat/>
    <w:uiPriority w:val="0"/>
    <w:pPr>
      <w:ind w:firstLine="420"/>
    </w:pPr>
    <w:rPr>
      <w:rFonts w:ascii="宋体" w:hAnsi="Calibri" w:eastAsia="宋体" w:cs="Times New Roman"/>
      <w:sz w:val="21"/>
      <w:szCs w:val="20"/>
    </w:rPr>
  </w:style>
  <w:style w:type="paragraph" w:styleId="8">
    <w:name w:val="annotation text"/>
    <w:basedOn w:val="1"/>
    <w:autoRedefine/>
    <w:qFormat/>
    <w:uiPriority w:val="0"/>
    <w:pPr>
      <w:jc w:val="left"/>
    </w:pPr>
  </w:style>
  <w:style w:type="paragraph" w:styleId="9">
    <w:name w:val="Body Text"/>
    <w:basedOn w:val="1"/>
    <w:next w:val="1"/>
    <w:link w:val="58"/>
    <w:autoRedefine/>
    <w:unhideWhenUsed/>
    <w:qFormat/>
    <w:uiPriority w:val="99"/>
    <w:pPr>
      <w:spacing w:after="120"/>
    </w:pPr>
    <w:rPr>
      <w:rFonts w:eastAsia="Times New Roman"/>
    </w:rPr>
  </w:style>
  <w:style w:type="paragraph" w:styleId="10">
    <w:name w:val="Body Text Indent"/>
    <w:basedOn w:val="1"/>
    <w:next w:val="11"/>
    <w:autoRedefine/>
    <w:qFormat/>
    <w:uiPriority w:val="0"/>
    <w:pPr>
      <w:spacing w:line="360" w:lineRule="auto"/>
      <w:ind w:firstLine="360" w:firstLineChars="150"/>
    </w:pPr>
    <w:rPr>
      <w:rFonts w:ascii="宋体" w:hAnsi="宋体"/>
      <w:sz w:val="24"/>
      <w:szCs w:val="28"/>
    </w:r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footer"/>
    <w:basedOn w:val="1"/>
    <w:link w:val="52"/>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rPr>
      <w:sz w:val="21"/>
      <w:szCs w:val="24"/>
    </w:rPr>
  </w:style>
  <w:style w:type="paragraph" w:styleId="1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8">
    <w:name w:val="table of figures"/>
    <w:basedOn w:val="1"/>
    <w:next w:val="1"/>
    <w:qFormat/>
    <w:uiPriority w:val="0"/>
    <w:pPr>
      <w:ind w:leftChars="200" w:hanging="200" w:hangingChars="200"/>
    </w:pPr>
  </w:style>
  <w:style w:type="paragraph" w:styleId="19">
    <w:name w:val="toc 2"/>
    <w:basedOn w:val="1"/>
    <w:next w:val="1"/>
    <w:qFormat/>
    <w:uiPriority w:val="39"/>
    <w:pPr>
      <w:ind w:left="420" w:leftChars="200"/>
    </w:pPr>
    <w:rPr>
      <w:sz w:val="21"/>
      <w:szCs w:val="24"/>
    </w:rPr>
  </w:style>
  <w:style w:type="paragraph" w:styleId="20">
    <w:name w:val="Body Text 2"/>
    <w:basedOn w:val="1"/>
    <w:qFormat/>
    <w:uiPriority w:val="0"/>
    <w:pPr>
      <w:jc w:val="center"/>
      <w:outlineLvl w:val="0"/>
    </w:pPr>
    <w:rPr>
      <w:rFonts w:ascii="楷体_GB2312"/>
      <w:sz w:val="30"/>
      <w:szCs w:val="20"/>
    </w:rPr>
  </w:style>
  <w:style w:type="paragraph" w:styleId="21">
    <w:name w:val="Normal (Web)"/>
    <w:basedOn w:val="1"/>
    <w:qFormat/>
    <w:uiPriority w:val="99"/>
    <w:pPr>
      <w:jc w:val="left"/>
    </w:pPr>
    <w:rPr>
      <w:rFonts w:cs="Times New Roman"/>
      <w:kern w:val="0"/>
    </w:rPr>
  </w:style>
  <w:style w:type="paragraph" w:styleId="22">
    <w:name w:val="Body Text First Indent"/>
    <w:basedOn w:val="9"/>
    <w:next w:val="23"/>
    <w:link w:val="59"/>
    <w:qFormat/>
    <w:uiPriority w:val="0"/>
    <w:pPr>
      <w:ind w:firstLine="420" w:firstLineChars="100"/>
    </w:pPr>
  </w:style>
  <w:style w:type="paragraph" w:styleId="23">
    <w:name w:val="Body Text First Indent 2"/>
    <w:basedOn w:val="10"/>
    <w:next w:val="9"/>
    <w:qFormat/>
    <w:uiPriority w:val="0"/>
    <w:pPr>
      <w:spacing w:after="120"/>
      <w:ind w:left="420" w:leftChars="200" w:firstLine="420" w:firstLineChars="200"/>
    </w:pPr>
    <w:rPr>
      <w:rFonts w:ascii="Times New Roman" w:hAnsi="Times New Roman"/>
      <w:sz w:val="21"/>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TML Typewriter"/>
    <w:basedOn w:val="26"/>
    <w:qFormat/>
    <w:uiPriority w:val="0"/>
    <w:rPr>
      <w:rFonts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rFonts w:ascii="宋体" w:hAnsi="宋体" w:eastAsia="宋体"/>
      <w:b/>
      <w:color w:val="0000FF"/>
      <w:kern w:val="2"/>
      <w:sz w:val="24"/>
      <w:szCs w:val="24"/>
      <w:u w:val="single"/>
      <w:lang w:val="en-US" w:eastAsia="zh-CN" w:bidi="ar-SA"/>
    </w:rPr>
  </w:style>
  <w:style w:type="character" w:styleId="36">
    <w:name w:val="HTML Code"/>
    <w:basedOn w:val="26"/>
    <w:qFormat/>
    <w:uiPriority w:val="0"/>
    <w:rPr>
      <w:rFonts w:hint="default" w:ascii="Menlo" w:hAnsi="Menlo" w:eastAsia="Menlo" w:cs="Menlo"/>
      <w:color w:val="C7254E"/>
      <w:sz w:val="21"/>
      <w:szCs w:val="21"/>
      <w:shd w:val="clear" w:color="auto" w:fill="F9F2F4"/>
    </w:rPr>
  </w:style>
  <w:style w:type="character" w:styleId="37">
    <w:name w:val="HTML Cite"/>
    <w:basedOn w:val="26"/>
    <w:qFormat/>
    <w:uiPriority w:val="0"/>
  </w:style>
  <w:style w:type="character" w:styleId="38">
    <w:name w:val="HTML Keyboard"/>
    <w:basedOn w:val="26"/>
    <w:qFormat/>
    <w:uiPriority w:val="0"/>
    <w:rPr>
      <w:rFonts w:ascii="Menlo" w:hAnsi="Menlo" w:eastAsia="Menlo" w:cs="Menlo"/>
      <w:color w:val="FFFFFF"/>
      <w:sz w:val="21"/>
      <w:szCs w:val="21"/>
      <w:shd w:val="clear" w:color="auto" w:fill="333333"/>
    </w:rPr>
  </w:style>
  <w:style w:type="character" w:styleId="39">
    <w:name w:val="HTML Sample"/>
    <w:basedOn w:val="26"/>
    <w:qFormat/>
    <w:uiPriority w:val="0"/>
    <w:rPr>
      <w:rFonts w:hint="default" w:ascii="Menlo" w:hAnsi="Menlo" w:eastAsia="Menlo" w:cs="Menlo"/>
      <w:sz w:val="21"/>
      <w:szCs w:val="21"/>
    </w:rPr>
  </w:style>
  <w:style w:type="paragraph" w:customStyle="1" w:styleId="40">
    <w:name w:val="4"/>
    <w:basedOn w:val="1"/>
    <w:qFormat/>
    <w:uiPriority w:val="0"/>
    <w:pPr>
      <w:spacing w:line="560" w:lineRule="exact"/>
      <w:ind w:firstLine="200" w:firstLineChars="200"/>
    </w:pPr>
    <w:rPr>
      <w:rFonts w:ascii="Calibri" w:hAnsi="Calibri"/>
      <w:spacing w:val="20"/>
      <w:sz w:val="24"/>
      <w:szCs w:val="24"/>
    </w:rPr>
  </w:style>
  <w:style w:type="paragraph" w:customStyle="1" w:styleId="41">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42">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43">
    <w:name w:val="p15"/>
    <w:basedOn w:val="1"/>
    <w:qFormat/>
    <w:uiPriority w:val="99"/>
    <w:pPr>
      <w:widowControl/>
    </w:pPr>
    <w:rPr>
      <w:kern w:val="0"/>
      <w:sz w:val="21"/>
      <w:szCs w:val="21"/>
    </w:rPr>
  </w:style>
  <w:style w:type="paragraph" w:customStyle="1" w:styleId="44">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5">
    <w:name w:val="old"/>
    <w:basedOn w:val="26"/>
    <w:autoRedefine/>
    <w:qFormat/>
    <w:uiPriority w:val="0"/>
    <w:rPr>
      <w:color w:val="999999"/>
    </w:rPr>
  </w:style>
  <w:style w:type="character" w:customStyle="1" w:styleId="46">
    <w:name w:val="hover3"/>
    <w:basedOn w:val="26"/>
    <w:autoRedefine/>
    <w:qFormat/>
    <w:uiPriority w:val="0"/>
    <w:rPr>
      <w:shd w:val="clear" w:color="auto" w:fill="EEEEEE"/>
    </w:rPr>
  </w:style>
  <w:style w:type="character" w:customStyle="1" w:styleId="47">
    <w:name w:val="glyphicon4"/>
    <w:basedOn w:val="26"/>
    <w:autoRedefine/>
    <w:qFormat/>
    <w:uiPriority w:val="0"/>
  </w:style>
  <w:style w:type="character" w:customStyle="1" w:styleId="48">
    <w:name w:val="hour_am"/>
    <w:basedOn w:val="26"/>
    <w:autoRedefine/>
    <w:qFormat/>
    <w:uiPriority w:val="0"/>
  </w:style>
  <w:style w:type="character" w:customStyle="1" w:styleId="49">
    <w:name w:val="hour_pm"/>
    <w:basedOn w:val="26"/>
    <w:autoRedefine/>
    <w:qFormat/>
    <w:uiPriority w:val="0"/>
  </w:style>
  <w:style w:type="character" w:customStyle="1" w:styleId="50">
    <w:name w:val="button"/>
    <w:basedOn w:val="26"/>
    <w:autoRedefine/>
    <w:qFormat/>
    <w:uiPriority w:val="0"/>
  </w:style>
  <w:style w:type="character" w:customStyle="1" w:styleId="51">
    <w:name w:val="tmpztreemove_arrow"/>
    <w:basedOn w:val="26"/>
    <w:autoRedefine/>
    <w:qFormat/>
    <w:uiPriority w:val="0"/>
    <w:rPr>
      <w:shd w:val="clear" w:color="auto" w:fill="FFFFFF"/>
    </w:rPr>
  </w:style>
  <w:style w:type="character" w:customStyle="1" w:styleId="52">
    <w:name w:val="页脚 Char"/>
    <w:basedOn w:val="26"/>
    <w:link w:val="14"/>
    <w:autoRedefine/>
    <w:qFormat/>
    <w:uiPriority w:val="0"/>
    <w:rPr>
      <w:rFonts w:asciiTheme="minorHAnsi" w:hAnsiTheme="minorHAnsi" w:cstheme="minorBidi"/>
      <w:kern w:val="2"/>
      <w:sz w:val="18"/>
      <w:szCs w:val="18"/>
    </w:rPr>
  </w:style>
  <w:style w:type="character" w:customStyle="1" w:styleId="53">
    <w:name w:val="正文缩进 Char"/>
    <w:basedOn w:val="26"/>
    <w:link w:val="7"/>
    <w:autoRedefine/>
    <w:qFormat/>
    <w:uiPriority w:val="0"/>
    <w:rPr>
      <w:kern w:val="2"/>
      <w:sz w:val="21"/>
    </w:rPr>
  </w:style>
  <w:style w:type="character" w:customStyle="1" w:styleId="54">
    <w:name w:val="font11"/>
    <w:basedOn w:val="26"/>
    <w:autoRedefine/>
    <w:qFormat/>
    <w:uiPriority w:val="0"/>
    <w:rPr>
      <w:rFonts w:hint="eastAsia" w:ascii="宋体" w:hAnsi="宋体" w:eastAsia="宋体" w:cs="宋体"/>
      <w:color w:val="000000"/>
      <w:sz w:val="24"/>
      <w:szCs w:val="24"/>
      <w:u w:val="none"/>
    </w:rPr>
  </w:style>
  <w:style w:type="character" w:customStyle="1" w:styleId="55">
    <w:name w:val="font01"/>
    <w:basedOn w:val="26"/>
    <w:autoRedefine/>
    <w:qFormat/>
    <w:uiPriority w:val="0"/>
    <w:rPr>
      <w:rFonts w:hint="eastAsia" w:ascii="仿宋" w:hAnsi="仿宋" w:eastAsia="仿宋" w:cs="仿宋"/>
      <w:color w:val="000000"/>
      <w:sz w:val="24"/>
      <w:szCs w:val="24"/>
      <w:u w:val="none"/>
    </w:rPr>
  </w:style>
  <w:style w:type="paragraph" w:styleId="56">
    <w:name w:val="List Paragraph"/>
    <w:basedOn w:val="1"/>
    <w:autoRedefine/>
    <w:unhideWhenUsed/>
    <w:qFormat/>
    <w:uiPriority w:val="99"/>
    <w:pPr>
      <w:ind w:firstLine="420" w:firstLineChars="200"/>
    </w:pPr>
  </w:style>
  <w:style w:type="paragraph" w:customStyle="1" w:styleId="57">
    <w:name w:val="纯文本1"/>
    <w:basedOn w:val="1"/>
    <w:autoRedefine/>
    <w:qFormat/>
    <w:uiPriority w:val="0"/>
    <w:pPr>
      <w:spacing w:line="324" w:lineRule="auto"/>
    </w:pPr>
    <w:rPr>
      <w:rFonts w:ascii="宋体" w:hAnsi="Courier New" w:eastAsia="宋体" w:cs="Courier New"/>
      <w:sz w:val="21"/>
      <w:szCs w:val="21"/>
    </w:rPr>
  </w:style>
  <w:style w:type="character" w:customStyle="1" w:styleId="58">
    <w:name w:val="正文文本 Char"/>
    <w:basedOn w:val="26"/>
    <w:link w:val="9"/>
    <w:autoRedefine/>
    <w:qFormat/>
    <w:uiPriority w:val="0"/>
    <w:rPr>
      <w:kern w:val="2"/>
      <w:sz w:val="28"/>
    </w:rPr>
  </w:style>
  <w:style w:type="character" w:customStyle="1" w:styleId="59">
    <w:name w:val="正文首行缩进 Char"/>
    <w:basedOn w:val="58"/>
    <w:link w:val="22"/>
    <w:autoRedefine/>
    <w:qFormat/>
    <w:uiPriority w:val="0"/>
    <w:rPr>
      <w:kern w:val="2"/>
      <w:sz w:val="28"/>
    </w:rPr>
  </w:style>
  <w:style w:type="character" w:customStyle="1" w:styleId="60">
    <w:name w:val="标题 1 Char"/>
    <w:basedOn w:val="26"/>
    <w:link w:val="3"/>
    <w:autoRedefine/>
    <w:qFormat/>
    <w:uiPriority w:val="0"/>
    <w:rPr>
      <w:rFonts w:eastAsia="华文楷体" w:asciiTheme="minorHAnsi" w:hAnsiTheme="minorHAnsi" w:cstheme="minorBidi"/>
      <w:b/>
      <w:bCs/>
      <w:kern w:val="44"/>
      <w:sz w:val="36"/>
      <w:szCs w:val="44"/>
    </w:rPr>
  </w:style>
  <w:style w:type="character" w:customStyle="1" w:styleId="61">
    <w:name w:val="indent"/>
    <w:basedOn w:val="26"/>
    <w:autoRedefine/>
    <w:qFormat/>
    <w:uiPriority w:val="0"/>
  </w:style>
  <w:style w:type="character" w:customStyle="1" w:styleId="62">
    <w:name w:val="hover2"/>
    <w:basedOn w:val="26"/>
    <w:autoRedefine/>
    <w:qFormat/>
    <w:uiPriority w:val="0"/>
    <w:rPr>
      <w:shd w:val="clear" w:fill="EEEEEE"/>
    </w:rPr>
  </w:style>
  <w:style w:type="character" w:customStyle="1" w:styleId="63">
    <w:name w:val="hover"/>
    <w:basedOn w:val="26"/>
    <w:autoRedefine/>
    <w:qFormat/>
    <w:uiPriority w:val="0"/>
    <w:rPr>
      <w:shd w:val="clear" w:fill="EEEEEE"/>
    </w:rPr>
  </w:style>
  <w:style w:type="character" w:customStyle="1" w:styleId="64">
    <w:name w:val="glyphicon"/>
    <w:basedOn w:val="26"/>
    <w:autoRedefine/>
    <w:qFormat/>
    <w:uiPriority w:val="0"/>
  </w:style>
  <w:style w:type="paragraph" w:customStyle="1" w:styleId="65">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6">
    <w:name w:val="Char1"/>
    <w:basedOn w:val="1"/>
    <w:autoRedefine/>
    <w:qFormat/>
    <w:uiPriority w:val="0"/>
    <w:rPr>
      <w:szCs w:val="21"/>
    </w:rPr>
  </w:style>
  <w:style w:type="character" w:customStyle="1" w:styleId="67">
    <w:name w:val="cfdate"/>
    <w:basedOn w:val="26"/>
    <w:autoRedefine/>
    <w:qFormat/>
    <w:uiPriority w:val="0"/>
    <w:rPr>
      <w:color w:val="333333"/>
      <w:sz w:val="18"/>
      <w:szCs w:val="18"/>
    </w:rPr>
  </w:style>
  <w:style w:type="character" w:customStyle="1" w:styleId="68">
    <w:name w:val="gjfg"/>
    <w:basedOn w:val="26"/>
    <w:autoRedefine/>
    <w:qFormat/>
    <w:uiPriority w:val="0"/>
  </w:style>
  <w:style w:type="character" w:customStyle="1" w:styleId="69">
    <w:name w:val="prev2"/>
    <w:basedOn w:val="26"/>
    <w:autoRedefine/>
    <w:qFormat/>
    <w:uiPriority w:val="0"/>
    <w:rPr>
      <w:color w:val="888888"/>
    </w:rPr>
  </w:style>
  <w:style w:type="character" w:customStyle="1" w:styleId="70">
    <w:name w:val="prev3"/>
    <w:basedOn w:val="26"/>
    <w:autoRedefine/>
    <w:qFormat/>
    <w:uiPriority w:val="0"/>
    <w:rPr>
      <w:rFonts w:ascii="微软雅黑" w:hAnsi="微软雅黑" w:eastAsia="微软雅黑" w:cs="微软雅黑"/>
      <w:sz w:val="21"/>
      <w:szCs w:val="21"/>
    </w:rPr>
  </w:style>
  <w:style w:type="character" w:customStyle="1" w:styleId="71">
    <w:name w:val="next2"/>
    <w:basedOn w:val="26"/>
    <w:autoRedefine/>
    <w:qFormat/>
    <w:uiPriority w:val="0"/>
    <w:rPr>
      <w:color w:val="888888"/>
    </w:rPr>
  </w:style>
  <w:style w:type="character" w:customStyle="1" w:styleId="72">
    <w:name w:val="next3"/>
    <w:basedOn w:val="26"/>
    <w:autoRedefine/>
    <w:qFormat/>
    <w:uiPriority w:val="0"/>
    <w:rPr>
      <w:rFonts w:hint="eastAsia" w:ascii="微软雅黑" w:hAnsi="微软雅黑" w:eastAsia="微软雅黑" w:cs="微软雅黑"/>
      <w:sz w:val="21"/>
      <w:szCs w:val="21"/>
    </w:rPr>
  </w:style>
  <w:style w:type="character" w:customStyle="1" w:styleId="73">
    <w:name w:val="qxdate"/>
    <w:basedOn w:val="26"/>
    <w:autoRedefine/>
    <w:qFormat/>
    <w:uiPriority w:val="0"/>
    <w:rPr>
      <w:color w:val="333333"/>
      <w:sz w:val="18"/>
      <w:szCs w:val="18"/>
    </w:rPr>
  </w:style>
  <w:style w:type="character" w:customStyle="1" w:styleId="74">
    <w:name w:val="displayarti"/>
    <w:basedOn w:val="26"/>
    <w:qFormat/>
    <w:uiPriority w:val="0"/>
    <w:rPr>
      <w:color w:val="FFFFFF"/>
      <w:shd w:val="clear" w:fill="A00000"/>
    </w:rPr>
  </w:style>
  <w:style w:type="character" w:customStyle="1" w:styleId="75">
    <w:name w:val="redfilenumber"/>
    <w:basedOn w:val="26"/>
    <w:qFormat/>
    <w:uiPriority w:val="0"/>
    <w:rPr>
      <w:color w:val="BA2636"/>
      <w:sz w:val="18"/>
      <w:szCs w:val="18"/>
    </w:rPr>
  </w:style>
  <w:style w:type="character" w:customStyle="1" w:styleId="76">
    <w:name w:val="redfilefwwh"/>
    <w:basedOn w:val="26"/>
    <w:qFormat/>
    <w:uiPriority w:val="0"/>
    <w:rPr>
      <w:color w:val="BA2636"/>
      <w:sz w:val="18"/>
      <w:szCs w:val="18"/>
    </w:rPr>
  </w:style>
  <w:style w:type="character" w:customStyle="1" w:styleId="77">
    <w:name w:val="next"/>
    <w:basedOn w:val="26"/>
    <w:qFormat/>
    <w:uiPriority w:val="0"/>
    <w:rPr>
      <w:rFonts w:ascii="微软雅黑" w:hAnsi="微软雅黑" w:eastAsia="微软雅黑" w:cs="微软雅黑"/>
      <w:sz w:val="21"/>
      <w:szCs w:val="21"/>
    </w:rPr>
  </w:style>
  <w:style w:type="character" w:customStyle="1" w:styleId="78">
    <w:name w:val="next1"/>
    <w:basedOn w:val="26"/>
    <w:qFormat/>
    <w:uiPriority w:val="0"/>
    <w:rPr>
      <w:color w:val="888888"/>
    </w:rPr>
  </w:style>
  <w:style w:type="paragraph" w:customStyle="1" w:styleId="79">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80">
    <w:name w:val="NormalCharacter"/>
    <w:qFormat/>
    <w:uiPriority w:val="0"/>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WPSOffice手动目录 2"/>
    <w:qFormat/>
    <w:uiPriority w:val="0"/>
    <w:pPr>
      <w:ind w:leftChars="200"/>
    </w:pPr>
    <w:rPr>
      <w:rFonts w:ascii="Times New Roman" w:hAnsi="Times New Roman" w:eastAsia="宋体" w:cs="Times New Roman"/>
      <w:sz w:val="20"/>
      <w:szCs w:val="20"/>
    </w:rPr>
  </w:style>
  <w:style w:type="character" w:customStyle="1" w:styleId="83">
    <w:name w:val="mini-outputtext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38" textRotate="1"/>
    <customShpInfo spid="_x0000_s3080"/>
    <customShpInfo spid="_x0000_s3139" textRotate="1"/>
    <customShpInfo spid="_x0000_s3140" textRotate="1"/>
    <customShpInfo spid="_x0000_s3101"/>
    <customShpInfo spid="_x0000_s3141" textRotate="1"/>
    <customShpInfo spid="_x0000_s3104" textRotate="1"/>
    <customShpInfo spid="_x0000_s3153" textRotate="1"/>
    <customShpInfo spid="_x0000_s3151" textRotate="1"/>
    <customShpInfo spid="_x0000_s3152"/>
    <customShpInfo spid="_x0000_s3144" textRotate="1"/>
    <customShpInfo spid="_x0000_s3145" textRotate="1"/>
    <customShpInfo spid="_x0000_s3078"/>
    <customShpInfo spid="_x0000_s3146" textRotate="1"/>
    <customShpInfo spid="_x0000_s3147" textRotate="1"/>
    <customShpInfo spid="_x0000_s3148" textRotate="1"/>
    <customShpInfo spid="_x0000_s3137"/>
    <customShpInfo spid="_x0000_s3149" textRotate="1"/>
    <customShpInfo spid="_x0000_s31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82</Pages>
  <Words>42083</Words>
  <Characters>43996</Characters>
  <Lines>279</Lines>
  <Paragraphs>78</Paragraphs>
  <TotalTime>45</TotalTime>
  <ScaleCrop>false</ScaleCrop>
  <LinksUpToDate>false</LinksUpToDate>
  <CharactersWithSpaces>46271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妮妮</cp:lastModifiedBy>
  <cp:lastPrinted>2023-11-27T03:15:00Z</cp:lastPrinted>
  <dcterms:modified xsi:type="dcterms:W3CDTF">2024-10-15T07:31:35Z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08C1A96ECF234DD58EAA6B034FB1495A</vt:lpwstr>
  </property>
  <property fmtid="{D5CDD505-2E9C-101B-9397-08002B2CF9AE}" pid="4" name="commondata">
    <vt:lpwstr>eyJoZGlkIjoiN2EyN2VhMDcyYmUwOGI2NDU2NGE2ZWFiMzQwOTUwOTMifQ==</vt:lpwstr>
  </property>
</Properties>
</file>