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87CAD">
      <w:pP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政府采购项目</w:t>
      </w:r>
    </w:p>
    <w:p w14:paraId="0C975B60">
      <w:pPr>
        <w:autoSpaceDE w:val="0"/>
        <w:autoSpaceDN w:val="0"/>
        <w:adjustRightInd w:val="0"/>
        <w:snapToGrid w:val="0"/>
        <w:spacing w:line="360" w:lineRule="auto"/>
        <w:jc w:val="left"/>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采购项目编号：SCZC2024-JT-2371-001</w:t>
      </w:r>
    </w:p>
    <w:p w14:paraId="50ABB0B0">
      <w:pPr>
        <w:tabs>
          <w:tab w:val="left" w:pos="5670"/>
        </w:tabs>
        <w:autoSpaceDE w:val="0"/>
        <w:autoSpaceDN w:val="0"/>
        <w:adjustRightInd w:val="0"/>
        <w:snapToGrid w:val="0"/>
        <w:spacing w:line="360" w:lineRule="auto"/>
        <w:jc w:val="center"/>
        <w:rPr>
          <w:rFonts w:hint="eastAsia" w:ascii="仿宋" w:hAnsi="仿宋" w:eastAsia="仿宋" w:cs="仿宋"/>
          <w:color w:val="auto"/>
          <w:sz w:val="30"/>
          <w:szCs w:val="30"/>
          <w:highlight w:val="none"/>
        </w:rPr>
      </w:pPr>
    </w:p>
    <w:p w14:paraId="51691698">
      <w:pP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p>
    <w:p w14:paraId="47CBA177">
      <w:pPr>
        <w:tabs>
          <w:tab w:val="left" w:pos="5670"/>
        </w:tabs>
        <w:autoSpaceDE w:val="0"/>
        <w:autoSpaceDN w:val="0"/>
        <w:adjustRightInd w:val="0"/>
        <w:snapToGrid w:val="0"/>
        <w:spacing w:line="360" w:lineRule="auto"/>
        <w:jc w:val="center"/>
        <w:rPr>
          <w:rFonts w:hint="eastAsia" w:ascii="仿宋" w:hAnsi="仿宋" w:eastAsia="仿宋" w:cs="仿宋"/>
          <w:color w:val="auto"/>
          <w:sz w:val="32"/>
          <w:szCs w:val="32"/>
          <w:highlight w:val="none"/>
        </w:rPr>
      </w:pPr>
    </w:p>
    <w:p w14:paraId="3113E8DA">
      <w:pPr>
        <w:autoSpaceDE w:val="0"/>
        <w:autoSpaceDN w:val="0"/>
        <w:adjustRightInd w:val="0"/>
        <w:snapToGrid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eastAsia="zh-CN"/>
        </w:rPr>
        <w:t>两专科一中心和重点专科（呼吸科）医疗设备采购项目</w:t>
      </w:r>
    </w:p>
    <w:p w14:paraId="5E67CC0D">
      <w:pPr>
        <w:tabs>
          <w:tab w:val="left" w:pos="5670"/>
        </w:tabs>
        <w:autoSpaceDE w:val="0"/>
        <w:autoSpaceDN w:val="0"/>
        <w:adjustRightInd w:val="0"/>
        <w:snapToGrid w:val="0"/>
        <w:spacing w:line="360" w:lineRule="auto"/>
        <w:jc w:val="center"/>
        <w:rPr>
          <w:rFonts w:hint="eastAsia" w:ascii="仿宋" w:hAnsi="仿宋" w:eastAsia="仿宋" w:cs="仿宋"/>
          <w:b/>
          <w:bCs/>
          <w:color w:val="auto"/>
          <w:sz w:val="36"/>
          <w:szCs w:val="36"/>
          <w:highlight w:val="none"/>
          <w:lang w:val="zh-CN"/>
        </w:rPr>
      </w:pPr>
    </w:p>
    <w:p w14:paraId="3E66347E">
      <w:pPr>
        <w:tabs>
          <w:tab w:val="left" w:pos="5670"/>
        </w:tabs>
        <w:autoSpaceDE w:val="0"/>
        <w:autoSpaceDN w:val="0"/>
        <w:adjustRightInd w:val="0"/>
        <w:snapToGrid w:val="0"/>
        <w:spacing w:line="360" w:lineRule="auto"/>
        <w:jc w:val="center"/>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竞争性谈判文件</w:t>
      </w:r>
    </w:p>
    <w:p w14:paraId="0047D454">
      <w:pP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53F76CFC">
      <w:pP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bookmarkStart w:id="591" w:name="_GoBack"/>
      <w:bookmarkEnd w:id="591"/>
    </w:p>
    <w:p w14:paraId="4963B71F">
      <w:pPr>
        <w:tabs>
          <w:tab w:val="left" w:pos="5670"/>
        </w:tabs>
        <w:autoSpaceDE w:val="0"/>
        <w:autoSpaceDN w:val="0"/>
        <w:adjustRightInd w:val="0"/>
        <w:snapToGrid w:val="0"/>
        <w:spacing w:line="360" w:lineRule="auto"/>
        <w:jc w:val="center"/>
        <w:rPr>
          <w:rFonts w:hint="eastAsia" w:ascii="仿宋" w:hAnsi="仿宋" w:eastAsia="仿宋" w:cs="仿宋"/>
          <w:color w:val="auto"/>
          <w:sz w:val="50"/>
          <w:szCs w:val="50"/>
          <w:highlight w:val="none"/>
        </w:rPr>
      </w:pPr>
    </w:p>
    <w:p w14:paraId="31C551C2">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p>
    <w:p w14:paraId="0AACF004">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p>
    <w:p w14:paraId="72578485">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p>
    <w:p w14:paraId="05712F59">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p>
    <w:p w14:paraId="45A32B97">
      <w:pPr>
        <w:tabs>
          <w:tab w:val="left" w:pos="567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zh-CN"/>
        </w:rPr>
        <w:t>陕西省采购招标有限责任公司</w:t>
      </w:r>
    </w:p>
    <w:p w14:paraId="0839B36A">
      <w:pPr>
        <w:tabs>
          <w:tab w:val="left" w:pos="5460"/>
        </w:tabs>
        <w:autoSpaceDE w:val="0"/>
        <w:autoSpaceDN w:val="0"/>
        <w:adjustRightInd w:val="0"/>
        <w:snapToGrid w:val="0"/>
        <w:spacing w:line="360" w:lineRule="auto"/>
        <w:jc w:val="center"/>
        <w:rPr>
          <w:rFonts w:hint="eastAsia" w:ascii="仿宋" w:hAnsi="仿宋" w:eastAsia="仿宋" w:cs="仿宋"/>
          <w:b/>
          <w:bCs/>
          <w:color w:val="auto"/>
          <w:sz w:val="30"/>
          <w:szCs w:val="30"/>
          <w:highlight w:val="none"/>
          <w:lang w:val="zh-CN"/>
        </w:rPr>
      </w:pPr>
      <w:r>
        <w:rPr>
          <w:rFonts w:hint="eastAsia" w:ascii="仿宋" w:hAnsi="仿宋" w:eastAsia="仿宋" w:cs="仿宋"/>
          <w:b/>
          <w:bCs/>
          <w:color w:val="auto"/>
          <w:sz w:val="30"/>
          <w:szCs w:val="30"/>
          <w:highlight w:val="none"/>
          <w:lang w:val="zh-CN"/>
        </w:rPr>
        <w:t>二〇</w:t>
      </w:r>
      <w:r>
        <w:rPr>
          <w:rFonts w:hint="eastAsia" w:ascii="仿宋" w:hAnsi="仿宋" w:eastAsia="仿宋" w:cs="仿宋"/>
          <w:b/>
          <w:bCs/>
          <w:color w:val="auto"/>
          <w:sz w:val="30"/>
          <w:szCs w:val="30"/>
          <w:highlight w:val="none"/>
          <w:lang w:val="en-US" w:eastAsia="zh-CN"/>
        </w:rPr>
        <w:t>二四</w:t>
      </w:r>
      <w:r>
        <w:rPr>
          <w:rFonts w:hint="eastAsia" w:ascii="仿宋" w:hAnsi="仿宋" w:eastAsia="仿宋" w:cs="仿宋"/>
          <w:b/>
          <w:bCs/>
          <w:color w:val="auto"/>
          <w:sz w:val="30"/>
          <w:szCs w:val="30"/>
          <w:highlight w:val="none"/>
          <w:lang w:val="zh-CN"/>
        </w:rPr>
        <w:t>年</w:t>
      </w:r>
      <w:r>
        <w:rPr>
          <w:rFonts w:hint="eastAsia" w:ascii="仿宋" w:hAnsi="仿宋" w:eastAsia="仿宋" w:cs="仿宋"/>
          <w:b/>
          <w:bCs/>
          <w:color w:val="auto"/>
          <w:sz w:val="30"/>
          <w:szCs w:val="30"/>
          <w:highlight w:val="none"/>
          <w:lang w:val="en-US" w:eastAsia="zh-CN"/>
        </w:rPr>
        <w:t>十</w:t>
      </w:r>
      <w:r>
        <w:rPr>
          <w:rFonts w:hint="eastAsia" w:ascii="仿宋" w:hAnsi="仿宋" w:eastAsia="仿宋" w:cs="仿宋"/>
          <w:b/>
          <w:bCs/>
          <w:color w:val="auto"/>
          <w:sz w:val="30"/>
          <w:szCs w:val="30"/>
          <w:highlight w:val="none"/>
          <w:lang w:val="zh-CN"/>
        </w:rPr>
        <w:t>月</w:t>
      </w:r>
    </w:p>
    <w:p w14:paraId="117153C9">
      <w:pPr>
        <w:tabs>
          <w:tab w:val="left" w:pos="3739"/>
        </w:tabs>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ab/>
      </w:r>
    </w:p>
    <w:p w14:paraId="7F2CF065">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6A48A369">
      <w:pPr>
        <w:pStyle w:val="23"/>
        <w:rPr>
          <w:rFonts w:hint="eastAsia" w:ascii="仿宋" w:hAnsi="仿宋" w:eastAsia="仿宋" w:cs="仿宋"/>
          <w:color w:val="auto"/>
          <w:highlight w:val="none"/>
        </w:rPr>
        <w:sectPr>
          <w:headerReference r:id="rId5" w:type="first"/>
          <w:headerReference r:id="rId3" w:type="default"/>
          <w:headerReference r:id="rId4" w:type="even"/>
          <w:footerReference r:id="rId6" w:type="even"/>
          <w:pgSz w:w="11906" w:h="16838"/>
          <w:pgMar w:top="1440" w:right="1083" w:bottom="1440" w:left="1083" w:header="851" w:footer="992" w:gutter="0"/>
          <w:pgBorders>
            <w:top w:val="none" w:sz="0" w:space="0"/>
            <w:left w:val="none" w:sz="0" w:space="0"/>
            <w:bottom w:val="none" w:sz="0" w:space="0"/>
            <w:right w:val="none" w:sz="0" w:space="0"/>
          </w:pgBorders>
          <w:pgNumType w:start="0"/>
          <w:cols w:space="720" w:num="1"/>
          <w:titlePg/>
          <w:docGrid w:linePitch="312" w:charSpace="0"/>
        </w:sectPr>
      </w:pPr>
    </w:p>
    <w:p w14:paraId="34FB273D">
      <w:pPr>
        <w:pStyle w:val="5"/>
        <w:ind w:firstLine="0" w:firstLineChars="0"/>
        <w:jc w:val="center"/>
        <w:rPr>
          <w:rFonts w:hint="eastAsia" w:ascii="仿宋" w:hAnsi="仿宋" w:eastAsia="仿宋" w:cs="仿宋"/>
          <w:b/>
          <w:color w:val="auto"/>
          <w:sz w:val="32"/>
          <w:szCs w:val="32"/>
          <w:highlight w:val="none"/>
        </w:rPr>
      </w:pPr>
    </w:p>
    <w:p w14:paraId="247E06B4">
      <w:pPr>
        <w:pStyle w:val="5"/>
        <w:ind w:firstLine="0" w:firstLineChars="0"/>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目  录</w:t>
      </w:r>
    </w:p>
    <w:p w14:paraId="65B0B6D4">
      <w:pPr>
        <w:pStyle w:val="36"/>
        <w:tabs>
          <w:tab w:val="right" w:leader="dot" w:pos="9740"/>
          <w:tab w:val="clear" w:pos="9344"/>
        </w:tabs>
        <w:rPr>
          <w:b w:val="0"/>
          <w:bCs w:val="0"/>
          <w:color w:val="auto"/>
          <w:highlight w:val="none"/>
        </w:rPr>
      </w:pPr>
      <w:r>
        <w:rPr>
          <w:rFonts w:hint="eastAsia" w:ascii="仿宋" w:hAnsi="仿宋" w:eastAsia="仿宋" w:cs="仿宋"/>
          <w:b w:val="0"/>
          <w:bCs w:val="0"/>
          <w:color w:val="auto"/>
          <w:sz w:val="20"/>
          <w:highlight w:val="none"/>
        </w:rPr>
        <w:fldChar w:fldCharType="begin"/>
      </w:r>
      <w:r>
        <w:rPr>
          <w:rFonts w:hint="eastAsia" w:ascii="仿宋" w:hAnsi="仿宋" w:eastAsia="仿宋" w:cs="仿宋"/>
          <w:b w:val="0"/>
          <w:bCs w:val="0"/>
          <w:color w:val="auto"/>
          <w:sz w:val="20"/>
          <w:highlight w:val="none"/>
        </w:rPr>
        <w:instrText xml:space="preserve"> TOC \o "1-2" \h \z \u </w:instrText>
      </w:r>
      <w:r>
        <w:rPr>
          <w:rFonts w:hint="eastAsia" w:ascii="仿宋" w:hAnsi="仿宋" w:eastAsia="仿宋" w:cs="仿宋"/>
          <w:b w:val="0"/>
          <w:bCs w:val="0"/>
          <w:color w:val="auto"/>
          <w:sz w:val="20"/>
          <w:highlight w:val="none"/>
        </w:rPr>
        <w:fldChar w:fldCharType="separate"/>
      </w:r>
      <w:r>
        <w:rPr>
          <w:rFonts w:hint="eastAsia" w:ascii="仿宋" w:hAnsi="仿宋" w:eastAsia="仿宋" w:cs="仿宋"/>
          <w:b w:val="0"/>
          <w:bCs w:val="0"/>
          <w:color w:val="auto"/>
          <w:highlight w:val="none"/>
        </w:rPr>
        <w:fldChar w:fldCharType="begin"/>
      </w:r>
      <w:r>
        <w:rPr>
          <w:rFonts w:hint="eastAsia" w:ascii="仿宋" w:hAnsi="仿宋" w:eastAsia="仿宋" w:cs="仿宋"/>
          <w:b w:val="0"/>
          <w:bCs w:val="0"/>
          <w:color w:val="auto"/>
          <w:highlight w:val="none"/>
        </w:rPr>
        <w:instrText xml:space="preserve"> HYPERLINK \l _Toc11076 </w:instrText>
      </w:r>
      <w:r>
        <w:rPr>
          <w:rFonts w:hint="eastAsia" w:ascii="仿宋" w:hAnsi="仿宋" w:eastAsia="仿宋" w:cs="仿宋"/>
          <w:b w:val="0"/>
          <w:bCs w:val="0"/>
          <w:color w:val="auto"/>
          <w:highlight w:val="none"/>
        </w:rPr>
        <w:fldChar w:fldCharType="separate"/>
      </w:r>
      <w:r>
        <w:rPr>
          <w:rFonts w:hint="eastAsia" w:ascii="仿宋" w:hAnsi="仿宋" w:eastAsia="仿宋" w:cs="仿宋"/>
          <w:b w:val="0"/>
          <w:bCs w:val="0"/>
          <w:color w:val="auto"/>
          <w:kern w:val="0"/>
          <w:szCs w:val="32"/>
          <w:highlight w:val="none"/>
        </w:rPr>
        <w:t>第一章  谈判公告</w:t>
      </w:r>
      <w:r>
        <w:rPr>
          <w:b w:val="0"/>
          <w:bCs w:val="0"/>
          <w:color w:val="auto"/>
          <w:highlight w:val="none"/>
        </w:rPr>
        <w:tab/>
      </w:r>
      <w:r>
        <w:rPr>
          <w:b w:val="0"/>
          <w:bCs w:val="0"/>
          <w:color w:val="auto"/>
          <w:highlight w:val="none"/>
        </w:rPr>
        <w:fldChar w:fldCharType="begin"/>
      </w:r>
      <w:r>
        <w:rPr>
          <w:b w:val="0"/>
          <w:bCs w:val="0"/>
          <w:color w:val="auto"/>
          <w:highlight w:val="none"/>
        </w:rPr>
        <w:instrText xml:space="preserve"> PAGEREF _Toc11076 \h </w:instrText>
      </w:r>
      <w:r>
        <w:rPr>
          <w:b w:val="0"/>
          <w:bCs w:val="0"/>
          <w:color w:val="auto"/>
          <w:highlight w:val="none"/>
        </w:rPr>
        <w:fldChar w:fldCharType="separate"/>
      </w:r>
      <w:r>
        <w:rPr>
          <w:b w:val="0"/>
          <w:bCs w:val="0"/>
          <w:color w:val="auto"/>
          <w:highlight w:val="none"/>
        </w:rPr>
        <w:t>2</w:t>
      </w:r>
      <w:r>
        <w:rPr>
          <w:b w:val="0"/>
          <w:bCs w:val="0"/>
          <w:color w:val="auto"/>
          <w:highlight w:val="none"/>
        </w:rPr>
        <w:fldChar w:fldCharType="end"/>
      </w:r>
      <w:r>
        <w:rPr>
          <w:rFonts w:hint="eastAsia" w:ascii="仿宋" w:hAnsi="仿宋" w:eastAsia="仿宋" w:cs="仿宋"/>
          <w:b w:val="0"/>
          <w:bCs w:val="0"/>
          <w:color w:val="auto"/>
          <w:highlight w:val="none"/>
        </w:rPr>
        <w:fldChar w:fldCharType="end"/>
      </w:r>
    </w:p>
    <w:p w14:paraId="73DF2729">
      <w:pPr>
        <w:pStyle w:val="36"/>
        <w:tabs>
          <w:tab w:val="right" w:leader="dot" w:pos="9740"/>
          <w:tab w:val="clear" w:pos="9344"/>
        </w:tabs>
        <w:rPr>
          <w:b w:val="0"/>
          <w:bCs w:val="0"/>
          <w:color w:val="auto"/>
          <w:highlight w:val="none"/>
        </w:rPr>
      </w:pPr>
      <w:r>
        <w:rPr>
          <w:rFonts w:hint="eastAsia" w:ascii="仿宋" w:hAnsi="仿宋" w:eastAsia="仿宋" w:cs="仿宋"/>
          <w:b w:val="0"/>
          <w:bCs w:val="0"/>
          <w:color w:val="auto"/>
          <w:szCs w:val="20"/>
          <w:highlight w:val="none"/>
        </w:rPr>
        <w:fldChar w:fldCharType="begin"/>
      </w:r>
      <w:r>
        <w:rPr>
          <w:rFonts w:hint="eastAsia" w:ascii="仿宋" w:hAnsi="仿宋" w:eastAsia="仿宋" w:cs="仿宋"/>
          <w:b w:val="0"/>
          <w:bCs w:val="0"/>
          <w:color w:val="auto"/>
          <w:szCs w:val="20"/>
          <w:highlight w:val="none"/>
        </w:rPr>
        <w:instrText xml:space="preserve"> HYPERLINK \l _Toc18896 </w:instrText>
      </w:r>
      <w:r>
        <w:rPr>
          <w:rFonts w:hint="eastAsia" w:ascii="仿宋" w:hAnsi="仿宋" w:eastAsia="仿宋" w:cs="仿宋"/>
          <w:b w:val="0"/>
          <w:bCs w:val="0"/>
          <w:color w:val="auto"/>
          <w:szCs w:val="20"/>
          <w:highlight w:val="none"/>
        </w:rPr>
        <w:fldChar w:fldCharType="separate"/>
      </w:r>
      <w:r>
        <w:rPr>
          <w:rFonts w:hint="eastAsia" w:ascii="仿宋" w:hAnsi="仿宋" w:eastAsia="仿宋" w:cs="仿宋"/>
          <w:b w:val="0"/>
          <w:bCs w:val="0"/>
          <w:color w:val="auto"/>
          <w:kern w:val="0"/>
          <w:szCs w:val="32"/>
          <w:highlight w:val="none"/>
        </w:rPr>
        <w:t>第二章  供应商须知</w:t>
      </w:r>
      <w:r>
        <w:rPr>
          <w:b w:val="0"/>
          <w:bCs w:val="0"/>
          <w:color w:val="auto"/>
          <w:highlight w:val="none"/>
        </w:rPr>
        <w:tab/>
      </w:r>
      <w:r>
        <w:rPr>
          <w:b w:val="0"/>
          <w:bCs w:val="0"/>
          <w:color w:val="auto"/>
          <w:highlight w:val="none"/>
        </w:rPr>
        <w:fldChar w:fldCharType="begin"/>
      </w:r>
      <w:r>
        <w:rPr>
          <w:b w:val="0"/>
          <w:bCs w:val="0"/>
          <w:color w:val="auto"/>
          <w:highlight w:val="none"/>
        </w:rPr>
        <w:instrText xml:space="preserve"> PAGEREF _Toc18896 \h </w:instrText>
      </w:r>
      <w:r>
        <w:rPr>
          <w:b w:val="0"/>
          <w:bCs w:val="0"/>
          <w:color w:val="auto"/>
          <w:highlight w:val="none"/>
        </w:rPr>
        <w:fldChar w:fldCharType="separate"/>
      </w:r>
      <w:r>
        <w:rPr>
          <w:b w:val="0"/>
          <w:bCs w:val="0"/>
          <w:color w:val="auto"/>
          <w:highlight w:val="none"/>
        </w:rPr>
        <w:t>7</w:t>
      </w:r>
      <w:r>
        <w:rPr>
          <w:b w:val="0"/>
          <w:bCs w:val="0"/>
          <w:color w:val="auto"/>
          <w:highlight w:val="none"/>
        </w:rPr>
        <w:fldChar w:fldCharType="end"/>
      </w:r>
      <w:r>
        <w:rPr>
          <w:rFonts w:hint="eastAsia" w:ascii="仿宋" w:hAnsi="仿宋" w:eastAsia="仿宋" w:cs="仿宋"/>
          <w:b w:val="0"/>
          <w:bCs w:val="0"/>
          <w:color w:val="auto"/>
          <w:szCs w:val="20"/>
          <w:highlight w:val="none"/>
        </w:rPr>
        <w:fldChar w:fldCharType="end"/>
      </w:r>
    </w:p>
    <w:p w14:paraId="72D8212C">
      <w:pPr>
        <w:pStyle w:val="36"/>
        <w:tabs>
          <w:tab w:val="right" w:leader="dot" w:pos="9740"/>
          <w:tab w:val="clear" w:pos="9344"/>
        </w:tabs>
        <w:rPr>
          <w:b w:val="0"/>
          <w:bCs w:val="0"/>
          <w:color w:val="auto"/>
          <w:highlight w:val="none"/>
        </w:rPr>
      </w:pPr>
      <w:r>
        <w:rPr>
          <w:rFonts w:hint="eastAsia" w:ascii="仿宋" w:hAnsi="仿宋" w:eastAsia="仿宋" w:cs="仿宋"/>
          <w:b w:val="0"/>
          <w:bCs w:val="0"/>
          <w:color w:val="auto"/>
          <w:szCs w:val="20"/>
          <w:highlight w:val="none"/>
        </w:rPr>
        <w:fldChar w:fldCharType="begin"/>
      </w:r>
      <w:r>
        <w:rPr>
          <w:rFonts w:hint="eastAsia" w:ascii="仿宋" w:hAnsi="仿宋" w:eastAsia="仿宋" w:cs="仿宋"/>
          <w:b w:val="0"/>
          <w:bCs w:val="0"/>
          <w:color w:val="auto"/>
          <w:szCs w:val="20"/>
          <w:highlight w:val="none"/>
        </w:rPr>
        <w:instrText xml:space="preserve"> HYPERLINK \l _Toc18017 </w:instrText>
      </w:r>
      <w:r>
        <w:rPr>
          <w:rFonts w:hint="eastAsia" w:ascii="仿宋" w:hAnsi="仿宋" w:eastAsia="仿宋" w:cs="仿宋"/>
          <w:b w:val="0"/>
          <w:bCs w:val="0"/>
          <w:color w:val="auto"/>
          <w:szCs w:val="20"/>
          <w:highlight w:val="none"/>
        </w:rPr>
        <w:fldChar w:fldCharType="separate"/>
      </w:r>
      <w:r>
        <w:rPr>
          <w:rFonts w:hint="eastAsia" w:ascii="仿宋" w:hAnsi="仿宋" w:eastAsia="仿宋" w:cs="仿宋"/>
          <w:b w:val="0"/>
          <w:bCs w:val="0"/>
          <w:color w:val="auto"/>
          <w:kern w:val="0"/>
          <w:szCs w:val="32"/>
          <w:highlight w:val="none"/>
        </w:rPr>
        <w:t>第三章  拟签订的合同文本</w:t>
      </w:r>
      <w:r>
        <w:rPr>
          <w:b w:val="0"/>
          <w:bCs w:val="0"/>
          <w:color w:val="auto"/>
          <w:highlight w:val="none"/>
        </w:rPr>
        <w:tab/>
      </w:r>
      <w:r>
        <w:rPr>
          <w:b w:val="0"/>
          <w:bCs w:val="0"/>
          <w:color w:val="auto"/>
          <w:highlight w:val="none"/>
        </w:rPr>
        <w:fldChar w:fldCharType="begin"/>
      </w:r>
      <w:r>
        <w:rPr>
          <w:b w:val="0"/>
          <w:bCs w:val="0"/>
          <w:color w:val="auto"/>
          <w:highlight w:val="none"/>
        </w:rPr>
        <w:instrText xml:space="preserve"> PAGEREF _Toc18017 \h </w:instrText>
      </w:r>
      <w:r>
        <w:rPr>
          <w:b w:val="0"/>
          <w:bCs w:val="0"/>
          <w:color w:val="auto"/>
          <w:highlight w:val="none"/>
        </w:rPr>
        <w:fldChar w:fldCharType="separate"/>
      </w:r>
      <w:r>
        <w:rPr>
          <w:b w:val="0"/>
          <w:bCs w:val="0"/>
          <w:color w:val="auto"/>
          <w:highlight w:val="none"/>
        </w:rPr>
        <w:t>31</w:t>
      </w:r>
      <w:r>
        <w:rPr>
          <w:b w:val="0"/>
          <w:bCs w:val="0"/>
          <w:color w:val="auto"/>
          <w:highlight w:val="none"/>
        </w:rPr>
        <w:fldChar w:fldCharType="end"/>
      </w:r>
      <w:r>
        <w:rPr>
          <w:rFonts w:hint="eastAsia" w:ascii="仿宋" w:hAnsi="仿宋" w:eastAsia="仿宋" w:cs="仿宋"/>
          <w:b w:val="0"/>
          <w:bCs w:val="0"/>
          <w:color w:val="auto"/>
          <w:szCs w:val="20"/>
          <w:highlight w:val="none"/>
        </w:rPr>
        <w:fldChar w:fldCharType="end"/>
      </w:r>
    </w:p>
    <w:p w14:paraId="457CAE97">
      <w:pPr>
        <w:pStyle w:val="36"/>
        <w:tabs>
          <w:tab w:val="right" w:leader="dot" w:pos="9740"/>
          <w:tab w:val="clear" w:pos="9344"/>
        </w:tabs>
        <w:rPr>
          <w:b w:val="0"/>
          <w:bCs w:val="0"/>
          <w:color w:val="auto"/>
          <w:highlight w:val="none"/>
        </w:rPr>
      </w:pPr>
      <w:r>
        <w:rPr>
          <w:rFonts w:hint="eastAsia" w:ascii="仿宋" w:hAnsi="仿宋" w:eastAsia="仿宋" w:cs="仿宋"/>
          <w:b w:val="0"/>
          <w:bCs w:val="0"/>
          <w:color w:val="auto"/>
          <w:szCs w:val="20"/>
          <w:highlight w:val="none"/>
        </w:rPr>
        <w:fldChar w:fldCharType="begin"/>
      </w:r>
      <w:r>
        <w:rPr>
          <w:rFonts w:hint="eastAsia" w:ascii="仿宋" w:hAnsi="仿宋" w:eastAsia="仿宋" w:cs="仿宋"/>
          <w:b w:val="0"/>
          <w:bCs w:val="0"/>
          <w:color w:val="auto"/>
          <w:szCs w:val="20"/>
          <w:highlight w:val="none"/>
        </w:rPr>
        <w:instrText xml:space="preserve"> HYPERLINK \l _Toc25263 </w:instrText>
      </w:r>
      <w:r>
        <w:rPr>
          <w:rFonts w:hint="eastAsia" w:ascii="仿宋" w:hAnsi="仿宋" w:eastAsia="仿宋" w:cs="仿宋"/>
          <w:b w:val="0"/>
          <w:bCs w:val="0"/>
          <w:color w:val="auto"/>
          <w:szCs w:val="20"/>
          <w:highlight w:val="none"/>
        </w:rPr>
        <w:fldChar w:fldCharType="separate"/>
      </w:r>
      <w:r>
        <w:rPr>
          <w:rFonts w:hint="eastAsia" w:ascii="仿宋" w:hAnsi="仿宋" w:eastAsia="仿宋" w:cs="仿宋"/>
          <w:b w:val="0"/>
          <w:bCs w:val="0"/>
          <w:color w:val="auto"/>
          <w:kern w:val="0"/>
          <w:szCs w:val="32"/>
          <w:highlight w:val="none"/>
        </w:rPr>
        <w:t>第四章  采购内容及要求</w:t>
      </w:r>
      <w:r>
        <w:rPr>
          <w:b w:val="0"/>
          <w:bCs w:val="0"/>
          <w:color w:val="auto"/>
          <w:highlight w:val="none"/>
        </w:rPr>
        <w:tab/>
      </w:r>
      <w:r>
        <w:rPr>
          <w:b w:val="0"/>
          <w:bCs w:val="0"/>
          <w:color w:val="auto"/>
          <w:highlight w:val="none"/>
        </w:rPr>
        <w:fldChar w:fldCharType="begin"/>
      </w:r>
      <w:r>
        <w:rPr>
          <w:b w:val="0"/>
          <w:bCs w:val="0"/>
          <w:color w:val="auto"/>
          <w:highlight w:val="none"/>
        </w:rPr>
        <w:instrText xml:space="preserve"> PAGEREF _Toc25263 \h </w:instrText>
      </w:r>
      <w:r>
        <w:rPr>
          <w:b w:val="0"/>
          <w:bCs w:val="0"/>
          <w:color w:val="auto"/>
          <w:highlight w:val="none"/>
        </w:rPr>
        <w:fldChar w:fldCharType="separate"/>
      </w:r>
      <w:r>
        <w:rPr>
          <w:b w:val="0"/>
          <w:bCs w:val="0"/>
          <w:color w:val="auto"/>
          <w:highlight w:val="none"/>
        </w:rPr>
        <w:t>36</w:t>
      </w:r>
      <w:r>
        <w:rPr>
          <w:b w:val="0"/>
          <w:bCs w:val="0"/>
          <w:color w:val="auto"/>
          <w:highlight w:val="none"/>
        </w:rPr>
        <w:fldChar w:fldCharType="end"/>
      </w:r>
      <w:r>
        <w:rPr>
          <w:rFonts w:hint="eastAsia" w:ascii="仿宋" w:hAnsi="仿宋" w:eastAsia="仿宋" w:cs="仿宋"/>
          <w:b w:val="0"/>
          <w:bCs w:val="0"/>
          <w:color w:val="auto"/>
          <w:szCs w:val="20"/>
          <w:highlight w:val="none"/>
        </w:rPr>
        <w:fldChar w:fldCharType="end"/>
      </w:r>
    </w:p>
    <w:p w14:paraId="4692427F">
      <w:pPr>
        <w:pStyle w:val="36"/>
        <w:tabs>
          <w:tab w:val="right" w:leader="dot" w:pos="9740"/>
          <w:tab w:val="clear" w:pos="9344"/>
        </w:tabs>
        <w:rPr>
          <w:b w:val="0"/>
          <w:bCs w:val="0"/>
          <w:color w:val="auto"/>
          <w:highlight w:val="none"/>
        </w:rPr>
      </w:pPr>
      <w:r>
        <w:rPr>
          <w:rFonts w:hint="eastAsia" w:ascii="仿宋" w:hAnsi="仿宋" w:eastAsia="仿宋" w:cs="仿宋"/>
          <w:b w:val="0"/>
          <w:bCs w:val="0"/>
          <w:color w:val="auto"/>
          <w:szCs w:val="20"/>
          <w:highlight w:val="none"/>
        </w:rPr>
        <w:fldChar w:fldCharType="begin"/>
      </w:r>
      <w:r>
        <w:rPr>
          <w:rFonts w:hint="eastAsia" w:ascii="仿宋" w:hAnsi="仿宋" w:eastAsia="仿宋" w:cs="仿宋"/>
          <w:b w:val="0"/>
          <w:bCs w:val="0"/>
          <w:color w:val="auto"/>
          <w:szCs w:val="20"/>
          <w:highlight w:val="none"/>
        </w:rPr>
        <w:instrText xml:space="preserve"> HYPERLINK \l _Toc26099 </w:instrText>
      </w:r>
      <w:r>
        <w:rPr>
          <w:rFonts w:hint="eastAsia" w:ascii="仿宋" w:hAnsi="仿宋" w:eastAsia="仿宋" w:cs="仿宋"/>
          <w:b w:val="0"/>
          <w:bCs w:val="0"/>
          <w:color w:val="auto"/>
          <w:szCs w:val="20"/>
          <w:highlight w:val="none"/>
        </w:rPr>
        <w:fldChar w:fldCharType="separate"/>
      </w:r>
      <w:r>
        <w:rPr>
          <w:rFonts w:hint="eastAsia" w:ascii="仿宋" w:hAnsi="仿宋" w:eastAsia="仿宋" w:cs="仿宋"/>
          <w:b w:val="0"/>
          <w:bCs w:val="0"/>
          <w:color w:val="auto"/>
          <w:kern w:val="0"/>
          <w:szCs w:val="32"/>
          <w:highlight w:val="none"/>
        </w:rPr>
        <w:t>第五章  谈判</w:t>
      </w:r>
      <w:r>
        <w:rPr>
          <w:rFonts w:hint="eastAsia" w:ascii="仿宋" w:hAnsi="仿宋" w:eastAsia="仿宋" w:cs="仿宋"/>
          <w:b w:val="0"/>
          <w:bCs w:val="0"/>
          <w:color w:val="auto"/>
          <w:kern w:val="0"/>
          <w:szCs w:val="32"/>
          <w:highlight w:val="none"/>
          <w:lang w:eastAsia="zh-CN"/>
        </w:rPr>
        <w:t>响应文件</w:t>
      </w:r>
      <w:r>
        <w:rPr>
          <w:rFonts w:hint="eastAsia" w:ascii="仿宋" w:hAnsi="仿宋" w:eastAsia="仿宋" w:cs="仿宋"/>
          <w:b w:val="0"/>
          <w:bCs w:val="0"/>
          <w:color w:val="auto"/>
          <w:kern w:val="0"/>
          <w:szCs w:val="32"/>
          <w:highlight w:val="none"/>
        </w:rPr>
        <w:t>格式</w:t>
      </w:r>
      <w:r>
        <w:rPr>
          <w:b w:val="0"/>
          <w:bCs w:val="0"/>
          <w:color w:val="auto"/>
          <w:highlight w:val="none"/>
        </w:rPr>
        <w:tab/>
      </w:r>
      <w:r>
        <w:rPr>
          <w:b w:val="0"/>
          <w:bCs w:val="0"/>
          <w:color w:val="auto"/>
          <w:highlight w:val="none"/>
        </w:rPr>
        <w:fldChar w:fldCharType="begin"/>
      </w:r>
      <w:r>
        <w:rPr>
          <w:b w:val="0"/>
          <w:bCs w:val="0"/>
          <w:color w:val="auto"/>
          <w:highlight w:val="none"/>
        </w:rPr>
        <w:instrText xml:space="preserve"> PAGEREF _Toc26099 \h </w:instrText>
      </w:r>
      <w:r>
        <w:rPr>
          <w:b w:val="0"/>
          <w:bCs w:val="0"/>
          <w:color w:val="auto"/>
          <w:highlight w:val="none"/>
        </w:rPr>
        <w:fldChar w:fldCharType="separate"/>
      </w:r>
      <w:r>
        <w:rPr>
          <w:b w:val="0"/>
          <w:bCs w:val="0"/>
          <w:color w:val="auto"/>
          <w:highlight w:val="none"/>
        </w:rPr>
        <w:t>39</w:t>
      </w:r>
      <w:r>
        <w:rPr>
          <w:b w:val="0"/>
          <w:bCs w:val="0"/>
          <w:color w:val="auto"/>
          <w:highlight w:val="none"/>
        </w:rPr>
        <w:fldChar w:fldCharType="end"/>
      </w:r>
      <w:r>
        <w:rPr>
          <w:rFonts w:hint="eastAsia" w:ascii="仿宋" w:hAnsi="仿宋" w:eastAsia="仿宋" w:cs="仿宋"/>
          <w:b w:val="0"/>
          <w:bCs w:val="0"/>
          <w:color w:val="auto"/>
          <w:szCs w:val="20"/>
          <w:highlight w:val="none"/>
        </w:rPr>
        <w:fldChar w:fldCharType="end"/>
      </w:r>
    </w:p>
    <w:p w14:paraId="4C275787">
      <w:pPr>
        <w:rPr>
          <w:rFonts w:hint="eastAsia" w:ascii="仿宋" w:hAnsi="仿宋" w:eastAsia="仿宋" w:cs="仿宋"/>
          <w:b w:val="0"/>
          <w:bCs w:val="0"/>
          <w:color w:val="auto"/>
          <w:szCs w:val="20"/>
          <w:highlight w:val="none"/>
        </w:rPr>
      </w:pPr>
      <w:r>
        <w:rPr>
          <w:rFonts w:hint="eastAsia" w:ascii="仿宋" w:hAnsi="仿宋" w:eastAsia="仿宋" w:cs="仿宋"/>
          <w:b w:val="0"/>
          <w:bCs w:val="0"/>
          <w:color w:val="auto"/>
          <w:szCs w:val="20"/>
          <w:highlight w:val="none"/>
        </w:rPr>
        <w:fldChar w:fldCharType="end"/>
      </w:r>
      <w:bookmarkStart w:id="0" w:name="_Toc21755"/>
      <w:bookmarkStart w:id="1" w:name="_Toc58504445"/>
      <w:bookmarkStart w:id="2" w:name="_Toc415499894"/>
      <w:bookmarkStart w:id="3" w:name="_Toc177817333"/>
      <w:bookmarkStart w:id="4" w:name="_Toc177189234"/>
      <w:bookmarkStart w:id="5" w:name="_Toc503063420"/>
      <w:bookmarkStart w:id="6" w:name="_Toc500747187"/>
      <w:bookmarkStart w:id="7" w:name="_Toc499711041"/>
      <w:bookmarkStart w:id="8" w:name="_Toc176882541"/>
      <w:bookmarkStart w:id="9" w:name="_Toc500747060"/>
      <w:bookmarkStart w:id="10" w:name="_Toc500746964"/>
      <w:bookmarkStart w:id="11" w:name="_Toc496324577"/>
      <w:bookmarkStart w:id="12" w:name="_Toc53722839"/>
      <w:bookmarkStart w:id="13" w:name="_Toc492955413"/>
      <w:bookmarkStart w:id="14" w:name="_Toc499711882"/>
      <w:bookmarkStart w:id="15" w:name="_Toc70687138"/>
      <w:bookmarkStart w:id="16" w:name="_Toc177995472"/>
      <w:bookmarkStart w:id="17" w:name="_Toc385992325"/>
      <w:bookmarkStart w:id="18" w:name="_Toc385992324"/>
    </w:p>
    <w:p w14:paraId="799DA6B6">
      <w:pPr>
        <w:rPr>
          <w:rFonts w:hint="eastAsia" w:ascii="仿宋" w:hAnsi="仿宋" w:eastAsia="仿宋" w:cs="仿宋"/>
          <w:color w:val="auto"/>
          <w:szCs w:val="20"/>
          <w:highlight w:val="none"/>
        </w:rPr>
      </w:pPr>
      <w:r>
        <w:rPr>
          <w:rFonts w:hint="eastAsia" w:ascii="仿宋" w:hAnsi="仿宋" w:eastAsia="仿宋" w:cs="仿宋"/>
          <w:color w:val="auto"/>
          <w:szCs w:val="20"/>
          <w:highlight w:val="none"/>
        </w:rPr>
        <w:br w:type="page"/>
      </w:r>
    </w:p>
    <w:p w14:paraId="52A4DC87">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bookmarkStart w:id="19" w:name="_Toc11076"/>
      <w:r>
        <w:rPr>
          <w:rFonts w:hint="eastAsia" w:ascii="仿宋" w:hAnsi="仿宋" w:eastAsia="仿宋" w:cs="仿宋"/>
          <w:b/>
          <w:color w:val="auto"/>
          <w:kern w:val="0"/>
          <w:sz w:val="32"/>
          <w:szCs w:val="32"/>
          <w:highlight w:val="none"/>
        </w:rPr>
        <w:t>第一章  谈判公告</w:t>
      </w:r>
      <w:bookmarkEnd w:id="0"/>
      <w:bookmarkEnd w:id="1"/>
      <w:bookmarkEnd w:id="2"/>
      <w:bookmarkEnd w:id="19"/>
    </w:p>
    <w:p w14:paraId="1D225825">
      <w:pPr>
        <w:jc w:val="center"/>
        <w:rPr>
          <w:rFonts w:hint="eastAsia" w:ascii="仿宋" w:hAnsi="仿宋" w:eastAsia="仿宋" w:cs="仿宋"/>
          <w:b/>
          <w:bCs/>
          <w:color w:val="auto"/>
          <w:sz w:val="28"/>
          <w:szCs w:val="36"/>
          <w:highlight w:val="none"/>
          <w:lang w:eastAsia="zh-CN"/>
        </w:rPr>
      </w:pPr>
      <w:r>
        <w:rPr>
          <w:rFonts w:hint="eastAsia" w:ascii="仿宋" w:hAnsi="仿宋" w:eastAsia="仿宋" w:cs="仿宋"/>
          <w:b/>
          <w:bCs/>
          <w:color w:val="auto"/>
          <w:sz w:val="28"/>
          <w:szCs w:val="36"/>
          <w:highlight w:val="none"/>
          <w:lang w:eastAsia="zh-CN"/>
        </w:rPr>
        <w:t>两专科一中心和重点专科（呼吸科）医疗设备采购项目</w:t>
      </w:r>
    </w:p>
    <w:p w14:paraId="0BF0E9F3">
      <w:pPr>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竞争性谈判公告</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735D9ACF">
      <w:pPr>
        <w:pStyle w:val="23"/>
        <w:tabs>
          <w:tab w:val="left" w:pos="567"/>
        </w:tabs>
        <w:rPr>
          <w:rFonts w:hint="eastAsia" w:ascii="仿宋" w:hAnsi="仿宋" w:eastAsia="仿宋" w:cs="仿宋"/>
          <w:color w:val="auto"/>
          <w:highlight w:val="none"/>
        </w:rPr>
      </w:pPr>
      <w:bookmarkStart w:id="20" w:name="_Toc58504446"/>
      <w:bookmarkStart w:id="21" w:name="_Toc232395211"/>
      <w:bookmarkStart w:id="22" w:name="_Toc415499895"/>
      <w:bookmarkStart w:id="23" w:name="_Toc230013631"/>
      <w:bookmarkStart w:id="24" w:name="_Toc230099796"/>
      <w:bookmarkStart w:id="25" w:name="_Toc21126"/>
      <w:bookmarkStart w:id="26" w:name="_Toc232176271"/>
      <w:bookmarkStart w:id="27" w:name="_Toc184043011"/>
      <w:bookmarkStart w:id="28" w:name="_Toc256342142"/>
      <w:bookmarkStart w:id="29" w:name="_Toc249515277"/>
      <w:bookmarkStart w:id="30" w:name="_Toc249515389"/>
      <w:bookmarkStart w:id="31" w:name="_Toc230583540"/>
      <w:bookmarkStart w:id="32" w:name="_Toc249525158"/>
      <w:bookmarkStart w:id="33" w:name="_Toc499711042"/>
      <w:bookmarkStart w:id="34" w:name="_Toc249525159"/>
      <w:bookmarkStart w:id="35" w:name="_Toc232395212"/>
      <w:bookmarkStart w:id="36" w:name="_Toc70687139"/>
      <w:bookmarkStart w:id="37" w:name="_Toc53722840"/>
      <w:bookmarkStart w:id="38" w:name="_Toc230583541"/>
      <w:bookmarkStart w:id="39" w:name="_Toc499711883"/>
      <w:bookmarkStart w:id="40" w:name="_Toc503063421"/>
      <w:bookmarkStart w:id="41" w:name="_Toc249515390"/>
      <w:bookmarkStart w:id="42" w:name="_Toc249515278"/>
      <w:bookmarkStart w:id="43" w:name="_Toc256342143"/>
      <w:bookmarkStart w:id="44" w:name="_Toc492955414"/>
      <w:bookmarkStart w:id="45" w:name="_Toc177817334"/>
      <w:bookmarkStart w:id="46" w:name="_Toc500747061"/>
      <w:bookmarkStart w:id="47" w:name="_Toc496324578"/>
      <w:bookmarkStart w:id="48" w:name="_Toc177189235"/>
      <w:bookmarkStart w:id="49" w:name="_Toc232176272"/>
      <w:bookmarkStart w:id="50" w:name="_Toc176882542"/>
      <w:bookmarkStart w:id="51" w:name="_Toc184043012"/>
      <w:bookmarkStart w:id="52" w:name="_Toc230013632"/>
      <w:bookmarkStart w:id="53" w:name="_Toc500747188"/>
      <w:bookmarkStart w:id="54" w:name="_Toc500746965"/>
      <w:bookmarkStart w:id="55" w:name="_Toc230099797"/>
      <w:bookmarkStart w:id="56" w:name="_Toc177995473"/>
    </w:p>
    <w:p w14:paraId="690B98C7">
      <w:pPr>
        <w:keepNext w:val="0"/>
        <w:keepLines w:val="0"/>
        <w:widowControl/>
        <w:suppressLineNumbers w:val="0"/>
        <w:pBdr>
          <w:top w:val="single" w:color="auto" w:sz="4" w:space="0"/>
          <w:left w:val="single" w:color="auto" w:sz="4" w:space="0"/>
          <w:bottom w:val="single" w:color="auto" w:sz="4" w:space="0"/>
          <w:right w:val="single" w:color="auto" w:sz="4" w:space="0"/>
        </w:pBdr>
        <w:shd w:val="clear"/>
        <w:spacing w:before="0" w:beforeAutospacing="0" w:after="0" w:afterAutospacing="0" w:line="30" w:lineRule="atLeast"/>
        <w:ind w:left="0" w:right="0" w:firstLine="0"/>
        <w:jc w:val="left"/>
        <w:outlineLvl w:val="9"/>
        <w:rPr>
          <w:rFonts w:hint="eastAsia" w:ascii="仿宋" w:hAnsi="仿宋" w:eastAsia="仿宋" w:cs="仿宋"/>
          <w:b w:val="0"/>
          <w:bCs w:val="0"/>
          <w:i w:val="0"/>
          <w:iCs w:val="0"/>
          <w:caps w:val="0"/>
          <w:color w:val="auto"/>
          <w:spacing w:val="0"/>
          <w:sz w:val="24"/>
          <w:szCs w:val="24"/>
          <w:highlight w:val="none"/>
        </w:rPr>
      </w:pPr>
      <w:r>
        <w:rPr>
          <w:rStyle w:val="53"/>
          <w:rFonts w:hint="eastAsia" w:ascii="仿宋" w:hAnsi="仿宋" w:eastAsia="仿宋" w:cs="仿宋"/>
          <w:b w:val="0"/>
          <w:bCs w:val="0"/>
          <w:i w:val="0"/>
          <w:iCs w:val="0"/>
          <w:caps w:val="0"/>
          <w:color w:val="auto"/>
          <w:spacing w:val="0"/>
          <w:sz w:val="24"/>
          <w:szCs w:val="24"/>
          <w:highlight w:val="none"/>
          <w:shd w:val="clear" w:color="auto" w:fill="FFFFFF"/>
        </w:rPr>
        <w:t>项目概况</w:t>
      </w:r>
    </w:p>
    <w:p w14:paraId="55F0ACC3">
      <w:pPr>
        <w:pStyle w:val="44"/>
        <w:keepNext w:val="0"/>
        <w:keepLines w:val="0"/>
        <w:widowControl/>
        <w:suppressLineNumbers w:val="0"/>
        <w:pBdr>
          <w:top w:val="single" w:color="auto" w:sz="4" w:space="0"/>
          <w:left w:val="single" w:color="auto" w:sz="4" w:space="0"/>
          <w:bottom w:val="single" w:color="auto" w:sz="4" w:space="0"/>
          <w:right w:val="single" w:color="auto" w:sz="4" w:space="0"/>
        </w:pBdr>
        <w:shd w:val="clear"/>
        <w:spacing w:before="0" w:beforeAutospacing="0" w:after="0" w:afterAutospacing="0" w:line="480" w:lineRule="atLeast"/>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u w:val="single"/>
          <w:shd w:val="clear" w:color="auto" w:fill="FFFFFF"/>
          <w:lang w:eastAsia="zh-CN"/>
        </w:rPr>
        <w:t>两专科一中心和重点专科（呼吸科）医疗设备采购项目</w:t>
      </w:r>
      <w:r>
        <w:rPr>
          <w:rFonts w:hint="eastAsia" w:ascii="仿宋" w:hAnsi="仿宋" w:eastAsia="仿宋" w:cs="仿宋"/>
          <w:i w:val="0"/>
          <w:iCs w:val="0"/>
          <w:caps w:val="0"/>
          <w:color w:val="auto"/>
          <w:spacing w:val="0"/>
          <w:sz w:val="24"/>
          <w:szCs w:val="24"/>
          <w:highlight w:val="none"/>
          <w:shd w:val="clear" w:color="auto" w:fill="FFFFFF"/>
        </w:rPr>
        <w:t>的潜在</w:t>
      </w:r>
      <w:r>
        <w:rPr>
          <w:rFonts w:hint="eastAsia" w:ascii="仿宋" w:hAnsi="仿宋" w:eastAsia="仿宋" w:cs="仿宋"/>
          <w:i w:val="0"/>
          <w:iCs w:val="0"/>
          <w:caps w:val="0"/>
          <w:color w:val="auto"/>
          <w:spacing w:val="0"/>
          <w:sz w:val="24"/>
          <w:szCs w:val="24"/>
          <w:highlight w:val="none"/>
          <w:shd w:val="clear" w:color="auto" w:fill="FFFFFF"/>
          <w:lang w:eastAsia="zh-CN"/>
        </w:rPr>
        <w:t>供应商</w:t>
      </w:r>
      <w:r>
        <w:rPr>
          <w:rFonts w:hint="eastAsia" w:ascii="仿宋" w:hAnsi="仿宋" w:eastAsia="仿宋" w:cs="仿宋"/>
          <w:i w:val="0"/>
          <w:iCs w:val="0"/>
          <w:caps w:val="0"/>
          <w:color w:val="auto"/>
          <w:spacing w:val="0"/>
          <w:sz w:val="24"/>
          <w:szCs w:val="24"/>
          <w:highlight w:val="none"/>
          <w:shd w:val="clear" w:color="auto" w:fill="FFFFFF"/>
        </w:rPr>
        <w:t>应在</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【全国公共资源交易平台（陕西省·宝鸡市）】（http://bj.sxggzyjy.cn） </w:t>
      </w:r>
      <w:r>
        <w:rPr>
          <w:rFonts w:hint="eastAsia" w:ascii="仿宋" w:hAnsi="仿宋" w:eastAsia="仿宋" w:cs="仿宋"/>
          <w:i w:val="0"/>
          <w:iCs w:val="0"/>
          <w:caps w:val="0"/>
          <w:color w:val="auto"/>
          <w:spacing w:val="0"/>
          <w:sz w:val="24"/>
          <w:szCs w:val="24"/>
          <w:highlight w:val="none"/>
          <w:shd w:val="clear" w:color="auto" w:fill="FFFFFF"/>
        </w:rPr>
        <w:t>获取</w:t>
      </w:r>
      <w:r>
        <w:rPr>
          <w:rFonts w:hint="eastAsia" w:ascii="仿宋" w:hAnsi="仿宋" w:eastAsia="仿宋" w:cs="仿宋"/>
          <w:i w:val="0"/>
          <w:iCs w:val="0"/>
          <w:caps w:val="0"/>
          <w:color w:val="auto"/>
          <w:spacing w:val="0"/>
          <w:sz w:val="24"/>
          <w:szCs w:val="24"/>
          <w:highlight w:val="none"/>
          <w:shd w:val="clear" w:color="auto" w:fill="FFFFFF"/>
          <w:lang w:eastAsia="zh-CN"/>
        </w:rPr>
        <w:t>采购</w:t>
      </w:r>
      <w:r>
        <w:rPr>
          <w:rFonts w:hint="eastAsia" w:ascii="仿宋" w:hAnsi="仿宋" w:eastAsia="仿宋" w:cs="仿宋"/>
          <w:i w:val="0"/>
          <w:iCs w:val="0"/>
          <w:caps w:val="0"/>
          <w:color w:val="auto"/>
          <w:spacing w:val="0"/>
          <w:sz w:val="24"/>
          <w:szCs w:val="24"/>
          <w:highlight w:val="none"/>
          <w:shd w:val="clear" w:color="auto" w:fill="FFFFFF"/>
        </w:rPr>
        <w:t>文件，并于</w:t>
      </w:r>
      <w:r>
        <w:rPr>
          <w:rFonts w:hint="eastAsia" w:ascii="仿宋" w:hAnsi="仿宋" w:eastAsia="仿宋" w:cs="仿宋"/>
          <w:i w:val="0"/>
          <w:iCs w:val="0"/>
          <w:caps w:val="0"/>
          <w:color w:val="auto"/>
          <w:spacing w:val="0"/>
          <w:sz w:val="24"/>
          <w:szCs w:val="24"/>
          <w:highlight w:val="none"/>
          <w:u w:val="single"/>
          <w:shd w:val="clear" w:color="auto" w:fill="FFFFFF"/>
          <w:lang w:val="en-US" w:eastAsia="zh-CN"/>
        </w:rPr>
        <w:t xml:space="preserve"> 2024年10月31日09时00分</w:t>
      </w:r>
      <w:r>
        <w:rPr>
          <w:rFonts w:hint="eastAsia" w:ascii="仿宋" w:hAnsi="仿宋" w:eastAsia="仿宋" w:cs="仿宋"/>
          <w:i w:val="0"/>
          <w:iCs w:val="0"/>
          <w:caps w:val="0"/>
          <w:color w:val="auto"/>
          <w:spacing w:val="0"/>
          <w:sz w:val="24"/>
          <w:szCs w:val="24"/>
          <w:highlight w:val="none"/>
          <w:shd w:val="clear" w:color="auto" w:fill="FFFFFF"/>
        </w:rPr>
        <w:t>（北京时间）前递交</w:t>
      </w:r>
      <w:r>
        <w:rPr>
          <w:rFonts w:hint="eastAsia" w:ascii="仿宋" w:hAnsi="仿宋" w:eastAsia="仿宋" w:cs="仿宋"/>
          <w:i w:val="0"/>
          <w:iCs w:val="0"/>
          <w:caps w:val="0"/>
          <w:color w:val="auto"/>
          <w:spacing w:val="0"/>
          <w:sz w:val="24"/>
          <w:szCs w:val="24"/>
          <w:highlight w:val="none"/>
          <w:shd w:val="clear" w:color="auto" w:fill="FFFFFF"/>
          <w:lang w:val="en-US" w:eastAsia="zh-CN"/>
        </w:rPr>
        <w:t>响应文件</w:t>
      </w:r>
      <w:r>
        <w:rPr>
          <w:rFonts w:hint="eastAsia" w:ascii="仿宋" w:hAnsi="仿宋" w:eastAsia="仿宋" w:cs="仿宋"/>
          <w:i w:val="0"/>
          <w:iCs w:val="0"/>
          <w:caps w:val="0"/>
          <w:color w:val="auto"/>
          <w:spacing w:val="0"/>
          <w:sz w:val="24"/>
          <w:szCs w:val="24"/>
          <w:highlight w:val="none"/>
          <w:shd w:val="clear" w:color="auto" w:fill="FFFFFF"/>
        </w:rPr>
        <w:t>。</w:t>
      </w:r>
    </w:p>
    <w:p w14:paraId="28650EA9">
      <w:pPr>
        <w:pStyle w:val="23"/>
        <w:tabs>
          <w:tab w:val="left" w:pos="567"/>
        </w:tabs>
        <w:rPr>
          <w:rFonts w:hint="eastAsia" w:ascii="仿宋" w:hAnsi="仿宋" w:eastAsia="仿宋" w:cs="仿宋"/>
          <w:color w:val="auto"/>
          <w:highlight w:val="none"/>
        </w:rPr>
      </w:pPr>
    </w:p>
    <w:p w14:paraId="0DD1244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highlight w:val="none"/>
        </w:rPr>
      </w:pPr>
      <w:bookmarkStart w:id="57" w:name="_Toc8050"/>
      <w:bookmarkStart w:id="58" w:name="_Toc12736"/>
      <w:bookmarkStart w:id="59" w:name="_Toc8212"/>
      <w:r>
        <w:rPr>
          <w:rFonts w:hint="eastAsia" w:ascii="仿宋" w:hAnsi="仿宋" w:eastAsia="仿宋" w:cs="仿宋"/>
          <w:b/>
          <w:bCs/>
          <w:color w:val="auto"/>
          <w:sz w:val="24"/>
          <w:highlight w:val="none"/>
        </w:rPr>
        <w:t>一、项目基本情况</w:t>
      </w:r>
      <w:bookmarkEnd w:id="57"/>
      <w:bookmarkEnd w:id="58"/>
      <w:bookmarkEnd w:id="59"/>
    </w:p>
    <w:p w14:paraId="2DF226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zh-CN"/>
        </w:rPr>
        <w:t>SCZC2024-JT-2371-001</w:t>
      </w:r>
    </w:p>
    <w:p w14:paraId="4504A6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两专科一中心和重点专科（呼吸科）医疗设备采购项目</w:t>
      </w:r>
    </w:p>
    <w:p w14:paraId="2F4F32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val="en-US" w:eastAsia="zh-CN"/>
        </w:rPr>
        <w:t>竞争性谈判</w:t>
      </w:r>
    </w:p>
    <w:p w14:paraId="24B35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1610000.00</w:t>
      </w:r>
      <w:r>
        <w:rPr>
          <w:rFonts w:hint="eastAsia" w:ascii="仿宋" w:hAnsi="仿宋" w:eastAsia="仿宋" w:cs="仿宋"/>
          <w:color w:val="auto"/>
          <w:sz w:val="24"/>
          <w:szCs w:val="24"/>
          <w:highlight w:val="none"/>
        </w:rPr>
        <w:t>元</w:t>
      </w:r>
    </w:p>
    <w:p w14:paraId="7B9F78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p>
    <w:p w14:paraId="0A6EA3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合同包1：（儿科医疗设备）</w:t>
      </w:r>
    </w:p>
    <w:p w14:paraId="36473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w:t>
      </w:r>
      <w:r>
        <w:rPr>
          <w:rFonts w:hint="eastAsia" w:ascii="仿宋" w:hAnsi="仿宋" w:eastAsia="仿宋" w:cs="仿宋"/>
          <w:color w:val="auto"/>
          <w:sz w:val="24"/>
          <w:szCs w:val="24"/>
          <w:highlight w:val="none"/>
          <w:lang w:val="en-US" w:eastAsia="zh-CN"/>
        </w:rPr>
        <w:t>570000.00</w:t>
      </w:r>
      <w:r>
        <w:rPr>
          <w:rFonts w:hint="eastAsia" w:ascii="仿宋" w:hAnsi="仿宋" w:eastAsia="仿宋" w:cs="仿宋"/>
          <w:color w:val="auto"/>
          <w:sz w:val="24"/>
          <w:szCs w:val="24"/>
          <w:highlight w:val="none"/>
        </w:rPr>
        <w:t>元</w:t>
      </w:r>
    </w:p>
    <w:p w14:paraId="5BDD48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合同包最高限价：</w:t>
      </w:r>
      <w:r>
        <w:rPr>
          <w:rFonts w:hint="eastAsia" w:ascii="仿宋" w:hAnsi="仿宋" w:eastAsia="仿宋" w:cs="仿宋"/>
          <w:color w:val="auto"/>
          <w:sz w:val="24"/>
          <w:szCs w:val="24"/>
          <w:highlight w:val="none"/>
          <w:lang w:val="en-US" w:eastAsia="zh-CN"/>
        </w:rPr>
        <w:t>570000.00</w:t>
      </w:r>
      <w:r>
        <w:rPr>
          <w:rFonts w:hint="eastAsia" w:ascii="仿宋" w:hAnsi="仿宋" w:eastAsia="仿宋" w:cs="仿宋"/>
          <w:color w:val="auto"/>
          <w:sz w:val="24"/>
          <w:szCs w:val="24"/>
          <w:highlight w:val="none"/>
        </w:rPr>
        <w:t>元</w:t>
      </w:r>
    </w:p>
    <w:tbl>
      <w:tblPr>
        <w:tblStyle w:val="5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487"/>
        <w:gridCol w:w="1967"/>
        <w:gridCol w:w="1094"/>
        <w:gridCol w:w="1642"/>
        <w:gridCol w:w="1404"/>
        <w:gridCol w:w="1416"/>
      </w:tblGrid>
      <w:tr w14:paraId="2C567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4B518FA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品目号</w:t>
            </w:r>
          </w:p>
        </w:tc>
        <w:tc>
          <w:tcPr>
            <w:tcW w:w="1487" w:type="dxa"/>
            <w:noWrap w:val="0"/>
            <w:vAlign w:val="center"/>
          </w:tcPr>
          <w:p w14:paraId="489F6F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品目名称</w:t>
            </w:r>
          </w:p>
        </w:tc>
        <w:tc>
          <w:tcPr>
            <w:tcW w:w="1967" w:type="dxa"/>
            <w:noWrap w:val="0"/>
            <w:vAlign w:val="center"/>
          </w:tcPr>
          <w:p w14:paraId="3C1F7C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采购标的</w:t>
            </w:r>
          </w:p>
        </w:tc>
        <w:tc>
          <w:tcPr>
            <w:tcW w:w="1094" w:type="dxa"/>
            <w:noWrap w:val="0"/>
            <w:vAlign w:val="center"/>
          </w:tcPr>
          <w:p w14:paraId="2B2D6C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p w14:paraId="3446495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1642" w:type="dxa"/>
            <w:noWrap w:val="0"/>
            <w:vAlign w:val="center"/>
          </w:tcPr>
          <w:p w14:paraId="358215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技术规格、参数及要求</w:t>
            </w:r>
          </w:p>
        </w:tc>
        <w:tc>
          <w:tcPr>
            <w:tcW w:w="1404" w:type="dxa"/>
            <w:noWrap w:val="0"/>
            <w:vAlign w:val="center"/>
          </w:tcPr>
          <w:p w14:paraId="3023852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品目预算</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元</w:t>
            </w:r>
            <w:r>
              <w:rPr>
                <w:rFonts w:hint="eastAsia" w:ascii="仿宋" w:hAnsi="仿宋" w:eastAsia="仿宋" w:cs="仿宋"/>
                <w:b/>
                <w:color w:val="auto"/>
                <w:sz w:val="24"/>
                <w:szCs w:val="24"/>
                <w:highlight w:val="none"/>
                <w:lang w:eastAsia="zh-CN"/>
              </w:rPr>
              <w:t>）</w:t>
            </w:r>
          </w:p>
        </w:tc>
        <w:tc>
          <w:tcPr>
            <w:tcW w:w="1416" w:type="dxa"/>
            <w:noWrap w:val="0"/>
            <w:vAlign w:val="center"/>
          </w:tcPr>
          <w:p w14:paraId="3E3DEE4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最高限价</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元</w:t>
            </w:r>
            <w:r>
              <w:rPr>
                <w:rFonts w:hint="eastAsia" w:ascii="仿宋" w:hAnsi="仿宋" w:eastAsia="仿宋" w:cs="仿宋"/>
                <w:b/>
                <w:color w:val="auto"/>
                <w:sz w:val="24"/>
                <w:szCs w:val="24"/>
                <w:highlight w:val="none"/>
                <w:lang w:eastAsia="zh-CN"/>
              </w:rPr>
              <w:t>）</w:t>
            </w:r>
          </w:p>
        </w:tc>
      </w:tr>
      <w:tr w14:paraId="493B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0" w:type="dxa"/>
            <w:noWrap w:val="0"/>
            <w:vAlign w:val="center"/>
          </w:tcPr>
          <w:p w14:paraId="1802E14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87" w:type="dxa"/>
            <w:noWrap w:val="0"/>
            <w:vAlign w:val="center"/>
          </w:tcPr>
          <w:p w14:paraId="6E1BE0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其他诊疗设备</w:t>
            </w:r>
          </w:p>
        </w:tc>
        <w:tc>
          <w:tcPr>
            <w:tcW w:w="1967" w:type="dxa"/>
            <w:noWrap w:val="0"/>
            <w:vAlign w:val="center"/>
          </w:tcPr>
          <w:p w14:paraId="358DB3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儿科医疗设备</w:t>
            </w:r>
          </w:p>
        </w:tc>
        <w:tc>
          <w:tcPr>
            <w:tcW w:w="1094" w:type="dxa"/>
            <w:noWrap w:val="0"/>
            <w:vAlign w:val="center"/>
          </w:tcPr>
          <w:p w14:paraId="60BD4B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1642" w:type="dxa"/>
            <w:noWrap w:val="0"/>
            <w:vAlign w:val="center"/>
          </w:tcPr>
          <w:p w14:paraId="0BFAB1D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详见采购文件</w:t>
            </w:r>
          </w:p>
        </w:tc>
        <w:tc>
          <w:tcPr>
            <w:tcW w:w="1404" w:type="dxa"/>
            <w:noWrap w:val="0"/>
            <w:vAlign w:val="center"/>
          </w:tcPr>
          <w:p w14:paraId="4D889F5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570000.00</w:t>
            </w:r>
          </w:p>
        </w:tc>
        <w:tc>
          <w:tcPr>
            <w:tcW w:w="1416" w:type="dxa"/>
            <w:noWrap w:val="0"/>
            <w:vAlign w:val="center"/>
          </w:tcPr>
          <w:p w14:paraId="21173A9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570000.00</w:t>
            </w:r>
          </w:p>
        </w:tc>
      </w:tr>
    </w:tbl>
    <w:p w14:paraId="657E9C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本合同包</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不接受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联合体投标</w:t>
      </w:r>
      <w:r>
        <w:rPr>
          <w:rFonts w:hint="eastAsia" w:ascii="仿宋" w:hAnsi="仿宋" w:eastAsia="仿宋" w:cs="仿宋"/>
          <w:color w:val="auto"/>
          <w:sz w:val="24"/>
          <w:szCs w:val="24"/>
          <w:highlight w:val="none"/>
          <w:lang w:eastAsia="zh-CN"/>
        </w:rPr>
        <w:t>。</w:t>
      </w:r>
    </w:p>
    <w:p w14:paraId="3928D7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自合同签订之日起7天内</w:t>
      </w:r>
    </w:p>
    <w:p w14:paraId="2A266D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bookmarkStart w:id="60" w:name="_Toc20616"/>
      <w:bookmarkStart w:id="61" w:name="_Toc10281"/>
      <w:bookmarkStart w:id="62" w:name="_Toc32327"/>
    </w:p>
    <w:p w14:paraId="4180D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p>
    <w:p w14:paraId="784A4F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p>
    <w:p w14:paraId="41CF48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p>
    <w:p w14:paraId="06CAD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p>
    <w:p w14:paraId="4806C6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合同包2：（急诊科医疗设备）</w:t>
      </w:r>
    </w:p>
    <w:p w14:paraId="7290D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w:t>
      </w:r>
      <w:r>
        <w:rPr>
          <w:rFonts w:hint="eastAsia" w:ascii="仿宋" w:hAnsi="仿宋" w:eastAsia="仿宋" w:cs="仿宋"/>
          <w:color w:val="auto"/>
          <w:sz w:val="24"/>
          <w:szCs w:val="24"/>
          <w:highlight w:val="none"/>
          <w:lang w:val="en-US" w:eastAsia="zh-CN"/>
        </w:rPr>
        <w:t>660000.00</w:t>
      </w:r>
      <w:r>
        <w:rPr>
          <w:rFonts w:hint="eastAsia" w:ascii="仿宋" w:hAnsi="仿宋" w:eastAsia="仿宋" w:cs="仿宋"/>
          <w:color w:val="auto"/>
          <w:sz w:val="24"/>
          <w:szCs w:val="24"/>
          <w:highlight w:val="none"/>
        </w:rPr>
        <w:t>元</w:t>
      </w:r>
    </w:p>
    <w:p w14:paraId="7766E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合同包最高限价：</w:t>
      </w:r>
      <w:r>
        <w:rPr>
          <w:rFonts w:hint="eastAsia" w:ascii="仿宋" w:hAnsi="仿宋" w:eastAsia="仿宋" w:cs="仿宋"/>
          <w:color w:val="auto"/>
          <w:sz w:val="24"/>
          <w:szCs w:val="24"/>
          <w:highlight w:val="none"/>
          <w:lang w:val="en-US" w:eastAsia="zh-CN"/>
        </w:rPr>
        <w:t>660000.00元</w:t>
      </w:r>
    </w:p>
    <w:tbl>
      <w:tblPr>
        <w:tblStyle w:val="5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487"/>
        <w:gridCol w:w="1967"/>
        <w:gridCol w:w="1094"/>
        <w:gridCol w:w="1642"/>
        <w:gridCol w:w="1404"/>
        <w:gridCol w:w="1416"/>
      </w:tblGrid>
      <w:tr w14:paraId="3122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59346E7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品目号</w:t>
            </w:r>
          </w:p>
        </w:tc>
        <w:tc>
          <w:tcPr>
            <w:tcW w:w="1487" w:type="dxa"/>
            <w:noWrap w:val="0"/>
            <w:vAlign w:val="center"/>
          </w:tcPr>
          <w:p w14:paraId="5F457F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品目名称</w:t>
            </w:r>
          </w:p>
        </w:tc>
        <w:tc>
          <w:tcPr>
            <w:tcW w:w="1967" w:type="dxa"/>
            <w:noWrap w:val="0"/>
            <w:vAlign w:val="center"/>
          </w:tcPr>
          <w:p w14:paraId="14FDF56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采购标的</w:t>
            </w:r>
          </w:p>
        </w:tc>
        <w:tc>
          <w:tcPr>
            <w:tcW w:w="1094" w:type="dxa"/>
            <w:noWrap w:val="0"/>
            <w:vAlign w:val="center"/>
          </w:tcPr>
          <w:p w14:paraId="0A6A099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p w14:paraId="2C896E0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1642" w:type="dxa"/>
            <w:noWrap w:val="0"/>
            <w:vAlign w:val="center"/>
          </w:tcPr>
          <w:p w14:paraId="3D2AC60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技术规格、参数及要求</w:t>
            </w:r>
          </w:p>
        </w:tc>
        <w:tc>
          <w:tcPr>
            <w:tcW w:w="1404" w:type="dxa"/>
            <w:noWrap w:val="0"/>
            <w:vAlign w:val="center"/>
          </w:tcPr>
          <w:p w14:paraId="64BABA3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品目预算</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元</w:t>
            </w:r>
            <w:r>
              <w:rPr>
                <w:rFonts w:hint="eastAsia" w:ascii="仿宋" w:hAnsi="仿宋" w:eastAsia="仿宋" w:cs="仿宋"/>
                <w:b/>
                <w:color w:val="auto"/>
                <w:sz w:val="24"/>
                <w:szCs w:val="24"/>
                <w:highlight w:val="none"/>
                <w:lang w:eastAsia="zh-CN"/>
              </w:rPr>
              <w:t>）</w:t>
            </w:r>
          </w:p>
        </w:tc>
        <w:tc>
          <w:tcPr>
            <w:tcW w:w="1416" w:type="dxa"/>
            <w:noWrap w:val="0"/>
            <w:vAlign w:val="center"/>
          </w:tcPr>
          <w:p w14:paraId="24597F3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最高限价</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元</w:t>
            </w:r>
            <w:r>
              <w:rPr>
                <w:rFonts w:hint="eastAsia" w:ascii="仿宋" w:hAnsi="仿宋" w:eastAsia="仿宋" w:cs="仿宋"/>
                <w:b/>
                <w:color w:val="auto"/>
                <w:sz w:val="24"/>
                <w:szCs w:val="24"/>
                <w:highlight w:val="none"/>
                <w:lang w:eastAsia="zh-CN"/>
              </w:rPr>
              <w:t>）</w:t>
            </w:r>
          </w:p>
        </w:tc>
      </w:tr>
      <w:tr w14:paraId="2F8D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0" w:type="dxa"/>
            <w:noWrap w:val="0"/>
            <w:vAlign w:val="center"/>
          </w:tcPr>
          <w:p w14:paraId="497E204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87" w:type="dxa"/>
            <w:noWrap w:val="0"/>
            <w:vAlign w:val="center"/>
          </w:tcPr>
          <w:p w14:paraId="1F11145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其他诊疗设备</w:t>
            </w:r>
          </w:p>
        </w:tc>
        <w:tc>
          <w:tcPr>
            <w:tcW w:w="1967" w:type="dxa"/>
            <w:noWrap w:val="0"/>
            <w:vAlign w:val="center"/>
          </w:tcPr>
          <w:p w14:paraId="2F93402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急诊科医疗设备</w:t>
            </w:r>
          </w:p>
        </w:tc>
        <w:tc>
          <w:tcPr>
            <w:tcW w:w="1094" w:type="dxa"/>
            <w:noWrap w:val="0"/>
            <w:vAlign w:val="center"/>
          </w:tcPr>
          <w:p w14:paraId="61D949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1642" w:type="dxa"/>
            <w:noWrap w:val="0"/>
            <w:vAlign w:val="center"/>
          </w:tcPr>
          <w:p w14:paraId="622234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详见采购文件</w:t>
            </w:r>
          </w:p>
        </w:tc>
        <w:tc>
          <w:tcPr>
            <w:tcW w:w="1404" w:type="dxa"/>
            <w:noWrap w:val="0"/>
            <w:vAlign w:val="center"/>
          </w:tcPr>
          <w:p w14:paraId="26F3BC5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660000.00</w:t>
            </w:r>
          </w:p>
        </w:tc>
        <w:tc>
          <w:tcPr>
            <w:tcW w:w="1416" w:type="dxa"/>
            <w:noWrap w:val="0"/>
            <w:vAlign w:val="center"/>
          </w:tcPr>
          <w:p w14:paraId="444A7F8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660000.00</w:t>
            </w:r>
          </w:p>
        </w:tc>
      </w:tr>
    </w:tbl>
    <w:p w14:paraId="5F9DB5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本合同包</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不接受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联合体投标</w:t>
      </w:r>
      <w:r>
        <w:rPr>
          <w:rFonts w:hint="eastAsia" w:ascii="仿宋" w:hAnsi="仿宋" w:eastAsia="仿宋" w:cs="仿宋"/>
          <w:color w:val="auto"/>
          <w:sz w:val="24"/>
          <w:szCs w:val="24"/>
          <w:highlight w:val="none"/>
          <w:lang w:eastAsia="zh-CN"/>
        </w:rPr>
        <w:t>。</w:t>
      </w:r>
    </w:p>
    <w:p w14:paraId="3929F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自合同签订之日起7天内</w:t>
      </w:r>
    </w:p>
    <w:p w14:paraId="674E58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p>
    <w:p w14:paraId="0D57B8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合同包3：（重点专科（呼吸科）设备）</w:t>
      </w:r>
    </w:p>
    <w:p w14:paraId="2BEF6E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合同包预算金额：</w:t>
      </w:r>
      <w:r>
        <w:rPr>
          <w:rFonts w:hint="eastAsia" w:ascii="仿宋" w:hAnsi="仿宋" w:eastAsia="仿宋" w:cs="仿宋"/>
          <w:color w:val="auto"/>
          <w:sz w:val="24"/>
          <w:szCs w:val="24"/>
          <w:highlight w:val="none"/>
          <w:lang w:val="en-US" w:eastAsia="zh-CN"/>
        </w:rPr>
        <w:t>380000.00</w:t>
      </w:r>
      <w:r>
        <w:rPr>
          <w:rFonts w:hint="eastAsia" w:ascii="仿宋" w:hAnsi="仿宋" w:eastAsia="仿宋" w:cs="仿宋"/>
          <w:color w:val="auto"/>
          <w:sz w:val="24"/>
          <w:szCs w:val="24"/>
          <w:highlight w:val="none"/>
        </w:rPr>
        <w:t>元</w:t>
      </w:r>
    </w:p>
    <w:p w14:paraId="3D198E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合同包最高限价：</w:t>
      </w:r>
      <w:r>
        <w:rPr>
          <w:rFonts w:hint="eastAsia" w:ascii="仿宋" w:hAnsi="仿宋" w:eastAsia="仿宋" w:cs="仿宋"/>
          <w:color w:val="auto"/>
          <w:sz w:val="24"/>
          <w:szCs w:val="24"/>
          <w:highlight w:val="none"/>
          <w:lang w:val="en-US" w:eastAsia="zh-CN"/>
        </w:rPr>
        <w:t>380000.00</w:t>
      </w:r>
      <w:r>
        <w:rPr>
          <w:rFonts w:hint="eastAsia" w:ascii="仿宋" w:hAnsi="仿宋" w:eastAsia="仿宋" w:cs="仿宋"/>
          <w:color w:val="auto"/>
          <w:sz w:val="24"/>
          <w:szCs w:val="24"/>
          <w:highlight w:val="none"/>
        </w:rPr>
        <w:t>元</w:t>
      </w:r>
    </w:p>
    <w:tbl>
      <w:tblPr>
        <w:tblStyle w:val="50"/>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487"/>
        <w:gridCol w:w="1967"/>
        <w:gridCol w:w="1094"/>
        <w:gridCol w:w="1642"/>
        <w:gridCol w:w="1404"/>
        <w:gridCol w:w="1416"/>
      </w:tblGrid>
      <w:tr w14:paraId="0B73A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noWrap w:val="0"/>
            <w:vAlign w:val="center"/>
          </w:tcPr>
          <w:p w14:paraId="680850E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品目号</w:t>
            </w:r>
          </w:p>
        </w:tc>
        <w:tc>
          <w:tcPr>
            <w:tcW w:w="1487" w:type="dxa"/>
            <w:noWrap w:val="0"/>
            <w:vAlign w:val="center"/>
          </w:tcPr>
          <w:p w14:paraId="18E0C4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品目名称</w:t>
            </w:r>
          </w:p>
        </w:tc>
        <w:tc>
          <w:tcPr>
            <w:tcW w:w="1967" w:type="dxa"/>
            <w:noWrap w:val="0"/>
            <w:vAlign w:val="center"/>
          </w:tcPr>
          <w:p w14:paraId="6372288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采购标的</w:t>
            </w:r>
          </w:p>
        </w:tc>
        <w:tc>
          <w:tcPr>
            <w:tcW w:w="1094" w:type="dxa"/>
            <w:noWrap w:val="0"/>
            <w:vAlign w:val="center"/>
          </w:tcPr>
          <w:p w14:paraId="25EF3A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数量</w:t>
            </w:r>
          </w:p>
          <w:p w14:paraId="20A8661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（单位）</w:t>
            </w:r>
          </w:p>
        </w:tc>
        <w:tc>
          <w:tcPr>
            <w:tcW w:w="1642" w:type="dxa"/>
            <w:noWrap w:val="0"/>
            <w:vAlign w:val="center"/>
          </w:tcPr>
          <w:p w14:paraId="50CE4F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技术规格、参数及要求</w:t>
            </w:r>
          </w:p>
        </w:tc>
        <w:tc>
          <w:tcPr>
            <w:tcW w:w="1404" w:type="dxa"/>
            <w:noWrap w:val="0"/>
            <w:vAlign w:val="center"/>
          </w:tcPr>
          <w:p w14:paraId="3323DDD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品目预算</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元</w:t>
            </w:r>
            <w:r>
              <w:rPr>
                <w:rFonts w:hint="eastAsia" w:ascii="仿宋" w:hAnsi="仿宋" w:eastAsia="仿宋" w:cs="仿宋"/>
                <w:b/>
                <w:color w:val="auto"/>
                <w:sz w:val="24"/>
                <w:szCs w:val="24"/>
                <w:highlight w:val="none"/>
                <w:lang w:eastAsia="zh-CN"/>
              </w:rPr>
              <w:t>）</w:t>
            </w:r>
          </w:p>
        </w:tc>
        <w:tc>
          <w:tcPr>
            <w:tcW w:w="1416" w:type="dxa"/>
            <w:noWrap w:val="0"/>
            <w:vAlign w:val="center"/>
          </w:tcPr>
          <w:p w14:paraId="718DF10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最高限价</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元</w:t>
            </w:r>
            <w:r>
              <w:rPr>
                <w:rFonts w:hint="eastAsia" w:ascii="仿宋" w:hAnsi="仿宋" w:eastAsia="仿宋" w:cs="仿宋"/>
                <w:b/>
                <w:color w:val="auto"/>
                <w:sz w:val="24"/>
                <w:szCs w:val="24"/>
                <w:highlight w:val="none"/>
                <w:lang w:eastAsia="zh-CN"/>
              </w:rPr>
              <w:t>）</w:t>
            </w:r>
          </w:p>
        </w:tc>
      </w:tr>
      <w:tr w14:paraId="6895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60" w:type="dxa"/>
            <w:noWrap w:val="0"/>
            <w:vAlign w:val="center"/>
          </w:tcPr>
          <w:p w14:paraId="2C8EBD6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487" w:type="dxa"/>
            <w:noWrap w:val="0"/>
            <w:vAlign w:val="center"/>
          </w:tcPr>
          <w:p w14:paraId="1C39D6D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其他诊疗设备</w:t>
            </w:r>
          </w:p>
        </w:tc>
        <w:tc>
          <w:tcPr>
            <w:tcW w:w="1967" w:type="dxa"/>
            <w:noWrap w:val="0"/>
            <w:vAlign w:val="center"/>
          </w:tcPr>
          <w:p w14:paraId="3D86E8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重点专科（呼吸科）设备</w:t>
            </w:r>
          </w:p>
        </w:tc>
        <w:tc>
          <w:tcPr>
            <w:tcW w:w="1094" w:type="dxa"/>
            <w:noWrap w:val="0"/>
            <w:vAlign w:val="center"/>
          </w:tcPr>
          <w:p w14:paraId="29B4CB8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1（批）</w:t>
            </w:r>
          </w:p>
        </w:tc>
        <w:tc>
          <w:tcPr>
            <w:tcW w:w="1642" w:type="dxa"/>
            <w:noWrap w:val="0"/>
            <w:vAlign w:val="center"/>
          </w:tcPr>
          <w:p w14:paraId="6175E57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详见采购文件</w:t>
            </w:r>
          </w:p>
        </w:tc>
        <w:tc>
          <w:tcPr>
            <w:tcW w:w="1404" w:type="dxa"/>
            <w:noWrap w:val="0"/>
            <w:vAlign w:val="center"/>
          </w:tcPr>
          <w:p w14:paraId="40471C7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380000.00</w:t>
            </w:r>
          </w:p>
        </w:tc>
        <w:tc>
          <w:tcPr>
            <w:tcW w:w="1416" w:type="dxa"/>
            <w:noWrap w:val="0"/>
            <w:vAlign w:val="center"/>
          </w:tcPr>
          <w:p w14:paraId="70E5672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380000.00</w:t>
            </w:r>
          </w:p>
        </w:tc>
      </w:tr>
    </w:tbl>
    <w:p w14:paraId="2D5C8B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本合同包</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不接受</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联合体投标</w:t>
      </w:r>
      <w:r>
        <w:rPr>
          <w:rFonts w:hint="eastAsia" w:ascii="仿宋" w:hAnsi="仿宋" w:eastAsia="仿宋" w:cs="仿宋"/>
          <w:color w:val="auto"/>
          <w:sz w:val="24"/>
          <w:szCs w:val="24"/>
          <w:highlight w:val="none"/>
          <w:lang w:eastAsia="zh-CN"/>
        </w:rPr>
        <w:t>。</w:t>
      </w:r>
    </w:p>
    <w:p w14:paraId="6E293E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自合同签订之日起7天内</w:t>
      </w:r>
    </w:p>
    <w:p w14:paraId="2E79B08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highlight w:val="none"/>
        </w:rPr>
      </w:pPr>
    </w:p>
    <w:p w14:paraId="5020A18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二、申请人的资格要求</w:t>
      </w:r>
      <w:bookmarkEnd w:id="60"/>
      <w:bookmarkEnd w:id="61"/>
      <w:bookmarkEnd w:id="62"/>
    </w:p>
    <w:p w14:paraId="685254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AA0E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bookmarkStart w:id="63" w:name="_Toc8126"/>
      <w:bookmarkStart w:id="64" w:name="_Toc7063"/>
      <w:bookmarkStart w:id="65" w:name="_Toc5706"/>
      <w:r>
        <w:rPr>
          <w:rFonts w:hint="eastAsia" w:ascii="仿宋" w:hAnsi="仿宋" w:eastAsia="仿宋" w:cs="仿宋"/>
          <w:color w:val="auto"/>
          <w:sz w:val="24"/>
          <w:szCs w:val="24"/>
          <w:highlight w:val="none"/>
        </w:rPr>
        <w:t>2.落实政府采购政策需满足的资格要求：</w:t>
      </w:r>
    </w:p>
    <w:p w14:paraId="6D5D80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合同包1(儿科医疗设备)落实政府采购政策需满足的资格要求如下:</w:t>
      </w:r>
    </w:p>
    <w:p w14:paraId="3C4260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本项目为非专门面向中小企业的项目</w:t>
      </w:r>
    </w:p>
    <w:p w14:paraId="1B63AC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合同包2(急诊科医疗设备)落实政府采购政策需满足的资格要求如下:</w:t>
      </w:r>
    </w:p>
    <w:p w14:paraId="18C7C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本项目为非专门面向中小企业的项目</w:t>
      </w:r>
    </w:p>
    <w:p w14:paraId="45031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合同包3(重点专科（呼吸科）设备)落实政府采购政策需满足的资格要求如下:</w:t>
      </w:r>
    </w:p>
    <w:p w14:paraId="16D40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本项目为非专门面向中小企业的项目</w:t>
      </w:r>
    </w:p>
    <w:p w14:paraId="760034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3.本项目的特定资格要求：</w:t>
      </w:r>
    </w:p>
    <w:p w14:paraId="12BC7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合同包1(儿科医疗设备)特定资格要求如下:</w:t>
      </w:r>
    </w:p>
    <w:p w14:paraId="04491A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在递交响应文件截止时间前被“信用中国”网站（www.creditchina.gov.cn）和中国政府采购网（www.ccgp.gov.cn）上被列入失信被执行人、重大税收违法失信主体、政府采购严重违法失信行为记录名单的，不得参加投标；</w:t>
      </w:r>
    </w:p>
    <w:p w14:paraId="75C610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为合法注册的法人、其他组织或者自然人，并具有独立承担民事责任的能力，且具备向采购人提供相关货物和服务的能力；提供统一社会信用代码的营业执照（或事业法人证、自然人身份证）等合法证明文件；</w:t>
      </w:r>
    </w:p>
    <w:p w14:paraId="5F7B46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3.供应商若为制造商，提供所投产品的医疗器械生产许可证；供应商若为代理商，提供所投产品的医疗器械经营许可证或二类医疗器械经营备案证（投标产品须在其经营范围内）</w:t>
      </w:r>
    </w:p>
    <w:p w14:paraId="3D5E8B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4.投标产品若属于医疗器械管理的须提供医疗器械注册证</w:t>
      </w:r>
    </w:p>
    <w:p w14:paraId="29FE4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5供应商不得存在下列情形之一：</w:t>
      </w:r>
    </w:p>
    <w:p w14:paraId="51C3D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（1）单位负责人为同一人或者存在直接控股、管理关系的不同供应商，不得参加同一合同项下的政府采购活动；</w:t>
      </w:r>
    </w:p>
    <w:p w14:paraId="33AEC7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（2）为本项目提供整体设计、规范编制或者项目管理、监理、检测等服务的供应商，不得再参加该采购项目的其他采购活动。</w:t>
      </w:r>
    </w:p>
    <w:p w14:paraId="45C8A6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合同包2(急诊科医疗设备)特定资格要求如下:</w:t>
      </w:r>
    </w:p>
    <w:p w14:paraId="5D13BC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在递交响应文件截止时间前被“信用中国”网站（www.creditchina.gov.cn）和中国政府采购网（www.ccgp.gov.cn）上被列入失信被执行人、重大税收违法失信主体、政府采购严重违法失信行为记录名单的，不得参加投标；</w:t>
      </w:r>
    </w:p>
    <w:p w14:paraId="4A34F1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为合法注册的法人、其他组织或者自然人，并具有独立承担民事责任的能力，且具备向采购人提供相关货物和服务的能力；提供统一社会信用代码的营业执照（或事业法人证、自然人身份证）等合法证明文件；</w:t>
      </w:r>
    </w:p>
    <w:p w14:paraId="50AA8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3.供应商若为制造商，提供所投产品的医疗器械生产许可证；供应商若为代理商，提供所投产品的医疗器械经营许可证或二类医疗器械经营备案证（投标产品须在其经营范围内）</w:t>
      </w:r>
    </w:p>
    <w:p w14:paraId="2F3CDD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4.投标产品若属于医疗器械管理的须提供医疗器械注册证</w:t>
      </w:r>
    </w:p>
    <w:p w14:paraId="24F23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5供应商不得存在下列情形之一：</w:t>
      </w:r>
    </w:p>
    <w:p w14:paraId="502850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（1）单位负责人为同一人或者存在直接控股、管理关系的不同供应商，不得参加同一合同项下的政府采购活动；</w:t>
      </w:r>
    </w:p>
    <w:p w14:paraId="640FAB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（2）为本项目提供整体设计、规范编制或者项目管理、监理、检测等服务的供应商，不得再参加该采购项目的其他采购活动。</w:t>
      </w:r>
    </w:p>
    <w:p w14:paraId="47417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合同包3(重点专科（呼吸科）设备)特定资格要求如下:</w:t>
      </w:r>
    </w:p>
    <w:p w14:paraId="75E923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在递交响应文件截止时间前被“信用中国”网站（www.creditchina.gov.cn）和中国政府采购网（www.ccgp.gov.cn）上被列入失信被执行人、重大税收违法失信主体、政府采购严重违法失信行为记录名单的，不得参加投标；</w:t>
      </w:r>
    </w:p>
    <w:p w14:paraId="0DEC1E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须为合法注册的法人、其他组织或者自然人，并具有独立承担民事责任的能力，且具备向采购人提供相关货物和服务的能力；提供统一社会信用代码的营业执照（或事业法人证、自然人身份证）等合法证明文件；</w:t>
      </w:r>
    </w:p>
    <w:p w14:paraId="16884C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3.供应商若为制造商，提供所投产品的医疗器械生产许可证；供应商若为代理商，提供所投产品的医疗器械经营许可证或二类医疗器械经营备案证（投标产品须在其经营范围内）</w:t>
      </w:r>
    </w:p>
    <w:p w14:paraId="41492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4.投标产品若属于医疗器械管理的须提供医疗器械注册证</w:t>
      </w:r>
    </w:p>
    <w:p w14:paraId="613AD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5供应商不得存在下列情形之一：</w:t>
      </w:r>
    </w:p>
    <w:p w14:paraId="06C39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（1）单位负责人为同一人或者存在直接控股、管理关系的不同供应商，不得参加同一合同项下的政府采购活动；</w:t>
      </w:r>
    </w:p>
    <w:p w14:paraId="219631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auto"/>
          <w:sz w:val="24"/>
          <w:highlight w:val="none"/>
        </w:rPr>
      </w:pPr>
      <w:r>
        <w:rPr>
          <w:rFonts w:hint="eastAsia" w:ascii="仿宋" w:hAnsi="仿宋" w:eastAsia="仿宋" w:cs="仿宋"/>
          <w:color w:val="auto"/>
          <w:sz w:val="24"/>
          <w:szCs w:val="24"/>
          <w:highlight w:val="none"/>
        </w:rPr>
        <w:t>（2）为本项目提供整体设计、规范编制或者项目管理、监理、检测等服务的供应商，不得再参加该采购项目的其他采购活动。</w:t>
      </w:r>
      <w:bookmarkEnd w:id="63"/>
      <w:bookmarkEnd w:id="64"/>
    </w:p>
    <w:p w14:paraId="52E894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highlight w:val="none"/>
        </w:rPr>
      </w:pPr>
      <w:bookmarkStart w:id="66" w:name="_Toc8342"/>
      <w:bookmarkStart w:id="67" w:name="_Toc28940"/>
      <w:r>
        <w:rPr>
          <w:rFonts w:hint="eastAsia" w:ascii="仿宋" w:hAnsi="仿宋" w:eastAsia="仿宋" w:cs="仿宋"/>
          <w:b/>
          <w:bCs/>
          <w:color w:val="auto"/>
          <w:sz w:val="24"/>
          <w:highlight w:val="none"/>
        </w:rPr>
        <w:t>三、获取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bookmarkEnd w:id="65"/>
      <w:bookmarkEnd w:id="66"/>
      <w:bookmarkEnd w:id="67"/>
    </w:p>
    <w:p w14:paraId="2F213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时间：2024年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28</w:t>
      </w:r>
      <w:r>
        <w:rPr>
          <w:rFonts w:hint="eastAsia" w:ascii="仿宋" w:hAnsi="仿宋" w:eastAsia="仿宋" w:cs="仿宋"/>
          <w:color w:val="auto"/>
          <w:sz w:val="24"/>
          <w:szCs w:val="24"/>
          <w:highlight w:val="none"/>
        </w:rPr>
        <w:t>日00:00:00至2024年</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日23:59:59</w:t>
      </w:r>
      <w:r>
        <w:rPr>
          <w:rFonts w:hint="eastAsia" w:ascii="仿宋" w:hAnsi="仿宋" w:eastAsia="仿宋" w:cs="仿宋"/>
          <w:color w:val="auto"/>
          <w:sz w:val="24"/>
          <w:szCs w:val="24"/>
          <w:highlight w:val="none"/>
          <w:lang w:val="en-US" w:eastAsia="zh-CN"/>
        </w:rPr>
        <w:t>止</w:t>
      </w:r>
    </w:p>
    <w:p w14:paraId="275509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途径：【全国公共资源交易平台（陕西省·宝鸡市）】（http://bj.sxggzyjy.cn）下载</w:t>
      </w:r>
    </w:p>
    <w:p w14:paraId="61D5A5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方式：在线获取</w:t>
      </w:r>
    </w:p>
    <w:p w14:paraId="162BF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售价：0元</w:t>
      </w:r>
    </w:p>
    <w:p w14:paraId="3A1C96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highlight w:val="none"/>
        </w:rPr>
      </w:pPr>
      <w:bookmarkStart w:id="68" w:name="_Toc17761"/>
      <w:bookmarkStart w:id="69" w:name="_Toc15424"/>
      <w:bookmarkStart w:id="70" w:name="_Toc29505"/>
      <w:r>
        <w:rPr>
          <w:rFonts w:hint="eastAsia" w:ascii="仿宋" w:hAnsi="仿宋" w:eastAsia="仿宋" w:cs="仿宋"/>
          <w:b/>
          <w:bCs/>
          <w:color w:val="auto"/>
          <w:sz w:val="24"/>
          <w:highlight w:val="none"/>
        </w:rPr>
        <w:t>四、</w:t>
      </w:r>
      <w:r>
        <w:rPr>
          <w:rFonts w:hint="eastAsia" w:ascii="仿宋" w:hAnsi="仿宋" w:eastAsia="仿宋" w:cs="仿宋"/>
          <w:b/>
          <w:bCs/>
          <w:color w:val="auto"/>
          <w:sz w:val="24"/>
          <w:highlight w:val="none"/>
          <w:lang w:eastAsia="zh-CN"/>
        </w:rPr>
        <w:t>响应文件</w:t>
      </w:r>
      <w:r>
        <w:rPr>
          <w:rFonts w:hint="eastAsia" w:ascii="仿宋" w:hAnsi="仿宋" w:eastAsia="仿宋" w:cs="仿宋"/>
          <w:b/>
          <w:bCs/>
          <w:color w:val="auto"/>
          <w:sz w:val="24"/>
          <w:highlight w:val="none"/>
        </w:rPr>
        <w:t>提交</w:t>
      </w:r>
      <w:bookmarkEnd w:id="68"/>
      <w:bookmarkEnd w:id="69"/>
    </w:p>
    <w:p w14:paraId="12D050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auto"/>
          <w:sz w:val="24"/>
          <w:highlight w:val="none"/>
        </w:rPr>
      </w:pPr>
      <w:bookmarkStart w:id="71" w:name="_Toc16158"/>
      <w:bookmarkStart w:id="72" w:name="_Toc24760"/>
      <w:r>
        <w:rPr>
          <w:rFonts w:hint="eastAsia" w:ascii="仿宋" w:hAnsi="仿宋" w:eastAsia="仿宋" w:cs="仿宋"/>
          <w:b w:val="0"/>
          <w:bCs w:val="0"/>
          <w:color w:val="auto"/>
          <w:sz w:val="24"/>
          <w:highlight w:val="none"/>
        </w:rPr>
        <w:t>截止时间：2024年</w:t>
      </w:r>
      <w:r>
        <w:rPr>
          <w:rFonts w:hint="eastAsia" w:ascii="仿宋" w:hAnsi="仿宋" w:eastAsia="仿宋" w:cs="仿宋"/>
          <w:b w:val="0"/>
          <w:bCs w:val="0"/>
          <w:color w:val="auto"/>
          <w:sz w:val="24"/>
          <w:highlight w:val="none"/>
          <w:lang w:val="en-US" w:eastAsia="zh-CN"/>
        </w:rPr>
        <w:t>10</w:t>
      </w:r>
      <w:r>
        <w:rPr>
          <w:rFonts w:hint="eastAsia" w:ascii="仿宋" w:hAnsi="仿宋" w:eastAsia="仿宋" w:cs="仿宋"/>
          <w:b w:val="0"/>
          <w:bCs w:val="0"/>
          <w:color w:val="auto"/>
          <w:sz w:val="24"/>
          <w:highlight w:val="none"/>
        </w:rPr>
        <w:t>月</w:t>
      </w:r>
      <w:r>
        <w:rPr>
          <w:rFonts w:hint="eastAsia" w:ascii="仿宋" w:hAnsi="仿宋" w:eastAsia="仿宋" w:cs="仿宋"/>
          <w:b w:val="0"/>
          <w:bCs w:val="0"/>
          <w:color w:val="auto"/>
          <w:sz w:val="24"/>
          <w:highlight w:val="none"/>
          <w:lang w:val="en-US" w:eastAsia="zh-CN"/>
        </w:rPr>
        <w:t>31</w:t>
      </w:r>
      <w:r>
        <w:rPr>
          <w:rFonts w:hint="eastAsia" w:ascii="仿宋" w:hAnsi="仿宋" w:eastAsia="仿宋" w:cs="仿宋"/>
          <w:b w:val="0"/>
          <w:bCs w:val="0"/>
          <w:color w:val="auto"/>
          <w:sz w:val="24"/>
          <w:highlight w:val="none"/>
        </w:rPr>
        <w:t>日</w:t>
      </w:r>
      <w:r>
        <w:rPr>
          <w:rFonts w:hint="eastAsia" w:ascii="仿宋" w:hAnsi="仿宋" w:eastAsia="仿宋" w:cs="仿宋"/>
          <w:b w:val="0"/>
          <w:bCs w:val="0"/>
          <w:color w:val="auto"/>
          <w:sz w:val="24"/>
          <w:highlight w:val="none"/>
          <w:lang w:val="en-US" w:eastAsia="zh-CN"/>
        </w:rPr>
        <w:t>09</w:t>
      </w:r>
      <w:r>
        <w:rPr>
          <w:rFonts w:hint="eastAsia" w:ascii="仿宋" w:hAnsi="仿宋" w:eastAsia="仿宋" w:cs="仿宋"/>
          <w:b w:val="0"/>
          <w:bCs w:val="0"/>
          <w:color w:val="auto"/>
          <w:sz w:val="24"/>
          <w:highlight w:val="none"/>
        </w:rPr>
        <w:t>时</w:t>
      </w:r>
      <w:r>
        <w:rPr>
          <w:rFonts w:hint="eastAsia" w:ascii="仿宋" w:hAnsi="仿宋" w:eastAsia="仿宋" w:cs="仿宋"/>
          <w:b w:val="0"/>
          <w:bCs w:val="0"/>
          <w:color w:val="auto"/>
          <w:sz w:val="24"/>
          <w:highlight w:val="none"/>
          <w:lang w:val="en-US" w:eastAsia="zh-CN"/>
        </w:rPr>
        <w:t>0</w:t>
      </w:r>
      <w:r>
        <w:rPr>
          <w:rFonts w:hint="eastAsia" w:ascii="仿宋" w:hAnsi="仿宋" w:eastAsia="仿宋" w:cs="仿宋"/>
          <w:b w:val="0"/>
          <w:bCs w:val="0"/>
          <w:color w:val="auto"/>
          <w:sz w:val="24"/>
          <w:highlight w:val="none"/>
        </w:rPr>
        <w:t>0分00秒（北京时间）</w:t>
      </w:r>
      <w:bookmarkEnd w:id="71"/>
      <w:bookmarkEnd w:id="72"/>
    </w:p>
    <w:p w14:paraId="0F97DB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auto"/>
          <w:sz w:val="24"/>
          <w:highlight w:val="none"/>
        </w:rPr>
      </w:pPr>
      <w:bookmarkStart w:id="73" w:name="_Toc16989"/>
      <w:bookmarkStart w:id="74" w:name="_Toc25505"/>
      <w:r>
        <w:rPr>
          <w:rFonts w:hint="eastAsia" w:ascii="仿宋" w:hAnsi="仿宋" w:eastAsia="仿宋" w:cs="仿宋"/>
          <w:b w:val="0"/>
          <w:bCs w:val="0"/>
          <w:color w:val="auto"/>
          <w:sz w:val="24"/>
          <w:highlight w:val="none"/>
        </w:rPr>
        <w:t>地点：【全国公共资源交易平台（陕西省·宝鸡市）】（http://bj.sxggzyjy.cn）上传</w:t>
      </w:r>
      <w:bookmarkEnd w:id="73"/>
      <w:bookmarkEnd w:id="74"/>
    </w:p>
    <w:p w14:paraId="24CF05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highlight w:val="none"/>
        </w:rPr>
      </w:pPr>
      <w:bookmarkStart w:id="75" w:name="_Toc19554"/>
      <w:bookmarkStart w:id="76" w:name="_Toc8883"/>
      <w:r>
        <w:rPr>
          <w:rFonts w:hint="eastAsia" w:ascii="仿宋" w:hAnsi="仿宋" w:eastAsia="仿宋" w:cs="仿宋"/>
          <w:b/>
          <w:bCs/>
          <w:color w:val="auto"/>
          <w:sz w:val="24"/>
          <w:highlight w:val="none"/>
        </w:rPr>
        <w:t>五、开启</w:t>
      </w:r>
      <w:bookmarkEnd w:id="75"/>
      <w:bookmarkEnd w:id="76"/>
    </w:p>
    <w:p w14:paraId="32C9D6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auto"/>
          <w:sz w:val="24"/>
          <w:highlight w:val="none"/>
        </w:rPr>
      </w:pPr>
      <w:bookmarkStart w:id="77" w:name="_Toc939"/>
      <w:bookmarkStart w:id="78" w:name="_Toc986"/>
      <w:r>
        <w:rPr>
          <w:rFonts w:hint="eastAsia" w:ascii="仿宋" w:hAnsi="仿宋" w:eastAsia="仿宋" w:cs="仿宋"/>
          <w:b w:val="0"/>
          <w:bCs w:val="0"/>
          <w:color w:val="auto"/>
          <w:sz w:val="24"/>
          <w:highlight w:val="none"/>
        </w:rPr>
        <w:t>时间：2024年</w:t>
      </w:r>
      <w:r>
        <w:rPr>
          <w:rFonts w:hint="eastAsia" w:ascii="仿宋" w:hAnsi="仿宋" w:eastAsia="仿宋" w:cs="仿宋"/>
          <w:b w:val="0"/>
          <w:bCs w:val="0"/>
          <w:color w:val="auto"/>
          <w:sz w:val="24"/>
          <w:highlight w:val="none"/>
          <w:lang w:val="en-US" w:eastAsia="zh-CN"/>
        </w:rPr>
        <w:t>10</w:t>
      </w:r>
      <w:r>
        <w:rPr>
          <w:rFonts w:hint="eastAsia" w:ascii="仿宋" w:hAnsi="仿宋" w:eastAsia="仿宋" w:cs="仿宋"/>
          <w:b w:val="0"/>
          <w:bCs w:val="0"/>
          <w:color w:val="auto"/>
          <w:sz w:val="24"/>
          <w:highlight w:val="none"/>
        </w:rPr>
        <w:t>月</w:t>
      </w:r>
      <w:r>
        <w:rPr>
          <w:rFonts w:hint="eastAsia" w:ascii="仿宋" w:hAnsi="仿宋" w:eastAsia="仿宋" w:cs="仿宋"/>
          <w:b w:val="0"/>
          <w:bCs w:val="0"/>
          <w:color w:val="auto"/>
          <w:sz w:val="24"/>
          <w:highlight w:val="none"/>
          <w:lang w:val="en-US" w:eastAsia="zh-CN"/>
        </w:rPr>
        <w:t>31</w:t>
      </w:r>
      <w:r>
        <w:rPr>
          <w:rFonts w:hint="eastAsia" w:ascii="仿宋" w:hAnsi="仿宋" w:eastAsia="仿宋" w:cs="仿宋"/>
          <w:b w:val="0"/>
          <w:bCs w:val="0"/>
          <w:color w:val="auto"/>
          <w:sz w:val="24"/>
          <w:highlight w:val="none"/>
        </w:rPr>
        <w:t>日</w:t>
      </w:r>
      <w:r>
        <w:rPr>
          <w:rFonts w:hint="eastAsia" w:ascii="仿宋" w:hAnsi="仿宋" w:eastAsia="仿宋" w:cs="仿宋"/>
          <w:b w:val="0"/>
          <w:bCs w:val="0"/>
          <w:color w:val="auto"/>
          <w:sz w:val="24"/>
          <w:highlight w:val="none"/>
          <w:lang w:val="en-US" w:eastAsia="zh-CN"/>
        </w:rPr>
        <w:t>09</w:t>
      </w:r>
      <w:r>
        <w:rPr>
          <w:rFonts w:hint="eastAsia" w:ascii="仿宋" w:hAnsi="仿宋" w:eastAsia="仿宋" w:cs="仿宋"/>
          <w:b w:val="0"/>
          <w:bCs w:val="0"/>
          <w:color w:val="auto"/>
          <w:sz w:val="24"/>
          <w:highlight w:val="none"/>
        </w:rPr>
        <w:t>时</w:t>
      </w:r>
      <w:r>
        <w:rPr>
          <w:rFonts w:hint="eastAsia" w:ascii="仿宋" w:hAnsi="仿宋" w:eastAsia="仿宋" w:cs="仿宋"/>
          <w:b w:val="0"/>
          <w:bCs w:val="0"/>
          <w:color w:val="auto"/>
          <w:sz w:val="24"/>
          <w:highlight w:val="none"/>
          <w:lang w:val="en-US" w:eastAsia="zh-CN"/>
        </w:rPr>
        <w:t>00</w:t>
      </w:r>
      <w:r>
        <w:rPr>
          <w:rFonts w:hint="eastAsia" w:ascii="仿宋" w:hAnsi="仿宋" w:eastAsia="仿宋" w:cs="仿宋"/>
          <w:b w:val="0"/>
          <w:bCs w:val="0"/>
          <w:color w:val="auto"/>
          <w:sz w:val="24"/>
          <w:highlight w:val="none"/>
        </w:rPr>
        <w:t>分00秒（北京时间）</w:t>
      </w:r>
      <w:bookmarkEnd w:id="77"/>
      <w:bookmarkEnd w:id="78"/>
    </w:p>
    <w:p w14:paraId="26FE8C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eastAsia" w:ascii="仿宋" w:hAnsi="仿宋" w:eastAsia="仿宋" w:cs="仿宋"/>
          <w:b w:val="0"/>
          <w:bCs w:val="0"/>
          <w:color w:val="auto"/>
          <w:sz w:val="24"/>
          <w:highlight w:val="none"/>
        </w:rPr>
      </w:pPr>
      <w:bookmarkStart w:id="79" w:name="_Toc30521"/>
      <w:bookmarkStart w:id="80" w:name="_Toc22715"/>
      <w:r>
        <w:rPr>
          <w:rFonts w:hint="eastAsia" w:ascii="仿宋" w:hAnsi="仿宋" w:eastAsia="仿宋" w:cs="仿宋"/>
          <w:b w:val="0"/>
          <w:bCs w:val="0"/>
          <w:color w:val="auto"/>
          <w:sz w:val="24"/>
          <w:highlight w:val="none"/>
        </w:rPr>
        <w:t>地点：【全国公共资源交易平台（陕西省·宝鸡市）】（http://bj.sxggzyjy.cn）</w:t>
      </w:r>
      <w:bookmarkEnd w:id="79"/>
      <w:bookmarkEnd w:id="80"/>
    </w:p>
    <w:p w14:paraId="4FD0DD9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highlight w:val="none"/>
        </w:rPr>
      </w:pPr>
      <w:bookmarkStart w:id="81" w:name="_Toc17411"/>
      <w:bookmarkStart w:id="82" w:name="_Toc14023"/>
      <w:r>
        <w:rPr>
          <w:rFonts w:hint="eastAsia" w:ascii="仿宋" w:hAnsi="仿宋" w:eastAsia="仿宋" w:cs="仿宋"/>
          <w:b/>
          <w:bCs/>
          <w:color w:val="auto"/>
          <w:sz w:val="24"/>
          <w:highlight w:val="none"/>
          <w:lang w:val="en-US" w:eastAsia="zh-CN"/>
        </w:rPr>
        <w:t>六</w:t>
      </w:r>
      <w:r>
        <w:rPr>
          <w:rFonts w:hint="eastAsia" w:ascii="仿宋" w:hAnsi="仿宋" w:eastAsia="仿宋" w:cs="仿宋"/>
          <w:b/>
          <w:bCs/>
          <w:color w:val="auto"/>
          <w:sz w:val="24"/>
          <w:highlight w:val="none"/>
        </w:rPr>
        <w:t>、公告期限</w:t>
      </w:r>
      <w:bookmarkEnd w:id="70"/>
      <w:bookmarkEnd w:id="81"/>
      <w:bookmarkEnd w:id="82"/>
    </w:p>
    <w:p w14:paraId="2595FA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个工作日。</w:t>
      </w:r>
    </w:p>
    <w:p w14:paraId="64ABABC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highlight w:val="none"/>
        </w:rPr>
      </w:pPr>
      <w:bookmarkStart w:id="83" w:name="_Toc19510"/>
      <w:bookmarkStart w:id="84" w:name="_Toc30087"/>
      <w:bookmarkStart w:id="85" w:name="_Toc1831"/>
      <w:r>
        <w:rPr>
          <w:rFonts w:hint="eastAsia" w:ascii="仿宋" w:hAnsi="仿宋" w:eastAsia="仿宋" w:cs="仿宋"/>
          <w:b/>
          <w:bCs/>
          <w:color w:val="auto"/>
          <w:sz w:val="24"/>
          <w:highlight w:val="none"/>
          <w:lang w:val="en-US" w:eastAsia="zh-CN"/>
        </w:rPr>
        <w:t>七</w:t>
      </w:r>
      <w:r>
        <w:rPr>
          <w:rFonts w:hint="eastAsia" w:ascii="仿宋" w:hAnsi="仿宋" w:eastAsia="仿宋" w:cs="仿宋"/>
          <w:b/>
          <w:bCs/>
          <w:color w:val="auto"/>
          <w:sz w:val="24"/>
          <w:highlight w:val="none"/>
        </w:rPr>
        <w:t>、其他补充事宜</w:t>
      </w:r>
      <w:bookmarkEnd w:id="83"/>
      <w:bookmarkEnd w:id="84"/>
      <w:bookmarkEnd w:id="85"/>
    </w:p>
    <w:p w14:paraId="5F1E927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1、落实政府采购政策：</w:t>
      </w:r>
    </w:p>
    <w:p w14:paraId="044E7D73">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1.1《关于进一步加大政府采购支持中小企业力度的通知》（财库〔2022〕19号）、《政府采购促进中小企业发展管理办法》（财库〔2020〕46号）、《财政部 司法部关于政府采购支持监狱企业发展有关问题的通知》（财库〔2014〕68号）、《财政部 民政部 中国残疾人联合会关于促进残疾人就业政府采购政策的通知》（财库〔2017〕141号）。</w:t>
      </w:r>
    </w:p>
    <w:p w14:paraId="188FB1AA">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1.2《国务院办公厅关于建立政府强制采购节能产品制度的通知》（国办发〔2007〕51号）、《财政部 国家发改委 生态环境部 市场监督总局联合印发关于调整优化节能产品、环境标志产品政府采购执行机制的通知》（财库〔2019〕9号）、《关于印发环境标志产品政府采购品目清单的通知》（财库〔2019〕18号）、《关于印发节能产品政府采购品目清单的通知》（财库〔2019〕19号）。</w:t>
      </w:r>
    </w:p>
    <w:p w14:paraId="7F54B22C">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1.3《财政部 农业农村部 国家乡村振兴局关于运用政府采购政策支持乡村产业振兴的通知》（财库〔2021〕19 号）、《财政部 农业农村部 国家乡村振兴局 中华全国供销合作总社关于印发&lt;关于深入开展政府采购脱贫地区农副产品工作推进乡村产业振兴的实施意见&gt;的通知》（财库〔2021〕20 号）。</w:t>
      </w:r>
    </w:p>
    <w:p w14:paraId="252A0AEF">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1.4《国家互联网信息办公室 工业和信息化部 公安部 财政部 国家认证认可监督管理委员会关于调整网络安全专用产品安全管理有关事项的公告》（2023年第1号）。</w:t>
      </w:r>
    </w:p>
    <w:p w14:paraId="260BA3FD">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1.5《陕西省财政厅关于加快推进我省中小企业政府采购信用融资工作的通知》（陕财办采〔2020〕15 号）、《陕西省财政厅关于印发&lt;陕西省中小企业政府采购信用融资办法&gt;的通知》（陕财办采〔2018〕23 号）。</w:t>
      </w:r>
    </w:p>
    <w:p w14:paraId="41110AA2">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08F1B22E">
      <w:pPr>
        <w:spacing w:line="52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若享受以上政策优惠的企业，提供相应声明函或品目清单范围内产品的有效认证证书或相关证明。</w:t>
      </w:r>
    </w:p>
    <w:p w14:paraId="3F369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2、供应商按照陕西省财政厅关于政府采购供应商注册登记有关事项的通知要求，通过陕西省政府采购网（http://www.ccgp-shaanxi.gov.cn/）注册登记加入陕西省政府采购供应商库并及时办理CA数字证书（陕西CA锁）；</w:t>
      </w:r>
    </w:p>
    <w:p w14:paraId="2E1FA0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文件获取方式：打开【全国公共资源交易平台（陕西省·宝鸡市）】网站（简称宝鸡市公共资源交易平台，官网地址：http://ggzy.baoji.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获取本项目电子招标文件（谈判文件）（*.SXSZF）；</w:t>
      </w:r>
    </w:p>
    <w:p w14:paraId="661A16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提交谈判响应文件截止时间前，供应商应随时留意【陕西省政府采购网】、【全国公共资源交易平台（陕西省·宝鸡市）】上可能发布的变更公告。若变更公告中明确注明本项目提供有变更文件的，供应商应登录企业端后，从〖项目流程·〉项目管理·〉答疑文件下载〗获取更新后的电子招标文件（谈判文件）（*.SXSCF），使用旧版电子谈判文件制作的电子谈判响应文件（*.SXSTF），系统将拒绝接收；</w:t>
      </w:r>
    </w:p>
    <w:p w14:paraId="03C5A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提交谈判响应文件的方式：从宝鸡市公共资源交易平台〖首页·〉电子交易平台·〉陕西政府采购交易系统·〉企业端〗登录，登录后切换到〖我的项目〗模块，依次点选〖项目流程·〉项目管理·〉上传响应文件〗上传加密后的电子谈判响应文件（*.SXSTF）；</w:t>
      </w:r>
    </w:p>
    <w:p w14:paraId="5BD523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6.逾期未在宝鸡市公共资源交易平台上传电子版谈判响应文件的，采购人不予受理，系统将拒绝接收；</w:t>
      </w:r>
    </w:p>
    <w:p w14:paraId="0E19D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7.开标形式：本项目将采用“不见面开标”形式。操作说明详见平台〖首页·〉服务指南·〉下载专区〗中的《宝鸡公共资源交易不见面开标大厅供应商操作手册》；</w:t>
      </w:r>
    </w:p>
    <w:p w14:paraId="29F357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8.如有技术性问题，请先翻阅操作手册或致电软件开发商，技术支持热线：4009280095、4009980000。</w:t>
      </w:r>
    </w:p>
    <w:p w14:paraId="3FE019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仿宋" w:hAnsi="仿宋" w:eastAsia="仿宋" w:cs="仿宋"/>
          <w:b/>
          <w:bCs/>
          <w:color w:val="auto"/>
          <w:sz w:val="24"/>
          <w:highlight w:val="none"/>
        </w:rPr>
      </w:pPr>
      <w:bookmarkStart w:id="86" w:name="_Toc8655"/>
      <w:bookmarkStart w:id="87" w:name="_Toc2358"/>
      <w:bookmarkStart w:id="88" w:name="_Toc30998"/>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、对本次</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提出询问，请按以下方式联系。</w:t>
      </w:r>
      <w:bookmarkEnd w:id="86"/>
      <w:bookmarkEnd w:id="87"/>
      <w:bookmarkEnd w:id="88"/>
    </w:p>
    <w:p w14:paraId="329262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D0D73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扶风县中医医院</w:t>
      </w:r>
    </w:p>
    <w:p w14:paraId="6322D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宝鸡市扶风县城关街道美阳路1号</w:t>
      </w:r>
    </w:p>
    <w:p w14:paraId="5F62B3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0917-5122499</w:t>
      </w:r>
    </w:p>
    <w:p w14:paraId="6E687A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、采购代理机构信息</w:t>
      </w:r>
    </w:p>
    <w:p w14:paraId="659AC4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名称：陕西省采购招标有限责任公司</w:t>
      </w:r>
    </w:p>
    <w:p w14:paraId="497F5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地址：西安市高新二路2号山西证券大厦8层</w:t>
      </w:r>
    </w:p>
    <w:p w14:paraId="0EE0BD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联系方式：</w:t>
      </w:r>
      <w:r>
        <w:rPr>
          <w:rFonts w:hint="eastAsia" w:ascii="仿宋" w:hAnsi="仿宋" w:eastAsia="仿宋" w:cs="仿宋"/>
          <w:color w:val="auto"/>
          <w:sz w:val="24"/>
          <w:szCs w:val="24"/>
          <w:highlight w:val="none"/>
          <w:lang w:eastAsia="zh-CN"/>
        </w:rPr>
        <w:t>029-85257505</w:t>
      </w:r>
    </w:p>
    <w:p w14:paraId="1FA8B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、项目联系方式</w:t>
      </w:r>
    </w:p>
    <w:p w14:paraId="458DF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eastAsia="zh-CN"/>
        </w:rPr>
        <w:t>白新岩、李思鋆、王莉</w:t>
      </w:r>
    </w:p>
    <w:p w14:paraId="7C5ACB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电话：</w:t>
      </w:r>
      <w:r>
        <w:rPr>
          <w:rFonts w:hint="eastAsia" w:ascii="仿宋" w:hAnsi="仿宋" w:eastAsia="仿宋" w:cs="仿宋"/>
          <w:color w:val="auto"/>
          <w:sz w:val="24"/>
          <w:szCs w:val="24"/>
          <w:highlight w:val="none"/>
          <w:lang w:eastAsia="zh-CN"/>
        </w:rPr>
        <w:t>029-85257505</w:t>
      </w:r>
    </w:p>
    <w:p w14:paraId="79D891E0">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16671940">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bookmarkStart w:id="89" w:name="_Toc18896"/>
      <w:r>
        <w:rPr>
          <w:rFonts w:hint="eastAsia" w:ascii="仿宋" w:hAnsi="仿宋" w:eastAsia="仿宋" w:cs="仿宋"/>
          <w:b/>
          <w:color w:val="auto"/>
          <w:kern w:val="0"/>
          <w:sz w:val="32"/>
          <w:szCs w:val="32"/>
          <w:highlight w:val="none"/>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89"/>
    </w:p>
    <w:p w14:paraId="7FAE654B">
      <w:pPr>
        <w:pStyle w:val="2"/>
        <w:keepNext/>
        <w:keepLines/>
        <w:pageBreakBefore w:val="0"/>
        <w:widowControl w:val="0"/>
        <w:kinsoku/>
        <w:wordWrap/>
        <w:overflowPunct/>
        <w:topLinePunct w:val="0"/>
        <w:autoSpaceDE/>
        <w:autoSpaceDN/>
        <w:bidi w:val="0"/>
        <w:adjustRightInd w:val="0"/>
        <w:snapToGrid/>
        <w:spacing w:before="20" w:after="20" w:line="400" w:lineRule="exact"/>
        <w:jc w:val="center"/>
        <w:textAlignment w:val="baseline"/>
        <w:rPr>
          <w:rFonts w:hint="eastAsia" w:ascii="仿宋" w:hAnsi="仿宋" w:eastAsia="仿宋" w:cs="仿宋"/>
          <w:color w:val="auto"/>
          <w:sz w:val="28"/>
          <w:szCs w:val="28"/>
          <w:highlight w:val="none"/>
        </w:rPr>
      </w:pPr>
      <w:bookmarkStart w:id="90" w:name="_Toc22507"/>
      <w:r>
        <w:rPr>
          <w:rFonts w:hint="eastAsia" w:ascii="仿宋" w:hAnsi="仿宋" w:eastAsia="仿宋" w:cs="仿宋"/>
          <w:color w:val="auto"/>
          <w:sz w:val="28"/>
          <w:szCs w:val="28"/>
          <w:highlight w:val="none"/>
        </w:rPr>
        <w:t>（一）供应商须知前附表</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90"/>
    </w:p>
    <w:p w14:paraId="7D8B0492">
      <w:pPr>
        <w:rPr>
          <w:rFonts w:hint="eastAsia" w:ascii="仿宋" w:hAnsi="仿宋" w:eastAsia="仿宋" w:cs="仿宋"/>
          <w:b/>
          <w:color w:val="auto"/>
          <w:sz w:val="20"/>
          <w:szCs w:val="20"/>
          <w:highlight w:val="none"/>
        </w:rPr>
      </w:pPr>
      <w:r>
        <w:rPr>
          <w:rFonts w:hint="eastAsia" w:ascii="仿宋" w:hAnsi="仿宋" w:eastAsia="仿宋" w:cs="仿宋"/>
          <w:color w:val="auto"/>
          <w:sz w:val="24"/>
          <w:highlight w:val="none"/>
        </w:rPr>
        <w:t>本表是对供应商须知的具体补充和修改，如有矛盾，均以本表为准。</w:t>
      </w:r>
    </w:p>
    <w:bookmarkEnd w:id="17"/>
    <w:tbl>
      <w:tblPr>
        <w:tblStyle w:val="50"/>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8589"/>
      </w:tblGrid>
      <w:tr w14:paraId="2583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1170" w:type="dxa"/>
            <w:vAlign w:val="center"/>
          </w:tcPr>
          <w:p w14:paraId="638E17D9">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b/>
                <w:color w:val="auto"/>
                <w:sz w:val="24"/>
                <w:szCs w:val="24"/>
                <w:highlight w:val="none"/>
              </w:rPr>
            </w:pPr>
            <w:bookmarkStart w:id="91" w:name="_Hlt14560610"/>
            <w:bookmarkEnd w:id="91"/>
            <w:bookmarkStart w:id="92" w:name="_Toc385992326"/>
            <w:bookmarkStart w:id="93" w:name="_Toc499711044"/>
            <w:bookmarkStart w:id="94" w:name="_Toc500747063"/>
            <w:bookmarkStart w:id="95" w:name="_Toc499711885"/>
            <w:bookmarkStart w:id="96" w:name="_Toc492955416"/>
            <w:bookmarkStart w:id="97" w:name="_Toc496324580"/>
            <w:bookmarkStart w:id="98" w:name="_Toc500746967"/>
            <w:bookmarkStart w:id="99" w:name="_Toc503063423"/>
            <w:bookmarkStart w:id="100" w:name="_Toc500747190"/>
            <w:bookmarkStart w:id="101" w:name="_Toc389620165"/>
            <w:r>
              <w:rPr>
                <w:rFonts w:hint="eastAsia" w:ascii="仿宋" w:hAnsi="仿宋" w:eastAsia="仿宋" w:cs="仿宋"/>
                <w:b/>
                <w:color w:val="auto"/>
                <w:sz w:val="24"/>
                <w:szCs w:val="24"/>
                <w:highlight w:val="none"/>
              </w:rPr>
              <w:t>条款号</w:t>
            </w:r>
          </w:p>
        </w:tc>
        <w:tc>
          <w:tcPr>
            <w:tcW w:w="8589" w:type="dxa"/>
            <w:vAlign w:val="center"/>
          </w:tcPr>
          <w:p w14:paraId="0EC0D55B">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内容说明</w:t>
            </w:r>
          </w:p>
        </w:tc>
      </w:tr>
      <w:tr w14:paraId="54CB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5936ADF9">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8589" w:type="dxa"/>
            <w:vAlign w:val="center"/>
          </w:tcPr>
          <w:p w14:paraId="303223E6">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两专科一中心和重点专科（呼吸科）医疗设备采购项目</w:t>
            </w:r>
          </w:p>
          <w:p w14:paraId="0DCAC9E3">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lang w:val="zh-CN"/>
              </w:rPr>
              <w:t>SCZC2024-JT-2371-001</w:t>
            </w:r>
          </w:p>
          <w:p w14:paraId="65E49C54">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资金来源：</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财政资金</w:t>
            </w:r>
          </w:p>
          <w:p w14:paraId="2596A4EA">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1610000.00元</w:t>
            </w:r>
          </w:p>
          <w:p w14:paraId="6F077E8D">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第一包：570000.00元</w:t>
            </w:r>
          </w:p>
          <w:p w14:paraId="2921A2E1">
            <w:pPr>
              <w:pStyle w:val="29"/>
              <w:keepNext w:val="0"/>
              <w:keepLines w:val="0"/>
              <w:pageBreakBefore w:val="0"/>
              <w:widowControl w:val="0"/>
              <w:kinsoku/>
              <w:wordWrap/>
              <w:overflowPunct/>
              <w:topLinePunct w:val="0"/>
              <w:bidi w:val="0"/>
              <w:adjustRightInd w:val="0"/>
              <w:snapToGrid w:val="0"/>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第二包：660000.00元</w:t>
            </w:r>
          </w:p>
          <w:p w14:paraId="6380CEB7">
            <w:pPr>
              <w:pStyle w:val="29"/>
              <w:keepNext w:val="0"/>
              <w:keepLines w:val="0"/>
              <w:pageBreakBefore w:val="0"/>
              <w:widowControl w:val="0"/>
              <w:kinsoku/>
              <w:wordWrap/>
              <w:overflowPunct/>
              <w:topLinePunct w:val="0"/>
              <w:bidi w:val="0"/>
              <w:adjustRightInd w:val="0"/>
              <w:snapToGrid w:val="0"/>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第三包：380000.00元</w:t>
            </w:r>
          </w:p>
          <w:p w14:paraId="455FE73D">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14:paraId="6FED3E78">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采购内容：详见本谈判文件第四章</w:t>
            </w:r>
          </w:p>
          <w:p w14:paraId="33248A73">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项目所属行业：</w:t>
            </w:r>
            <w:r>
              <w:rPr>
                <w:rFonts w:hint="eastAsia" w:ascii="仿宋" w:hAnsi="仿宋" w:eastAsia="仿宋" w:cs="仿宋"/>
                <w:color w:val="auto"/>
                <w:sz w:val="24"/>
                <w:szCs w:val="24"/>
                <w:highlight w:val="none"/>
                <w:lang w:val="en-US" w:eastAsia="zh-CN"/>
              </w:rPr>
              <w:t>工业</w:t>
            </w:r>
          </w:p>
        </w:tc>
      </w:tr>
      <w:tr w14:paraId="16BC7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0BF823D6">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p>
        </w:tc>
        <w:tc>
          <w:tcPr>
            <w:tcW w:w="8589" w:type="dxa"/>
            <w:vAlign w:val="center"/>
          </w:tcPr>
          <w:p w14:paraId="389078AD">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采购人：</w:t>
            </w:r>
            <w:r>
              <w:rPr>
                <w:rFonts w:hint="eastAsia" w:ascii="仿宋" w:hAnsi="仿宋" w:eastAsia="仿宋" w:cs="仿宋"/>
                <w:color w:val="auto"/>
                <w:sz w:val="24"/>
                <w:szCs w:val="24"/>
                <w:highlight w:val="none"/>
                <w:u w:val="single"/>
                <w:lang w:eastAsia="zh-CN"/>
              </w:rPr>
              <w:t>扶风县中医医院</w:t>
            </w:r>
          </w:p>
          <w:p w14:paraId="712E626C">
            <w:pPr>
              <w:pStyle w:val="29"/>
              <w:keepNext w:val="0"/>
              <w:keepLines w:val="0"/>
              <w:pageBreakBefore w:val="0"/>
              <w:widowControl w:val="0"/>
              <w:kinsoku/>
              <w:wordWrap/>
              <w:overflowPunct/>
              <w:topLinePunct w:val="0"/>
              <w:bidi w:val="0"/>
              <w:adjustRightInd w:val="0"/>
              <w:snapToGrid w:val="0"/>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  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宝鸡市扶风县城关街道美阳路1号</w:t>
            </w:r>
          </w:p>
          <w:p w14:paraId="0B9625EE">
            <w:pPr>
              <w:pStyle w:val="29"/>
              <w:keepNext w:val="0"/>
              <w:keepLines w:val="0"/>
              <w:pageBreakBefore w:val="0"/>
              <w:widowControl w:val="0"/>
              <w:kinsoku/>
              <w:wordWrap/>
              <w:overflowPunct/>
              <w:topLinePunct w:val="0"/>
              <w:bidi w:val="0"/>
              <w:adjustRightInd w:val="0"/>
              <w:snapToGrid w:val="0"/>
              <w:spacing w:line="420" w:lineRule="exac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电  话</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0917-5211499</w:t>
            </w:r>
          </w:p>
        </w:tc>
      </w:tr>
      <w:tr w14:paraId="4452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71A01CCE">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p>
        </w:tc>
        <w:tc>
          <w:tcPr>
            <w:tcW w:w="8589" w:type="dxa"/>
            <w:vAlign w:val="center"/>
          </w:tcPr>
          <w:p w14:paraId="56F38626">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r>
              <w:rPr>
                <w:rFonts w:hint="eastAsia" w:ascii="仿宋" w:hAnsi="仿宋" w:eastAsia="仿宋" w:cs="仿宋"/>
                <w:color w:val="auto"/>
                <w:sz w:val="24"/>
                <w:szCs w:val="24"/>
                <w:highlight w:val="none"/>
                <w:u w:val="single"/>
              </w:rPr>
              <w:t>陕西省采购招标有限责任公司</w:t>
            </w:r>
          </w:p>
          <w:p w14:paraId="71A3F55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西安市高新二路2号山西证券大厦8层</w:t>
            </w:r>
          </w:p>
          <w:p w14:paraId="070C824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lang w:eastAsia="zh-CN"/>
              </w:rPr>
              <w:t>白新岩、李思鋆、王莉</w:t>
            </w:r>
            <w:r>
              <w:rPr>
                <w:rFonts w:hint="eastAsia" w:ascii="仿宋" w:hAnsi="仿宋" w:eastAsia="仿宋" w:cs="仿宋"/>
                <w:color w:val="auto"/>
                <w:sz w:val="24"/>
                <w:szCs w:val="24"/>
                <w:highlight w:val="none"/>
                <w:lang w:val="en-US" w:eastAsia="zh-CN"/>
              </w:rPr>
              <w:t xml:space="preserve">   电话</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eastAsia="zh-CN"/>
              </w:rPr>
              <w:t>029-85257505</w:t>
            </w:r>
          </w:p>
        </w:tc>
      </w:tr>
      <w:tr w14:paraId="6E55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5E556047">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w:t>
            </w:r>
          </w:p>
        </w:tc>
        <w:tc>
          <w:tcPr>
            <w:tcW w:w="8589" w:type="dxa"/>
            <w:vAlign w:val="center"/>
          </w:tcPr>
          <w:p w14:paraId="5D83F518">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邀请供应商的方式：</w:t>
            </w:r>
          </w:p>
          <w:p w14:paraId="01B2D099">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（1）发布</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szCs w:val="24"/>
                <w:highlight w:val="none"/>
              </w:rPr>
              <w:t>公告</w:t>
            </w:r>
          </w:p>
          <w:p w14:paraId="7DDD79B7">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（2）采购人和评审专家分别书面推荐的方式邀请不少于3家</w:t>
            </w:r>
          </w:p>
          <w:p w14:paraId="045197CD">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符合相应资格条件的供应商</w:t>
            </w:r>
          </w:p>
          <w:p w14:paraId="23CECBDF">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（3）随机从省级财政部门建立的供应商库中抽取</w:t>
            </w:r>
          </w:p>
        </w:tc>
      </w:tr>
      <w:tr w14:paraId="71AB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5E208318">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8589" w:type="dxa"/>
            <w:vAlign w:val="center"/>
          </w:tcPr>
          <w:p w14:paraId="6A5E3F37">
            <w:pPr>
              <w:pStyle w:val="15"/>
              <w:keepNext w:val="0"/>
              <w:keepLines w:val="0"/>
              <w:pageBreakBefore w:val="0"/>
              <w:widowControl w:val="0"/>
              <w:kinsoku/>
              <w:wordWrap/>
              <w:overflowPunct/>
              <w:topLinePunct w:val="0"/>
              <w:bidi w:val="0"/>
              <w:spacing w:line="420" w:lineRule="exact"/>
              <w:textAlignment w:val="auto"/>
              <w:rPr>
                <w:rFonts w:hint="eastAsia" w:ascii="仿宋" w:hAnsi="仿宋" w:eastAsia="仿宋" w:cs="仿宋"/>
                <w:color w:val="auto"/>
                <w:highlight w:val="none"/>
              </w:rPr>
            </w:pPr>
            <w:r>
              <w:rPr>
                <w:rFonts w:hint="eastAsia" w:ascii="仿宋" w:hAnsi="仿宋" w:eastAsia="仿宋" w:cs="仿宋"/>
                <w:color w:val="auto"/>
                <w:kern w:val="2"/>
                <w:highlight w:val="none"/>
              </w:rPr>
              <w:t>对供应商的资格要求：见谈判公告 （或谈判邀请）</w:t>
            </w:r>
          </w:p>
        </w:tc>
      </w:tr>
      <w:tr w14:paraId="5FF51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0271BACA">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w:t>
            </w:r>
          </w:p>
        </w:tc>
        <w:tc>
          <w:tcPr>
            <w:tcW w:w="8589" w:type="dxa"/>
            <w:vAlign w:val="center"/>
          </w:tcPr>
          <w:p w14:paraId="3993C447">
            <w:pPr>
              <w:pStyle w:val="15"/>
              <w:keepNext w:val="0"/>
              <w:keepLines w:val="0"/>
              <w:pageBreakBefore w:val="0"/>
              <w:widowControl w:val="0"/>
              <w:kinsoku/>
              <w:wordWrap/>
              <w:overflowPunct/>
              <w:topLinePunct w:val="0"/>
              <w:bidi w:val="0"/>
              <w:spacing w:line="420" w:lineRule="exact"/>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是否允许采购进口产品：</w:t>
            </w:r>
            <w:r>
              <w:rPr>
                <w:rFonts w:hint="eastAsia" w:ascii="仿宋" w:hAnsi="仿宋" w:eastAsia="仿宋" w:cs="仿宋"/>
                <w:color w:val="auto"/>
                <w:kern w:val="2"/>
                <w:highlight w:val="none"/>
                <w:u w:val="single"/>
              </w:rPr>
              <w:t>否</w:t>
            </w:r>
          </w:p>
        </w:tc>
      </w:tr>
      <w:tr w14:paraId="6649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03FA1A23">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w:t>
            </w:r>
          </w:p>
        </w:tc>
        <w:tc>
          <w:tcPr>
            <w:tcW w:w="8589" w:type="dxa"/>
            <w:vAlign w:val="center"/>
          </w:tcPr>
          <w:p w14:paraId="44486239">
            <w:pPr>
              <w:pStyle w:val="15"/>
              <w:keepNext w:val="0"/>
              <w:keepLines w:val="0"/>
              <w:pageBreakBefore w:val="0"/>
              <w:widowControl w:val="0"/>
              <w:kinsoku/>
              <w:wordWrap/>
              <w:overflowPunct/>
              <w:topLinePunct w:val="0"/>
              <w:bidi w:val="0"/>
              <w:spacing w:line="420" w:lineRule="exact"/>
              <w:textAlignment w:val="auto"/>
              <w:rPr>
                <w:rFonts w:hint="eastAsia" w:ascii="仿宋" w:hAnsi="仿宋" w:eastAsia="仿宋" w:cs="仿宋"/>
                <w:color w:val="auto"/>
                <w:kern w:val="2"/>
                <w:highlight w:val="none"/>
              </w:rPr>
            </w:pPr>
            <w:r>
              <w:rPr>
                <w:rFonts w:hint="eastAsia" w:ascii="仿宋" w:hAnsi="仿宋" w:eastAsia="仿宋" w:cs="仿宋"/>
                <w:color w:val="auto"/>
                <w:kern w:val="2"/>
                <w:highlight w:val="none"/>
              </w:rPr>
              <w:t>是否允许联合体谈判</w:t>
            </w:r>
            <w:r>
              <w:rPr>
                <w:rFonts w:hint="eastAsia" w:ascii="仿宋" w:hAnsi="仿宋" w:eastAsia="仿宋" w:cs="仿宋"/>
                <w:color w:val="auto"/>
                <w:kern w:val="2"/>
                <w:highlight w:val="none"/>
                <w:lang w:eastAsia="zh-CN"/>
              </w:rPr>
              <w:t>：</w:t>
            </w:r>
            <w:r>
              <w:rPr>
                <w:rFonts w:hint="eastAsia" w:ascii="仿宋" w:hAnsi="仿宋" w:eastAsia="仿宋" w:cs="仿宋"/>
                <w:color w:val="auto"/>
                <w:kern w:val="2"/>
                <w:highlight w:val="none"/>
                <w:u w:val="single"/>
              </w:rPr>
              <w:t>否</w:t>
            </w:r>
          </w:p>
        </w:tc>
      </w:tr>
      <w:tr w14:paraId="2405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2F16CF2D">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w:t>
            </w:r>
          </w:p>
        </w:tc>
        <w:tc>
          <w:tcPr>
            <w:tcW w:w="8589" w:type="dxa"/>
            <w:vAlign w:val="center"/>
          </w:tcPr>
          <w:p w14:paraId="674320F0">
            <w:pPr>
              <w:pStyle w:val="15"/>
              <w:keepNext w:val="0"/>
              <w:keepLines w:val="0"/>
              <w:pageBreakBefore w:val="0"/>
              <w:widowControl w:val="0"/>
              <w:kinsoku/>
              <w:wordWrap/>
              <w:overflowPunct/>
              <w:topLinePunct w:val="0"/>
              <w:bidi w:val="0"/>
              <w:spacing w:line="420" w:lineRule="exact"/>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是否为专门面向中小企业采购：</w:t>
            </w:r>
            <w:r>
              <w:rPr>
                <w:rFonts w:hint="eastAsia" w:ascii="仿宋" w:hAnsi="仿宋" w:eastAsia="仿宋" w:cs="仿宋"/>
                <w:color w:val="auto"/>
                <w:highlight w:val="none"/>
                <w:lang w:val="en-US" w:eastAsia="zh-CN"/>
              </w:rPr>
              <w:t>否</w:t>
            </w:r>
          </w:p>
        </w:tc>
      </w:tr>
      <w:tr w14:paraId="78B8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47A92531">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w:t>
            </w:r>
          </w:p>
        </w:tc>
        <w:tc>
          <w:tcPr>
            <w:tcW w:w="8589" w:type="dxa"/>
            <w:vAlign w:val="center"/>
          </w:tcPr>
          <w:p w14:paraId="4E3C3F7F">
            <w:pPr>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成交响应报价为完成本项目并达到</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文件要求所需要的全部费用，包括：产品供货、安装调试、验收、培训售后服务、以及增值税等税费、运杂保险费等）。</w:t>
            </w:r>
          </w:p>
          <w:p w14:paraId="67B74E1A">
            <w:pPr>
              <w:pStyle w:val="29"/>
              <w:adjustRightInd w:val="0"/>
              <w:snapToGrid w:val="0"/>
              <w:spacing w:line="24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（1）报价货币：人民币；</w:t>
            </w:r>
          </w:p>
          <w:p w14:paraId="4AF51291">
            <w:pPr>
              <w:pStyle w:val="29"/>
              <w:keepNext w:val="0"/>
              <w:keepLines w:val="0"/>
              <w:pageBreakBefore w:val="0"/>
              <w:widowControl w:val="0"/>
              <w:kinsoku/>
              <w:wordWrap/>
              <w:overflowPunct/>
              <w:topLinePunct w:val="0"/>
              <w:bidi w:val="0"/>
              <w:adjustRightInd w:val="0"/>
              <w:snapToGrid w:val="0"/>
              <w:spacing w:line="4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（2）严格按照分项报价表进行分项报价。</w:t>
            </w:r>
          </w:p>
        </w:tc>
      </w:tr>
      <w:tr w14:paraId="2072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4CF0FF55">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w:t>
            </w:r>
          </w:p>
        </w:tc>
        <w:tc>
          <w:tcPr>
            <w:tcW w:w="8589" w:type="dxa"/>
            <w:vAlign w:val="center"/>
          </w:tcPr>
          <w:p w14:paraId="2A4BB4C4">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本项目须提供谈判保证金</w:t>
            </w:r>
          </w:p>
          <w:p w14:paraId="2D2E1E67">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第一包：</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lang w:val="en-US" w:eastAsia="zh-CN"/>
              </w:rPr>
              <w:t>壹万壹仟元整</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u w:val="single"/>
                <w:lang w:val="en-US" w:eastAsia="zh-CN"/>
              </w:rPr>
              <w:t>11000</w:t>
            </w:r>
            <w:r>
              <w:rPr>
                <w:rFonts w:hint="eastAsia" w:ascii="仿宋" w:hAnsi="仿宋" w:eastAsia="仿宋" w:cs="仿宋"/>
                <w:color w:val="auto"/>
                <w:sz w:val="24"/>
                <w:szCs w:val="24"/>
                <w:highlight w:val="none"/>
                <w:u w:val="single"/>
              </w:rPr>
              <w:t>.00元）</w:t>
            </w:r>
            <w:r>
              <w:rPr>
                <w:rFonts w:hint="eastAsia" w:ascii="仿宋" w:hAnsi="仿宋" w:eastAsia="仿宋" w:cs="仿宋"/>
                <w:color w:val="auto"/>
                <w:sz w:val="24"/>
                <w:szCs w:val="24"/>
                <w:highlight w:val="none"/>
              </w:rPr>
              <w:t>。</w:t>
            </w:r>
          </w:p>
          <w:p w14:paraId="00312C5D">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第二包：</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lang w:val="en-US" w:eastAsia="zh-CN"/>
              </w:rPr>
              <w:t>壹万叁仟元整</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u w:val="single"/>
                <w:lang w:val="en-US" w:eastAsia="zh-CN"/>
              </w:rPr>
              <w:t>13000</w:t>
            </w:r>
            <w:r>
              <w:rPr>
                <w:rFonts w:hint="eastAsia" w:ascii="仿宋" w:hAnsi="仿宋" w:eastAsia="仿宋" w:cs="仿宋"/>
                <w:color w:val="auto"/>
                <w:sz w:val="24"/>
                <w:szCs w:val="24"/>
                <w:highlight w:val="none"/>
                <w:u w:val="single"/>
              </w:rPr>
              <w:t>.00元）</w:t>
            </w:r>
            <w:r>
              <w:rPr>
                <w:rFonts w:hint="eastAsia" w:ascii="仿宋" w:hAnsi="仿宋" w:eastAsia="仿宋" w:cs="仿宋"/>
                <w:color w:val="auto"/>
                <w:sz w:val="24"/>
                <w:szCs w:val="24"/>
                <w:highlight w:val="none"/>
              </w:rPr>
              <w:t>。</w:t>
            </w:r>
          </w:p>
          <w:p w14:paraId="6FA57487">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第三包：</w:t>
            </w:r>
            <w:r>
              <w:rPr>
                <w:rFonts w:hint="eastAsia" w:ascii="仿宋" w:hAnsi="仿宋" w:eastAsia="仿宋" w:cs="仿宋"/>
                <w:color w:val="auto"/>
                <w:sz w:val="24"/>
                <w:szCs w:val="24"/>
                <w:highlight w:val="none"/>
              </w:rPr>
              <w:t>人民币</w:t>
            </w:r>
            <w:r>
              <w:rPr>
                <w:rFonts w:hint="eastAsia" w:ascii="仿宋" w:hAnsi="仿宋" w:eastAsia="仿宋" w:cs="仿宋"/>
                <w:color w:val="auto"/>
                <w:sz w:val="24"/>
                <w:szCs w:val="24"/>
                <w:highlight w:val="none"/>
                <w:u w:val="single"/>
                <w:lang w:val="en-US" w:eastAsia="zh-CN"/>
              </w:rPr>
              <w:t>柒仟陆佰元整</w:t>
            </w:r>
            <w:r>
              <w:rPr>
                <w:rFonts w:hint="eastAsia" w:ascii="仿宋" w:hAnsi="仿宋" w:eastAsia="仿宋" w:cs="仿宋"/>
                <w:color w:val="auto"/>
                <w:sz w:val="24"/>
                <w:szCs w:val="24"/>
                <w:highlight w:val="none"/>
                <w:u w:val="single"/>
              </w:rPr>
              <w:t>（人民币¥</w:t>
            </w:r>
            <w:r>
              <w:rPr>
                <w:rFonts w:hint="eastAsia" w:ascii="仿宋" w:hAnsi="仿宋" w:eastAsia="仿宋" w:cs="仿宋"/>
                <w:color w:val="auto"/>
                <w:sz w:val="24"/>
                <w:szCs w:val="24"/>
                <w:highlight w:val="none"/>
                <w:u w:val="single"/>
                <w:lang w:val="en-US" w:eastAsia="zh-CN"/>
              </w:rPr>
              <w:t>7600</w:t>
            </w:r>
            <w:r>
              <w:rPr>
                <w:rFonts w:hint="eastAsia" w:ascii="仿宋" w:hAnsi="仿宋" w:eastAsia="仿宋" w:cs="仿宋"/>
                <w:color w:val="auto"/>
                <w:sz w:val="24"/>
                <w:szCs w:val="24"/>
                <w:highlight w:val="none"/>
                <w:u w:val="single"/>
              </w:rPr>
              <w:t>.00元）</w:t>
            </w:r>
            <w:r>
              <w:rPr>
                <w:rFonts w:hint="eastAsia" w:ascii="仿宋" w:hAnsi="仿宋" w:eastAsia="仿宋" w:cs="仿宋"/>
                <w:color w:val="auto"/>
                <w:sz w:val="24"/>
                <w:szCs w:val="24"/>
                <w:highlight w:val="none"/>
              </w:rPr>
              <w:t>。</w:t>
            </w:r>
          </w:p>
          <w:p w14:paraId="142DFFC9">
            <w:pPr>
              <w:pStyle w:val="29"/>
              <w:keepNext w:val="0"/>
              <w:keepLines w:val="0"/>
              <w:pageBreakBefore w:val="0"/>
              <w:widowControl w:val="0"/>
              <w:kinsoku/>
              <w:wordWrap/>
              <w:overflowPunct/>
              <w:topLinePunct w:val="0"/>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保证金可自主选择采用电汇、银行转账、支票、汇票、本票、金融机构或担保机构出具的保函等非现金形式。</w:t>
            </w:r>
          </w:p>
          <w:p w14:paraId="046DF990">
            <w:pPr>
              <w:pStyle w:val="29"/>
              <w:keepNext w:val="0"/>
              <w:keepLines w:val="0"/>
              <w:pageBreakBefore w:val="0"/>
              <w:widowControl w:val="0"/>
              <w:kinsoku/>
              <w:wordWrap/>
              <w:overflowPunct/>
              <w:topLinePunct w:val="0"/>
              <w:bidi w:val="0"/>
              <w:adjustRightInd w:val="0"/>
              <w:snapToGrid w:val="0"/>
              <w:spacing w:line="42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缴纳谈判保证金账户信息：见陕西省公共资源交易平台-我的项目-项目流程-保证金缴纳须知。</w:t>
            </w:r>
          </w:p>
          <w:p w14:paraId="2B7F1ACD">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备注：</w:t>
            </w:r>
          </w:p>
          <w:p w14:paraId="7B3423CB">
            <w:pPr>
              <w:pStyle w:val="29"/>
              <w:keepNext w:val="0"/>
              <w:keepLines w:val="0"/>
              <w:pageBreakBefore w:val="0"/>
              <w:widowControl w:val="0"/>
              <w:kinsoku/>
              <w:wordWrap/>
              <w:overflowPunct/>
              <w:topLinePunct w:val="0"/>
              <w:bidi w:val="0"/>
              <w:adjustRightInd w:val="0"/>
              <w:snapToGrid w:val="0"/>
              <w:spacing w:line="420" w:lineRule="exact"/>
              <w:ind w:firstLine="42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1、在汇款时务必注明所响应项目的项目编号，否则，因款项用途不明导致谈判无效等后果由供应商自行承担；</w:t>
            </w:r>
          </w:p>
          <w:p w14:paraId="3368168B">
            <w:pPr>
              <w:pStyle w:val="29"/>
              <w:keepNext w:val="0"/>
              <w:keepLines w:val="0"/>
              <w:pageBreakBefore w:val="0"/>
              <w:widowControl w:val="0"/>
              <w:kinsoku/>
              <w:wordWrap/>
              <w:overflowPunct/>
              <w:topLinePunct w:val="0"/>
              <w:bidi w:val="0"/>
              <w:adjustRightInd w:val="0"/>
              <w:snapToGrid w:val="0"/>
              <w:spacing w:line="420" w:lineRule="exact"/>
              <w:ind w:firstLine="422" w:firstLineChars="20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2、请各供应商在</w:t>
            </w:r>
            <w:r>
              <w:rPr>
                <w:rFonts w:hint="eastAsia" w:ascii="仿宋" w:hAnsi="仿宋" w:eastAsia="仿宋" w:cs="仿宋"/>
                <w:b/>
                <w:bCs/>
                <w:color w:val="auto"/>
                <w:highlight w:val="none"/>
                <w:lang w:eastAsia="zh-CN"/>
              </w:rPr>
              <w:t>响应文件</w:t>
            </w:r>
            <w:r>
              <w:rPr>
                <w:rFonts w:hint="eastAsia" w:ascii="仿宋" w:hAnsi="仿宋" w:eastAsia="仿宋" w:cs="仿宋"/>
                <w:b/>
                <w:bCs/>
                <w:color w:val="auto"/>
                <w:highlight w:val="none"/>
              </w:rPr>
              <w:t>递交截止时间前，按文件的要求递交谈判保证金；</w:t>
            </w:r>
          </w:p>
          <w:p w14:paraId="1E8A6D6D">
            <w:pPr>
              <w:pStyle w:val="29"/>
              <w:keepNext w:val="0"/>
              <w:keepLines w:val="0"/>
              <w:pageBreakBefore w:val="0"/>
              <w:widowControl w:val="0"/>
              <w:kinsoku/>
              <w:wordWrap/>
              <w:overflowPunct/>
              <w:topLinePunct w:val="0"/>
              <w:bidi w:val="0"/>
              <w:adjustRightInd w:val="0"/>
              <w:snapToGrid w:val="0"/>
              <w:spacing w:line="420" w:lineRule="exact"/>
              <w:ind w:firstLine="42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highlight w:val="none"/>
              </w:rPr>
              <w:t>3、谈判保证金有效期同谈判有效期。</w:t>
            </w:r>
          </w:p>
        </w:tc>
      </w:tr>
      <w:tr w14:paraId="012C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4D11DE8C">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w:t>
            </w:r>
          </w:p>
        </w:tc>
        <w:tc>
          <w:tcPr>
            <w:tcW w:w="8589" w:type="dxa"/>
            <w:vAlign w:val="center"/>
          </w:tcPr>
          <w:p w14:paraId="5D87A680">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谈判有效期：自</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递交之日起</w:t>
            </w:r>
            <w:r>
              <w:rPr>
                <w:rFonts w:hint="eastAsia" w:ascii="仿宋" w:hAnsi="仿宋" w:eastAsia="仿宋" w:cs="仿宋"/>
                <w:color w:val="auto"/>
                <w:sz w:val="24"/>
                <w:szCs w:val="24"/>
                <w:highlight w:val="none"/>
                <w:u w:val="single"/>
              </w:rPr>
              <w:t xml:space="preserve"> 60 </w:t>
            </w:r>
            <w:r>
              <w:rPr>
                <w:rFonts w:hint="eastAsia" w:ascii="仿宋" w:hAnsi="仿宋" w:eastAsia="仿宋" w:cs="仿宋"/>
                <w:color w:val="auto"/>
                <w:sz w:val="24"/>
                <w:szCs w:val="24"/>
                <w:highlight w:val="none"/>
              </w:rPr>
              <w:t>日历天。</w:t>
            </w:r>
          </w:p>
        </w:tc>
      </w:tr>
      <w:tr w14:paraId="5E97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5C8B9EF7">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w:t>
            </w:r>
          </w:p>
        </w:tc>
        <w:tc>
          <w:tcPr>
            <w:tcW w:w="8589" w:type="dxa"/>
            <w:vAlign w:val="center"/>
          </w:tcPr>
          <w:p w14:paraId="0E836219">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的份数：</w:t>
            </w:r>
          </w:p>
          <w:p w14:paraId="1A417CA9">
            <w:pPr>
              <w:pStyle w:val="29"/>
              <w:keepNext w:val="0"/>
              <w:keepLines w:val="0"/>
              <w:pageBreakBefore w:val="0"/>
              <w:widowControl w:val="0"/>
              <w:kinsoku/>
              <w:wordWrap/>
              <w:overflowPunct/>
              <w:topLinePunct w:val="0"/>
              <w:bidi w:val="0"/>
              <w:adjustRightInd w:val="0"/>
              <w:snapToGrid w:val="0"/>
              <w:spacing w:line="420" w:lineRule="exact"/>
              <w:ind w:firstLine="480" w:firstLineChars="200"/>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供应商须</w:t>
            </w:r>
            <w:r>
              <w:rPr>
                <w:rFonts w:hint="eastAsia" w:ascii="仿宋" w:hAnsi="仿宋" w:eastAsia="仿宋" w:cs="仿宋"/>
                <w:b w:val="0"/>
                <w:bCs w:val="0"/>
                <w:color w:val="auto"/>
                <w:sz w:val="24"/>
                <w:szCs w:val="24"/>
                <w:highlight w:val="none"/>
              </w:rPr>
              <w:t>在</w:t>
            </w:r>
            <w:r>
              <w:rPr>
                <w:rFonts w:hint="eastAsia" w:ascii="仿宋" w:hAnsi="仿宋" w:eastAsia="仿宋" w:cs="仿宋"/>
                <w:b w:val="0"/>
                <w:bCs w:val="0"/>
                <w:color w:val="auto"/>
                <w:sz w:val="24"/>
                <w:szCs w:val="24"/>
                <w:highlight w:val="none"/>
                <w:lang w:eastAsia="zh-CN"/>
              </w:rPr>
              <w:t>谈判</w:t>
            </w:r>
            <w:r>
              <w:rPr>
                <w:rFonts w:hint="eastAsia" w:ascii="仿宋" w:hAnsi="仿宋" w:eastAsia="仿宋" w:cs="仿宋"/>
                <w:b w:val="0"/>
                <w:bCs w:val="0"/>
                <w:color w:val="auto"/>
                <w:sz w:val="24"/>
                <w:szCs w:val="24"/>
                <w:highlight w:val="none"/>
              </w:rPr>
              <w:t>截止时间前上传电子版</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，并于</w:t>
            </w:r>
            <w:r>
              <w:rPr>
                <w:rFonts w:hint="eastAsia" w:ascii="仿宋" w:hAnsi="仿宋" w:eastAsia="仿宋" w:cs="仿宋"/>
                <w:b w:val="0"/>
                <w:bCs w:val="0"/>
                <w:color w:val="auto"/>
                <w:sz w:val="24"/>
                <w:szCs w:val="24"/>
                <w:highlight w:val="none"/>
                <w:lang w:eastAsia="zh-CN"/>
              </w:rPr>
              <w:t>谈判截止</w:t>
            </w:r>
            <w:r>
              <w:rPr>
                <w:rFonts w:hint="eastAsia" w:ascii="仿宋" w:hAnsi="仿宋" w:eastAsia="仿宋" w:cs="仿宋"/>
                <w:b w:val="0"/>
                <w:bCs w:val="0"/>
                <w:color w:val="auto"/>
                <w:sz w:val="24"/>
                <w:szCs w:val="24"/>
                <w:highlight w:val="none"/>
              </w:rPr>
              <w:t>时间前</w:t>
            </w:r>
            <w:r>
              <w:rPr>
                <w:rFonts w:hint="eastAsia" w:ascii="仿宋" w:hAnsi="仿宋" w:eastAsia="仿宋" w:cs="仿宋"/>
                <w:b w:val="0"/>
                <w:bCs w:val="0"/>
                <w:color w:val="auto"/>
                <w:sz w:val="24"/>
                <w:szCs w:val="24"/>
                <w:highlight w:val="none"/>
                <w:lang w:eastAsia="zh-CN"/>
              </w:rPr>
              <w:t>在</w:t>
            </w:r>
            <w:r>
              <w:rPr>
                <w:rFonts w:hint="eastAsia" w:ascii="仿宋" w:hAnsi="仿宋" w:eastAsia="仿宋" w:cs="仿宋"/>
                <w:b w:val="0"/>
                <w:bCs w:val="0"/>
                <w:color w:val="auto"/>
                <w:sz w:val="24"/>
                <w:szCs w:val="24"/>
                <w:highlight w:val="none"/>
              </w:rPr>
              <w:t>全国公共资源交易平台（陕西省·</w:t>
            </w:r>
            <w:r>
              <w:rPr>
                <w:rFonts w:hint="eastAsia" w:ascii="仿宋" w:hAnsi="仿宋" w:eastAsia="仿宋" w:cs="仿宋"/>
                <w:b w:val="0"/>
                <w:bCs w:val="0"/>
                <w:color w:val="auto"/>
                <w:sz w:val="24"/>
                <w:szCs w:val="24"/>
                <w:highlight w:val="none"/>
                <w:lang w:eastAsia="zh-CN"/>
              </w:rPr>
              <w:t>宝鸡市</w:t>
            </w:r>
            <w:r>
              <w:rPr>
                <w:rFonts w:hint="eastAsia" w:ascii="仿宋" w:hAnsi="仿宋" w:eastAsia="仿宋" w:cs="仿宋"/>
                <w:b w:val="0"/>
                <w:bCs w:val="0"/>
                <w:color w:val="auto"/>
                <w:sz w:val="24"/>
                <w:szCs w:val="24"/>
                <w:highlight w:val="none"/>
              </w:rPr>
              <w:t>）-电子交易平台-</w:t>
            </w:r>
            <w:r>
              <w:rPr>
                <w:rFonts w:hint="eastAsia" w:ascii="仿宋" w:hAnsi="仿宋" w:eastAsia="仿宋" w:cs="仿宋"/>
                <w:b w:val="0"/>
                <w:bCs w:val="0"/>
                <w:color w:val="auto"/>
                <w:sz w:val="24"/>
                <w:szCs w:val="24"/>
                <w:highlight w:val="none"/>
                <w:lang w:eastAsia="zh-CN"/>
              </w:rPr>
              <w:t>宝鸡市</w:t>
            </w:r>
            <w:r>
              <w:rPr>
                <w:rFonts w:hint="eastAsia" w:ascii="仿宋" w:hAnsi="仿宋" w:eastAsia="仿宋" w:cs="仿宋"/>
                <w:b w:val="0"/>
                <w:bCs w:val="0"/>
                <w:color w:val="auto"/>
                <w:sz w:val="24"/>
                <w:szCs w:val="24"/>
                <w:highlight w:val="none"/>
              </w:rPr>
              <w:t>公共资源交易不见面开标系统进行电子签到</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i w:val="0"/>
                <w:iCs w:val="0"/>
                <w:color w:val="auto"/>
                <w:sz w:val="24"/>
                <w:szCs w:val="24"/>
                <w:highlight w:val="none"/>
                <w:lang w:eastAsia="zh-CN"/>
              </w:rPr>
              <w:t>谈判截止时间前</w:t>
            </w:r>
            <w:r>
              <w:rPr>
                <w:rFonts w:hint="eastAsia" w:ascii="仿宋" w:hAnsi="仿宋" w:eastAsia="仿宋" w:cs="仿宋"/>
                <w:b/>
                <w:bCs/>
                <w:i w:val="0"/>
                <w:iCs w:val="0"/>
                <w:color w:val="auto"/>
                <w:sz w:val="24"/>
                <w:szCs w:val="24"/>
                <w:highlight w:val="none"/>
                <w:lang w:val="en-US" w:eastAsia="zh-CN"/>
              </w:rPr>
              <w:t>1小时均可签到，未签到的视为自动放弃本项目，后续程序不在进行参与</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w:t>
            </w:r>
            <w:r>
              <w:rPr>
                <w:rFonts w:hint="eastAsia" w:ascii="仿宋" w:hAnsi="仿宋" w:eastAsia="仿宋" w:cs="仿宋"/>
                <w:b w:val="0"/>
                <w:bCs w:val="0"/>
                <w:color w:val="auto"/>
                <w:sz w:val="24"/>
                <w:szCs w:val="24"/>
                <w:highlight w:val="none"/>
                <w:lang w:eastAsia="zh-CN"/>
              </w:rPr>
              <w:t>后续在响应文件解密阶段，须于</w:t>
            </w:r>
            <w:r>
              <w:rPr>
                <w:rFonts w:hint="eastAsia" w:ascii="仿宋" w:hAnsi="仿宋" w:eastAsia="仿宋" w:cs="仿宋"/>
                <w:b w:val="0"/>
                <w:bCs w:val="0"/>
                <w:color w:val="auto"/>
                <w:sz w:val="24"/>
                <w:szCs w:val="24"/>
                <w:highlight w:val="none"/>
                <w:lang w:val="en-US" w:eastAsia="zh-CN"/>
              </w:rPr>
              <w:t>1小时内，</w:t>
            </w:r>
            <w:r>
              <w:rPr>
                <w:rFonts w:hint="eastAsia" w:ascii="仿宋" w:hAnsi="仿宋" w:eastAsia="仿宋" w:cs="仿宋"/>
                <w:b w:val="0"/>
                <w:bCs w:val="0"/>
                <w:color w:val="auto"/>
                <w:sz w:val="24"/>
                <w:szCs w:val="24"/>
                <w:highlight w:val="none"/>
              </w:rPr>
              <w:t>使用制作</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时的加密锁（CA锁），对上传的</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进行解密，因供应商原因</w:t>
            </w:r>
            <w:r>
              <w:rPr>
                <w:rFonts w:hint="eastAsia" w:ascii="仿宋" w:hAnsi="仿宋" w:eastAsia="仿宋" w:cs="仿宋"/>
                <w:b w:val="0"/>
                <w:bCs w:val="0"/>
                <w:color w:val="auto"/>
                <w:sz w:val="24"/>
                <w:szCs w:val="24"/>
                <w:highlight w:val="none"/>
                <w:lang w:eastAsia="zh-CN"/>
              </w:rPr>
              <w:t>导致响应文件</w:t>
            </w:r>
            <w:r>
              <w:rPr>
                <w:rFonts w:hint="eastAsia" w:ascii="仿宋" w:hAnsi="仿宋" w:eastAsia="仿宋" w:cs="仿宋"/>
                <w:b w:val="0"/>
                <w:bCs w:val="0"/>
                <w:color w:val="auto"/>
                <w:sz w:val="24"/>
                <w:szCs w:val="24"/>
                <w:highlight w:val="none"/>
              </w:rPr>
              <w:t>无法解密或无法打开的，按无效</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处理。</w:t>
            </w:r>
            <w:r>
              <w:rPr>
                <w:rFonts w:hint="eastAsia" w:ascii="仿宋" w:hAnsi="仿宋" w:eastAsia="仿宋" w:cs="仿宋"/>
                <w:b w:val="0"/>
                <w:bCs w:val="0"/>
                <w:color w:val="auto"/>
                <w:sz w:val="24"/>
                <w:szCs w:val="24"/>
                <w:highlight w:val="none"/>
                <w:lang w:eastAsia="zh-CN"/>
              </w:rPr>
              <w:t>（后续在评审过程中，须使用</w:t>
            </w:r>
            <w:r>
              <w:rPr>
                <w:rFonts w:hint="eastAsia" w:ascii="仿宋" w:hAnsi="仿宋" w:eastAsia="仿宋" w:cs="仿宋"/>
                <w:b w:val="0"/>
                <w:bCs w:val="0"/>
                <w:color w:val="auto"/>
                <w:sz w:val="24"/>
                <w:szCs w:val="24"/>
                <w:highlight w:val="none"/>
                <w:lang w:val="en-US" w:eastAsia="zh-CN"/>
              </w:rPr>
              <w:t>CA锁进行远程二次报价，请在下载谈判文件处进行报价</w:t>
            </w:r>
            <w:r>
              <w:rPr>
                <w:rFonts w:hint="eastAsia" w:ascii="仿宋" w:hAnsi="仿宋" w:eastAsia="仿宋" w:cs="仿宋"/>
                <w:b w:val="0"/>
                <w:bCs w:val="0"/>
                <w:color w:val="auto"/>
                <w:sz w:val="24"/>
                <w:szCs w:val="24"/>
                <w:highlight w:val="none"/>
                <w:lang w:eastAsia="zh-CN"/>
              </w:rPr>
              <w:t>）。</w:t>
            </w:r>
          </w:p>
          <w:p w14:paraId="39DDE9A6">
            <w:pPr>
              <w:pStyle w:val="29"/>
              <w:keepNext w:val="0"/>
              <w:keepLines w:val="0"/>
              <w:pageBreakBefore w:val="0"/>
              <w:widowControl w:val="0"/>
              <w:kinsoku/>
              <w:wordWrap/>
              <w:overflowPunct/>
              <w:topLinePunct w:val="0"/>
              <w:bidi w:val="0"/>
              <w:adjustRightInd w:val="0"/>
              <w:snapToGrid w:val="0"/>
              <w:spacing w:line="4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eastAsia="zh-CN"/>
              </w:rPr>
              <w:t>采购结果公示</w:t>
            </w:r>
            <w:r>
              <w:rPr>
                <w:rFonts w:hint="eastAsia" w:ascii="仿宋" w:hAnsi="仿宋" w:eastAsia="仿宋" w:cs="仿宋"/>
                <w:b w:val="0"/>
                <w:bCs w:val="0"/>
                <w:color w:val="auto"/>
                <w:sz w:val="24"/>
                <w:szCs w:val="24"/>
                <w:highlight w:val="none"/>
              </w:rPr>
              <w:t>后，</w:t>
            </w:r>
            <w:r>
              <w:rPr>
                <w:rFonts w:hint="eastAsia" w:ascii="仿宋" w:hAnsi="仿宋" w:eastAsia="仿宋" w:cs="仿宋"/>
                <w:b w:val="0"/>
                <w:bCs w:val="0"/>
                <w:color w:val="auto"/>
                <w:sz w:val="24"/>
                <w:szCs w:val="24"/>
                <w:highlight w:val="none"/>
                <w:lang w:eastAsia="zh-CN"/>
              </w:rPr>
              <w:t>成交单位</w:t>
            </w:r>
            <w:r>
              <w:rPr>
                <w:rFonts w:hint="eastAsia" w:ascii="仿宋" w:hAnsi="仿宋" w:eastAsia="仿宋" w:cs="仿宋"/>
                <w:b w:val="0"/>
                <w:bCs w:val="0"/>
                <w:color w:val="auto"/>
                <w:sz w:val="24"/>
                <w:szCs w:val="24"/>
                <w:highlight w:val="none"/>
              </w:rPr>
              <w:t>须无偿为采购人提供盖章齐全的纸质版</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二套（正本：1份、副本：</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份），纸质版应与电子</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保持一致。</w:t>
            </w:r>
          </w:p>
        </w:tc>
      </w:tr>
      <w:tr w14:paraId="725B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7C1CAAC7">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w:t>
            </w:r>
          </w:p>
        </w:tc>
        <w:tc>
          <w:tcPr>
            <w:tcW w:w="8589" w:type="dxa"/>
            <w:vAlign w:val="center"/>
          </w:tcPr>
          <w:p w14:paraId="46E25E9E">
            <w:pPr>
              <w:pStyle w:val="29"/>
              <w:keepNext w:val="0"/>
              <w:keepLines w:val="0"/>
              <w:pageBreakBefore w:val="0"/>
              <w:widowControl w:val="0"/>
              <w:kinsoku/>
              <w:wordWrap/>
              <w:overflowPunct/>
              <w:topLinePunct w:val="0"/>
              <w:bidi w:val="0"/>
              <w:adjustRightInd w:val="0"/>
              <w:snapToGrid w:val="0"/>
              <w:spacing w:line="42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密封袋（箱）上须标注：</w:t>
            </w:r>
            <w:r>
              <w:rPr>
                <w:rFonts w:hint="eastAsia" w:ascii="仿宋" w:hAnsi="仿宋" w:eastAsia="仿宋" w:cs="仿宋"/>
                <w:color w:val="auto"/>
                <w:sz w:val="24"/>
                <w:szCs w:val="24"/>
                <w:highlight w:val="none"/>
                <w:lang w:val="en-US" w:eastAsia="zh-CN"/>
              </w:rPr>
              <w:t>/</w:t>
            </w:r>
          </w:p>
        </w:tc>
      </w:tr>
      <w:tr w14:paraId="32D5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7122B461">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w:t>
            </w:r>
          </w:p>
        </w:tc>
        <w:tc>
          <w:tcPr>
            <w:tcW w:w="8589" w:type="dxa"/>
            <w:vAlign w:val="center"/>
          </w:tcPr>
          <w:p w14:paraId="2EBB1289">
            <w:pPr>
              <w:pStyle w:val="29"/>
              <w:keepNext w:val="0"/>
              <w:keepLines w:val="0"/>
              <w:pageBreakBefore w:val="0"/>
              <w:widowControl w:val="0"/>
              <w:kinsoku/>
              <w:wordWrap/>
              <w:overflowPunct/>
              <w:topLinePunct w:val="0"/>
              <w:bidi w:val="0"/>
              <w:adjustRightInd w:val="0"/>
              <w:snapToGrid w:val="0"/>
              <w:spacing w:line="420" w:lineRule="exact"/>
              <w:ind w:firstLine="120" w:firstLineChars="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■本项目不要求提交样品。</w:t>
            </w:r>
          </w:p>
          <w:p w14:paraId="7B3C9D72">
            <w:pPr>
              <w:pStyle w:val="29"/>
              <w:keepNext w:val="0"/>
              <w:keepLines w:val="0"/>
              <w:pageBreakBefore w:val="0"/>
              <w:widowControl w:val="0"/>
              <w:kinsoku/>
              <w:wordWrap/>
              <w:overflowPunct/>
              <w:topLinePunct w:val="0"/>
              <w:bidi w:val="0"/>
              <w:adjustRightInd w:val="0"/>
              <w:snapToGrid w:val="0"/>
              <w:spacing w:line="420" w:lineRule="exact"/>
              <w:ind w:firstLine="120" w:firstLineChars="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□本项目要求提交样品。样品为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的一部分，随</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同时递交。</w:t>
            </w:r>
          </w:p>
          <w:p w14:paraId="6DFEE366">
            <w:pPr>
              <w:pStyle w:val="29"/>
              <w:keepNext w:val="0"/>
              <w:keepLines w:val="0"/>
              <w:pageBreakBefore w:val="0"/>
              <w:widowControl w:val="0"/>
              <w:kinsoku/>
              <w:wordWrap/>
              <w:overflowPunct/>
              <w:topLinePunct w:val="0"/>
              <w:bidi w:val="0"/>
              <w:adjustRightInd w:val="0"/>
              <w:snapToGrid w:val="0"/>
              <w:spacing w:line="420" w:lineRule="exact"/>
              <w:ind w:firstLine="360" w:firstLineChars="1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（1）样品需标明：项目名称、供应商名称、样品名称等内容。</w:t>
            </w:r>
          </w:p>
          <w:p w14:paraId="0BD06EC3">
            <w:pPr>
              <w:pStyle w:val="29"/>
              <w:keepNext w:val="0"/>
              <w:keepLines w:val="0"/>
              <w:pageBreakBefore w:val="0"/>
              <w:widowControl w:val="0"/>
              <w:kinsoku/>
              <w:wordWrap/>
              <w:overflowPunct/>
              <w:topLinePunct w:val="0"/>
              <w:bidi w:val="0"/>
              <w:adjustRightInd w:val="0"/>
              <w:snapToGrid w:val="0"/>
              <w:spacing w:line="420" w:lineRule="exact"/>
              <w:ind w:firstLine="360" w:firstLineChars="15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（2）其他要求：</w:t>
            </w:r>
            <w:r>
              <w:rPr>
                <w:rFonts w:hint="eastAsia" w:ascii="仿宋" w:hAnsi="仿宋" w:eastAsia="仿宋" w:cs="仿宋"/>
                <w:color w:val="auto"/>
                <w:sz w:val="24"/>
                <w:szCs w:val="24"/>
                <w:highlight w:val="none"/>
                <w:lang w:val="en-US" w:eastAsia="zh-CN"/>
              </w:rPr>
              <w:t>/</w:t>
            </w:r>
          </w:p>
        </w:tc>
      </w:tr>
      <w:tr w14:paraId="7B7E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3BB2D8B0">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w:t>
            </w:r>
          </w:p>
        </w:tc>
        <w:tc>
          <w:tcPr>
            <w:tcW w:w="8589" w:type="dxa"/>
            <w:vAlign w:val="center"/>
          </w:tcPr>
          <w:p w14:paraId="4AAB8ED6">
            <w:pPr>
              <w:keepNext w:val="0"/>
              <w:keepLines w:val="0"/>
              <w:pageBreakBefore w:val="0"/>
              <w:widowControl w:val="0"/>
              <w:tabs>
                <w:tab w:val="left" w:pos="588"/>
              </w:tabs>
              <w:kinsoku/>
              <w:wordWrap/>
              <w:overflowPunct/>
              <w:topLinePunct w:val="0"/>
              <w:bidi w:val="0"/>
              <w:spacing w:line="420" w:lineRule="exact"/>
              <w:textAlignment w:val="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lang w:eastAsia="zh-CN"/>
              </w:rPr>
              <w:t>响应文件</w:t>
            </w:r>
            <w:r>
              <w:rPr>
                <w:rFonts w:hint="eastAsia" w:ascii="仿宋" w:hAnsi="仿宋" w:eastAsia="仿宋" w:cs="仿宋"/>
                <w:color w:val="auto"/>
                <w:kern w:val="24"/>
                <w:sz w:val="24"/>
                <w:szCs w:val="21"/>
                <w:highlight w:val="none"/>
              </w:rPr>
              <w:t>递交截止时间：20</w:t>
            </w:r>
            <w:r>
              <w:rPr>
                <w:rFonts w:hint="eastAsia" w:ascii="仿宋" w:hAnsi="仿宋" w:eastAsia="仿宋" w:cs="仿宋"/>
                <w:color w:val="auto"/>
                <w:kern w:val="24"/>
                <w:sz w:val="24"/>
                <w:szCs w:val="21"/>
                <w:highlight w:val="none"/>
                <w:lang w:val="en-US" w:eastAsia="zh-CN"/>
              </w:rPr>
              <w:t>24</w:t>
            </w:r>
            <w:r>
              <w:rPr>
                <w:rFonts w:hint="eastAsia" w:ascii="仿宋" w:hAnsi="仿宋" w:eastAsia="仿宋" w:cs="仿宋"/>
                <w:color w:val="auto"/>
                <w:kern w:val="24"/>
                <w:sz w:val="24"/>
                <w:szCs w:val="21"/>
                <w:highlight w:val="none"/>
              </w:rPr>
              <w:t>年</w:t>
            </w:r>
            <w:r>
              <w:rPr>
                <w:rFonts w:hint="eastAsia" w:ascii="仿宋" w:hAnsi="仿宋" w:eastAsia="仿宋" w:cs="仿宋"/>
                <w:color w:val="auto"/>
                <w:kern w:val="24"/>
                <w:sz w:val="24"/>
                <w:szCs w:val="21"/>
                <w:highlight w:val="none"/>
                <w:lang w:val="en-US" w:eastAsia="zh-CN"/>
              </w:rPr>
              <w:t>10</w:t>
            </w:r>
            <w:r>
              <w:rPr>
                <w:rFonts w:hint="eastAsia" w:ascii="仿宋" w:hAnsi="仿宋" w:eastAsia="仿宋" w:cs="仿宋"/>
                <w:color w:val="auto"/>
                <w:kern w:val="24"/>
                <w:sz w:val="24"/>
                <w:szCs w:val="21"/>
                <w:highlight w:val="none"/>
              </w:rPr>
              <w:t>月</w:t>
            </w:r>
            <w:r>
              <w:rPr>
                <w:rFonts w:hint="eastAsia" w:ascii="仿宋" w:hAnsi="仿宋" w:eastAsia="仿宋" w:cs="仿宋"/>
                <w:color w:val="auto"/>
                <w:kern w:val="24"/>
                <w:sz w:val="24"/>
                <w:szCs w:val="21"/>
                <w:highlight w:val="none"/>
                <w:lang w:val="en-US" w:eastAsia="zh-CN"/>
              </w:rPr>
              <w:t>31</w:t>
            </w:r>
            <w:r>
              <w:rPr>
                <w:rFonts w:hint="eastAsia" w:ascii="仿宋" w:hAnsi="仿宋" w:eastAsia="仿宋" w:cs="仿宋"/>
                <w:color w:val="auto"/>
                <w:kern w:val="24"/>
                <w:sz w:val="24"/>
                <w:szCs w:val="21"/>
                <w:highlight w:val="none"/>
              </w:rPr>
              <w:t>日</w:t>
            </w:r>
            <w:r>
              <w:rPr>
                <w:rFonts w:hint="eastAsia" w:ascii="仿宋" w:hAnsi="仿宋" w:eastAsia="仿宋" w:cs="仿宋"/>
                <w:color w:val="auto"/>
                <w:kern w:val="24"/>
                <w:sz w:val="24"/>
                <w:szCs w:val="21"/>
                <w:highlight w:val="none"/>
                <w:lang w:val="en-US" w:eastAsia="zh-CN"/>
              </w:rPr>
              <w:t>09</w:t>
            </w:r>
            <w:r>
              <w:rPr>
                <w:rFonts w:hint="eastAsia" w:ascii="仿宋" w:hAnsi="仿宋" w:eastAsia="仿宋" w:cs="仿宋"/>
                <w:color w:val="auto"/>
                <w:kern w:val="24"/>
                <w:sz w:val="24"/>
                <w:szCs w:val="21"/>
                <w:highlight w:val="none"/>
                <w:lang w:eastAsia="zh-CN"/>
              </w:rPr>
              <w:t>：</w:t>
            </w:r>
            <w:r>
              <w:rPr>
                <w:rFonts w:hint="eastAsia" w:ascii="仿宋" w:hAnsi="仿宋" w:eastAsia="仿宋" w:cs="仿宋"/>
                <w:color w:val="auto"/>
                <w:kern w:val="24"/>
                <w:sz w:val="24"/>
                <w:szCs w:val="21"/>
                <w:highlight w:val="none"/>
                <w:lang w:val="en-US" w:eastAsia="zh-CN"/>
              </w:rPr>
              <w:t>0</w:t>
            </w:r>
            <w:r>
              <w:rPr>
                <w:rFonts w:hint="eastAsia" w:ascii="仿宋" w:hAnsi="仿宋" w:eastAsia="仿宋" w:cs="仿宋"/>
                <w:color w:val="auto"/>
                <w:kern w:val="24"/>
                <w:sz w:val="24"/>
                <w:szCs w:val="21"/>
                <w:highlight w:val="none"/>
              </w:rPr>
              <w:t>0（北京时间）。</w:t>
            </w:r>
          </w:p>
          <w:p w14:paraId="1903801F">
            <w:pPr>
              <w:keepNext w:val="0"/>
              <w:keepLines w:val="0"/>
              <w:pageBreakBefore w:val="0"/>
              <w:widowControl w:val="0"/>
              <w:tabs>
                <w:tab w:val="left" w:pos="588"/>
              </w:tabs>
              <w:kinsoku/>
              <w:wordWrap/>
              <w:overflowPunct/>
              <w:topLinePunct w:val="0"/>
              <w:bidi w:val="0"/>
              <w:spacing w:line="420" w:lineRule="exact"/>
              <w:textAlignment w:val="auto"/>
              <w:rPr>
                <w:rFonts w:hint="eastAsia" w:ascii="仿宋" w:hAnsi="仿宋" w:eastAsia="仿宋" w:cs="仿宋"/>
                <w:color w:val="auto"/>
                <w:sz w:val="24"/>
                <w:highlight w:val="none"/>
              </w:rPr>
            </w:pPr>
            <w:r>
              <w:rPr>
                <w:rFonts w:hint="eastAsia" w:ascii="仿宋" w:hAnsi="仿宋" w:eastAsia="仿宋" w:cs="仿宋"/>
                <w:color w:val="auto"/>
                <w:kern w:val="24"/>
                <w:sz w:val="24"/>
                <w:szCs w:val="21"/>
                <w:highlight w:val="none"/>
                <w:lang w:eastAsia="zh-CN"/>
              </w:rPr>
              <w:t>响应文件</w:t>
            </w:r>
            <w:r>
              <w:rPr>
                <w:rFonts w:hint="eastAsia" w:ascii="仿宋" w:hAnsi="仿宋" w:eastAsia="仿宋" w:cs="仿宋"/>
                <w:color w:val="auto"/>
                <w:kern w:val="24"/>
                <w:sz w:val="24"/>
                <w:szCs w:val="21"/>
                <w:highlight w:val="none"/>
              </w:rPr>
              <w:t>递交地点：全国公共资源交易平台（陕西省·宝鸡市）（http://bj.sxggzyjy.cn）。</w:t>
            </w:r>
          </w:p>
        </w:tc>
      </w:tr>
      <w:tr w14:paraId="7C79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60C3375B">
            <w:pPr>
              <w:pStyle w:val="29"/>
              <w:keepNext w:val="0"/>
              <w:keepLines w:val="0"/>
              <w:pageBreakBefore w:val="0"/>
              <w:widowControl w:val="0"/>
              <w:kinsoku/>
              <w:wordWrap/>
              <w:overflowPunct/>
              <w:topLinePunct w:val="0"/>
              <w:bidi w:val="0"/>
              <w:adjustRightInd w:val="0"/>
              <w:snapToGrid w:val="0"/>
              <w:spacing w:line="42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8589" w:type="dxa"/>
            <w:vAlign w:val="center"/>
          </w:tcPr>
          <w:p w14:paraId="0FE0248B">
            <w:pPr>
              <w:keepNext w:val="0"/>
              <w:keepLines w:val="0"/>
              <w:pageBreakBefore w:val="0"/>
              <w:widowControl w:val="0"/>
              <w:kinsoku/>
              <w:wordWrap/>
              <w:overflowPunct/>
              <w:topLinePunct w:val="0"/>
              <w:bidi w:val="0"/>
              <w:spacing w:line="42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谈判小组由</w:t>
            </w:r>
            <w:r>
              <w:rPr>
                <w:rFonts w:hint="eastAsia" w:ascii="仿宋" w:hAnsi="仿宋" w:eastAsia="仿宋" w:cs="仿宋"/>
                <w:color w:val="auto"/>
                <w:sz w:val="24"/>
                <w:highlight w:val="none"/>
                <w:u w:val="single"/>
              </w:rPr>
              <w:t>3人</w:t>
            </w:r>
            <w:r>
              <w:rPr>
                <w:rFonts w:hint="eastAsia" w:ascii="仿宋" w:hAnsi="仿宋" w:eastAsia="仿宋" w:cs="仿宋"/>
                <w:color w:val="auto"/>
                <w:sz w:val="24"/>
                <w:highlight w:val="none"/>
                <w:u w:val="none"/>
              </w:rPr>
              <w:t>组成，其中评审专家</w:t>
            </w:r>
            <w:r>
              <w:rPr>
                <w:rFonts w:hint="eastAsia" w:ascii="仿宋" w:hAnsi="仿宋" w:eastAsia="仿宋" w:cs="仿宋"/>
                <w:color w:val="auto"/>
                <w:sz w:val="24"/>
                <w:highlight w:val="none"/>
                <w:u w:val="single"/>
                <w:lang w:val="en-US" w:eastAsia="zh-CN"/>
              </w:rPr>
              <w:t>2</w:t>
            </w:r>
            <w:r>
              <w:rPr>
                <w:rFonts w:hint="eastAsia" w:ascii="仿宋" w:hAnsi="仿宋" w:eastAsia="仿宋" w:cs="仿宋"/>
                <w:color w:val="auto"/>
                <w:sz w:val="24"/>
                <w:highlight w:val="none"/>
                <w:u w:val="none"/>
              </w:rPr>
              <w:t>人，采购人代表</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none"/>
              </w:rPr>
              <w:t>人。</w:t>
            </w:r>
          </w:p>
        </w:tc>
      </w:tr>
      <w:tr w14:paraId="3429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7A77ABE9">
            <w:pPr>
              <w:keepNext w:val="0"/>
              <w:keepLines w:val="0"/>
              <w:pageBreakBefore w:val="0"/>
              <w:widowControl w:val="0"/>
              <w:kinsoku/>
              <w:wordWrap/>
              <w:overflowPunct/>
              <w:topLinePunct w:val="0"/>
              <w:bidi w:val="0"/>
              <w:spacing w:line="42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28.1</w:t>
            </w:r>
          </w:p>
        </w:tc>
        <w:tc>
          <w:tcPr>
            <w:tcW w:w="8589" w:type="dxa"/>
            <w:vAlign w:val="center"/>
          </w:tcPr>
          <w:p w14:paraId="51286907">
            <w:pPr>
              <w:keepNext w:val="0"/>
              <w:keepLines w:val="0"/>
              <w:pageBreakBefore w:val="0"/>
              <w:widowControl w:val="0"/>
              <w:kinsoku/>
              <w:wordWrap/>
              <w:overflowPunct/>
              <w:topLinePunct w:val="0"/>
              <w:bidi w:val="0"/>
              <w:spacing w:line="420" w:lineRule="exact"/>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 本项目要求履约保证金，金额为成交合同金额的</w:t>
            </w:r>
            <w:r>
              <w:rPr>
                <w:rFonts w:hint="eastAsia" w:ascii="仿宋" w:hAnsi="仿宋" w:eastAsia="仿宋" w:cs="仿宋"/>
                <w:color w:val="auto"/>
                <w:sz w:val="24"/>
                <w:highlight w:val="none"/>
                <w:u w:val="single"/>
              </w:rPr>
              <w:t>5%</w:t>
            </w:r>
            <w:r>
              <w:rPr>
                <w:rFonts w:hint="eastAsia" w:ascii="仿宋" w:hAnsi="仿宋" w:eastAsia="仿宋" w:cs="仿宋"/>
                <w:color w:val="auto"/>
                <w:sz w:val="24"/>
                <w:highlight w:val="none"/>
                <w:u w:val="single"/>
                <w:lang w:eastAsia="zh-CN"/>
              </w:rPr>
              <w:t>。</w:t>
            </w:r>
          </w:p>
          <w:p w14:paraId="5DEE4AC3">
            <w:pPr>
              <w:keepNext w:val="0"/>
              <w:keepLines w:val="0"/>
              <w:pageBreakBefore w:val="0"/>
              <w:widowControl w:val="0"/>
              <w:kinsoku/>
              <w:wordWrap/>
              <w:overflowPunct/>
              <w:topLinePunct w:val="0"/>
              <w:bidi w:val="0"/>
              <w:spacing w:line="420" w:lineRule="exact"/>
              <w:jc w:val="left"/>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本项目不要求履约保证金。</w:t>
            </w:r>
          </w:p>
        </w:tc>
      </w:tr>
      <w:tr w14:paraId="0BA9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750CA707">
            <w:pPr>
              <w:keepNext w:val="0"/>
              <w:keepLines w:val="0"/>
              <w:pageBreakBefore w:val="0"/>
              <w:widowControl w:val="0"/>
              <w:kinsoku/>
              <w:wordWrap/>
              <w:overflowPunct/>
              <w:topLinePunct w:val="0"/>
              <w:bidi w:val="0"/>
              <w:spacing w:line="42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技术支持电话</w:t>
            </w:r>
          </w:p>
        </w:tc>
        <w:tc>
          <w:tcPr>
            <w:tcW w:w="8589" w:type="dxa"/>
            <w:vAlign w:val="center"/>
          </w:tcPr>
          <w:p w14:paraId="01D71983">
            <w:pPr>
              <w:keepNext w:val="0"/>
              <w:keepLines w:val="0"/>
              <w:pageBreakBefore w:val="0"/>
              <w:widowControl w:val="0"/>
              <w:kinsoku/>
              <w:wordWrap/>
              <w:overflowPunct/>
              <w:topLinePunct w:val="0"/>
              <w:bidi w:val="0"/>
              <w:spacing w:line="42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电子化政府采购系统技术支持（软件开发商）</w:t>
            </w:r>
          </w:p>
          <w:p w14:paraId="73CF3E9B">
            <w:pPr>
              <w:keepNext w:val="0"/>
              <w:keepLines w:val="0"/>
              <w:pageBreakBefore w:val="0"/>
              <w:widowControl w:val="0"/>
              <w:kinsoku/>
              <w:wordWrap/>
              <w:overflowPunct/>
              <w:topLinePunct w:val="0"/>
              <w:bidi w:val="0"/>
              <w:spacing w:line="420" w:lineRule="exact"/>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国泰新点软件股份有限公司</w:t>
            </w:r>
          </w:p>
          <w:p w14:paraId="276BAD1E">
            <w:pPr>
              <w:keepNext w:val="0"/>
              <w:keepLines w:val="0"/>
              <w:pageBreakBefore w:val="0"/>
              <w:widowControl w:val="0"/>
              <w:kinsoku/>
              <w:wordWrap/>
              <w:overflowPunct/>
              <w:topLinePunct w:val="0"/>
              <w:bidi w:val="0"/>
              <w:spacing w:line="42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技术支持热线：400-998-0000/400-928-0095</w:t>
            </w:r>
          </w:p>
        </w:tc>
      </w:tr>
      <w:tr w14:paraId="40D7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170" w:type="dxa"/>
            <w:vAlign w:val="center"/>
          </w:tcPr>
          <w:p w14:paraId="2C9A8358">
            <w:pPr>
              <w:keepNext w:val="0"/>
              <w:keepLines w:val="0"/>
              <w:pageBreakBefore w:val="0"/>
              <w:widowControl w:val="0"/>
              <w:kinsoku/>
              <w:wordWrap/>
              <w:overflowPunct/>
              <w:topLinePunct w:val="0"/>
              <w:bidi w:val="0"/>
              <w:spacing w:line="42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补充说明</w:t>
            </w:r>
          </w:p>
        </w:tc>
        <w:tc>
          <w:tcPr>
            <w:tcW w:w="8589" w:type="dxa"/>
            <w:vAlign w:val="center"/>
          </w:tcPr>
          <w:p w14:paraId="3DF4A921">
            <w:pPr>
              <w:keepNext w:val="0"/>
              <w:keepLines w:val="0"/>
              <w:pageBreakBefore w:val="0"/>
              <w:widowControl w:val="0"/>
              <w:kinsoku/>
              <w:wordWrap/>
              <w:overflowPunct/>
              <w:topLinePunct w:val="0"/>
              <w:bidi w:val="0"/>
              <w:spacing w:line="420" w:lineRule="exact"/>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供应商登记免费领取采购文件的，如不参与项目投标，应在递交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截止时间前一日以书面形式告知采购代理机构。</w:t>
            </w:r>
          </w:p>
        </w:tc>
      </w:tr>
    </w:tbl>
    <w:p w14:paraId="44183925">
      <w:pPr>
        <w:adjustRightInd w:val="0"/>
        <w:spacing w:before="240" w:beforeLines="100" w:line="360" w:lineRule="auto"/>
        <w:ind w:right="-22"/>
        <w:jc w:val="center"/>
        <w:textAlignment w:val="baseline"/>
        <w:rPr>
          <w:rFonts w:hint="eastAsia" w:ascii="仿宋" w:hAnsi="仿宋" w:eastAsia="仿宋" w:cs="仿宋"/>
          <w:color w:val="auto"/>
          <w:highlight w:val="none"/>
        </w:rPr>
      </w:pPr>
      <w:r>
        <w:rPr>
          <w:rFonts w:hint="eastAsia" w:ascii="仿宋" w:hAnsi="仿宋" w:eastAsia="仿宋" w:cs="仿宋"/>
          <w:color w:val="auto"/>
          <w:highlight w:val="none"/>
        </w:rPr>
        <w:br w:type="page"/>
      </w:r>
      <w:bookmarkStart w:id="102" w:name="_Toc249515279"/>
      <w:bookmarkStart w:id="103" w:name="_Toc184043013"/>
      <w:bookmarkStart w:id="104" w:name="_Toc70687140"/>
      <w:bookmarkStart w:id="105" w:name="_Toc230099798"/>
      <w:bookmarkStart w:id="106" w:name="_Toc249515391"/>
      <w:bookmarkStart w:id="107" w:name="_Toc177817335"/>
      <w:bookmarkStart w:id="108" w:name="_Toc53722841"/>
      <w:bookmarkStart w:id="109" w:name="_Toc230583542"/>
      <w:bookmarkStart w:id="110" w:name="_Toc177189236"/>
      <w:bookmarkStart w:id="111" w:name="_Toc232395213"/>
      <w:bookmarkStart w:id="112" w:name="_Toc232176273"/>
      <w:bookmarkStart w:id="113" w:name="_Toc249525160"/>
      <w:bookmarkStart w:id="114" w:name="_Toc256342144"/>
      <w:bookmarkStart w:id="115" w:name="_Toc177995474"/>
      <w:bookmarkStart w:id="116" w:name="_Toc176882543"/>
      <w:bookmarkStart w:id="117" w:name="_Toc230013633"/>
    </w:p>
    <w:p w14:paraId="3B39460C">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1"/>
        <w:rPr>
          <w:rFonts w:hint="eastAsia" w:ascii="仿宋" w:hAnsi="仿宋" w:eastAsia="仿宋" w:cs="仿宋"/>
          <w:b/>
          <w:color w:val="auto"/>
          <w:kern w:val="0"/>
          <w:sz w:val="28"/>
          <w:szCs w:val="28"/>
          <w:highlight w:val="none"/>
        </w:rPr>
      </w:pPr>
      <w:bookmarkStart w:id="118" w:name="_Toc13618"/>
      <w:r>
        <w:rPr>
          <w:rFonts w:hint="eastAsia" w:ascii="仿宋" w:hAnsi="仿宋" w:eastAsia="仿宋" w:cs="仿宋"/>
          <w:b/>
          <w:color w:val="auto"/>
          <w:kern w:val="0"/>
          <w:sz w:val="28"/>
          <w:szCs w:val="28"/>
          <w:highlight w:val="none"/>
        </w:rPr>
        <w:t>（二）供应商须知</w:t>
      </w:r>
      <w:bookmarkEnd w:id="118"/>
    </w:p>
    <w:p w14:paraId="1D4BE5F6">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jc w:val="center"/>
        <w:textAlignment w:val="baseline"/>
        <w:outlineLvl w:val="9"/>
        <w:rPr>
          <w:rFonts w:hint="eastAsia" w:ascii="仿宋" w:hAnsi="仿宋" w:eastAsia="仿宋" w:cs="仿宋"/>
          <w:b/>
          <w:color w:val="auto"/>
          <w:kern w:val="0"/>
          <w:sz w:val="28"/>
          <w:szCs w:val="28"/>
          <w:highlight w:val="none"/>
        </w:rPr>
      </w:pPr>
    </w:p>
    <w:p w14:paraId="22BD6562">
      <w:pPr>
        <w:pStyle w:val="2"/>
        <w:keepNext/>
        <w:keepLines/>
        <w:pageBreakBefore w:val="0"/>
        <w:widowControl w:val="0"/>
        <w:kinsoku/>
        <w:wordWrap/>
        <w:overflowPunct/>
        <w:topLinePunct w:val="0"/>
        <w:autoSpaceDE/>
        <w:autoSpaceDN/>
        <w:bidi w:val="0"/>
        <w:adjustRightInd w:val="0"/>
        <w:snapToGrid/>
        <w:spacing w:before="20" w:after="20" w:line="400" w:lineRule="exact"/>
        <w:jc w:val="center"/>
        <w:textAlignment w:val="baseline"/>
        <w:rPr>
          <w:rFonts w:hint="eastAsia" w:ascii="仿宋" w:hAnsi="仿宋" w:eastAsia="仿宋" w:cs="仿宋"/>
          <w:color w:val="auto"/>
          <w:sz w:val="28"/>
          <w:szCs w:val="28"/>
          <w:highlight w:val="none"/>
        </w:rPr>
      </w:pPr>
      <w:bookmarkStart w:id="119" w:name="_Toc30920"/>
      <w:r>
        <w:rPr>
          <w:rFonts w:hint="eastAsia" w:ascii="仿宋" w:hAnsi="仿宋" w:eastAsia="仿宋" w:cs="仿宋"/>
          <w:color w:val="auto"/>
          <w:sz w:val="28"/>
          <w:szCs w:val="28"/>
          <w:highlight w:val="none"/>
        </w:rPr>
        <w:t>一、总则</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9"/>
    </w:p>
    <w:p w14:paraId="1B144042">
      <w:pPr>
        <w:pStyle w:val="4"/>
        <w:rPr>
          <w:rFonts w:hint="eastAsia" w:ascii="仿宋" w:hAnsi="仿宋" w:eastAsia="仿宋" w:cs="仿宋"/>
          <w:b/>
          <w:color w:val="auto"/>
          <w:sz w:val="24"/>
          <w:szCs w:val="21"/>
          <w:highlight w:val="none"/>
        </w:rPr>
      </w:pPr>
      <w:bookmarkStart w:id="120" w:name="_Hlt14560612"/>
      <w:bookmarkEnd w:id="120"/>
      <w:bookmarkStart w:id="121" w:name="_Toc249515280"/>
      <w:bookmarkStart w:id="122" w:name="_Toc249515392"/>
      <w:bookmarkStart w:id="123" w:name="_Toc184043014"/>
      <w:bookmarkStart w:id="124" w:name="_Toc249525161"/>
      <w:bookmarkStart w:id="125" w:name="_Toc25504"/>
      <w:r>
        <w:rPr>
          <w:rFonts w:hint="eastAsia" w:ascii="仿宋" w:hAnsi="仿宋" w:eastAsia="仿宋" w:cs="仿宋"/>
          <w:b/>
          <w:color w:val="auto"/>
          <w:sz w:val="24"/>
          <w:szCs w:val="21"/>
          <w:highlight w:val="none"/>
        </w:rPr>
        <w:t>1.     项目说明</w:t>
      </w:r>
      <w:bookmarkEnd w:id="121"/>
      <w:bookmarkEnd w:id="122"/>
      <w:bookmarkEnd w:id="123"/>
      <w:bookmarkEnd w:id="124"/>
      <w:bookmarkEnd w:id="125"/>
    </w:p>
    <w:p w14:paraId="6E934A58">
      <w:pPr>
        <w:pStyle w:val="64"/>
        <w:widowControl w:val="0"/>
        <w:numPr>
          <w:ilvl w:val="1"/>
          <w:numId w:val="5"/>
        </w:numPr>
        <w:tabs>
          <w:tab w:val="left" w:pos="588"/>
        </w:tabs>
        <w:spacing w:before="0" w:beforeAutospacing="0" w:after="0" w:afterAutospacing="0"/>
        <w:textAlignment w:val="auto"/>
        <w:rPr>
          <w:rFonts w:hint="eastAsia" w:ascii="仿宋" w:hAnsi="仿宋" w:eastAsia="仿宋" w:cs="仿宋"/>
          <w:color w:val="auto"/>
          <w:kern w:val="24"/>
          <w:szCs w:val="21"/>
          <w:highlight w:val="none"/>
        </w:rPr>
      </w:pPr>
      <w:r>
        <w:rPr>
          <w:rFonts w:hint="eastAsia" w:ascii="仿宋" w:hAnsi="仿宋" w:eastAsia="仿宋" w:cs="仿宋"/>
          <w:color w:val="auto"/>
          <w:kern w:val="24"/>
          <w:szCs w:val="21"/>
          <w:highlight w:val="none"/>
        </w:rPr>
        <w:t xml:space="preserve">    项目说明：</w:t>
      </w:r>
      <w:r>
        <w:rPr>
          <w:rFonts w:hint="eastAsia" w:ascii="仿宋" w:hAnsi="仿宋" w:eastAsia="仿宋" w:cs="仿宋"/>
          <w:b/>
          <w:color w:val="auto"/>
          <w:kern w:val="24"/>
          <w:szCs w:val="21"/>
          <w:highlight w:val="none"/>
        </w:rPr>
        <w:t>见供应商须知前附表</w:t>
      </w:r>
      <w:r>
        <w:rPr>
          <w:rFonts w:hint="eastAsia" w:ascii="仿宋" w:hAnsi="仿宋" w:eastAsia="仿宋" w:cs="仿宋"/>
          <w:color w:val="auto"/>
          <w:kern w:val="24"/>
          <w:szCs w:val="21"/>
          <w:highlight w:val="none"/>
        </w:rPr>
        <w:t>。</w:t>
      </w:r>
    </w:p>
    <w:p w14:paraId="4648EA6A">
      <w:pPr>
        <w:pStyle w:val="4"/>
        <w:rPr>
          <w:rFonts w:hint="eastAsia" w:ascii="仿宋" w:hAnsi="仿宋" w:eastAsia="仿宋" w:cs="仿宋"/>
          <w:b/>
          <w:color w:val="auto"/>
          <w:sz w:val="24"/>
          <w:szCs w:val="21"/>
          <w:highlight w:val="none"/>
        </w:rPr>
      </w:pPr>
      <w:bookmarkStart w:id="126" w:name="_Toc249525162"/>
      <w:bookmarkStart w:id="127" w:name="_Toc184043015"/>
      <w:bookmarkStart w:id="128" w:name="_Toc249515393"/>
      <w:bookmarkStart w:id="129" w:name="_Toc70687142"/>
      <w:bookmarkStart w:id="130" w:name="_Toc249515281"/>
      <w:bookmarkStart w:id="131" w:name="_Toc31509"/>
      <w:r>
        <w:rPr>
          <w:rFonts w:hint="eastAsia" w:ascii="仿宋" w:hAnsi="仿宋" w:eastAsia="仿宋" w:cs="仿宋"/>
          <w:b/>
          <w:color w:val="auto"/>
          <w:sz w:val="24"/>
          <w:szCs w:val="21"/>
          <w:highlight w:val="none"/>
        </w:rPr>
        <w:t>2.     定义</w:t>
      </w:r>
      <w:bookmarkEnd w:id="126"/>
      <w:bookmarkEnd w:id="127"/>
      <w:bookmarkEnd w:id="128"/>
      <w:bookmarkEnd w:id="129"/>
      <w:bookmarkEnd w:id="130"/>
      <w:bookmarkEnd w:id="131"/>
    </w:p>
    <w:p w14:paraId="36BCC0C6">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w:t>
      </w:r>
      <w:r>
        <w:rPr>
          <w:rFonts w:hint="eastAsia" w:ascii="仿宋" w:hAnsi="仿宋" w:eastAsia="仿宋" w:cs="仿宋"/>
          <w:b/>
          <w:color w:val="auto"/>
          <w:sz w:val="24"/>
          <w:highlight w:val="none"/>
        </w:rPr>
        <w:t>见供应商须知前附表</w:t>
      </w:r>
      <w:r>
        <w:rPr>
          <w:rFonts w:hint="eastAsia" w:ascii="仿宋" w:hAnsi="仿宋" w:eastAsia="仿宋" w:cs="仿宋"/>
          <w:color w:val="auto"/>
          <w:sz w:val="24"/>
          <w:highlight w:val="none"/>
        </w:rPr>
        <w:t>。</w:t>
      </w:r>
    </w:p>
    <w:p w14:paraId="4CF51548">
      <w:pPr>
        <w:pStyle w:val="23"/>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2.2    采购代理机构：</w:t>
      </w:r>
      <w:r>
        <w:rPr>
          <w:rFonts w:hint="eastAsia" w:ascii="仿宋" w:hAnsi="仿宋" w:eastAsia="仿宋" w:cs="仿宋"/>
          <w:b/>
          <w:color w:val="auto"/>
          <w:kern w:val="24"/>
          <w:sz w:val="24"/>
          <w:szCs w:val="21"/>
          <w:highlight w:val="none"/>
        </w:rPr>
        <w:t>见供应商须知前附表</w:t>
      </w:r>
      <w:r>
        <w:rPr>
          <w:rFonts w:hint="eastAsia" w:ascii="仿宋" w:hAnsi="仿宋" w:eastAsia="仿宋" w:cs="仿宋"/>
          <w:color w:val="auto"/>
          <w:kern w:val="24"/>
          <w:sz w:val="24"/>
          <w:szCs w:val="21"/>
          <w:highlight w:val="none"/>
        </w:rPr>
        <w:t>。</w:t>
      </w:r>
    </w:p>
    <w:p w14:paraId="52108ABD">
      <w:pPr>
        <w:pStyle w:val="23"/>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2.3    供应商：指响应谈判文件要求、参加竞争性谈判采购的法人、其他组织或者自然人。本次政府采购项目邀请供应商方式</w:t>
      </w:r>
      <w:r>
        <w:rPr>
          <w:rFonts w:hint="eastAsia" w:ascii="仿宋" w:hAnsi="仿宋" w:eastAsia="仿宋" w:cs="仿宋"/>
          <w:b/>
          <w:bCs/>
          <w:color w:val="auto"/>
          <w:kern w:val="24"/>
          <w:sz w:val="24"/>
          <w:szCs w:val="21"/>
          <w:highlight w:val="none"/>
        </w:rPr>
        <w:t>见供应商须知前附表</w:t>
      </w:r>
      <w:r>
        <w:rPr>
          <w:rFonts w:hint="eastAsia" w:ascii="仿宋" w:hAnsi="仿宋" w:eastAsia="仿宋" w:cs="仿宋"/>
          <w:color w:val="auto"/>
          <w:kern w:val="24"/>
          <w:sz w:val="24"/>
          <w:szCs w:val="21"/>
          <w:highlight w:val="none"/>
        </w:rPr>
        <w:t>。</w:t>
      </w:r>
    </w:p>
    <w:p w14:paraId="47A11507">
      <w:pPr>
        <w:pStyle w:val="23"/>
        <w:tabs>
          <w:tab w:val="left" w:pos="360"/>
        </w:tabs>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    谈判小组：指依据《中华人民共和国政府采购法》和财政部《政府采购非招标采购方式管理办法》有关规定组建，依法依规履行其职责和义务的</w:t>
      </w:r>
      <w:r>
        <w:rPr>
          <w:rFonts w:hint="eastAsia" w:ascii="仿宋" w:hAnsi="仿宋" w:eastAsia="仿宋" w:cs="仿宋"/>
          <w:color w:val="auto"/>
          <w:sz w:val="24"/>
          <w:highlight w:val="none"/>
          <w:lang w:val="en-US" w:eastAsia="zh-CN"/>
        </w:rPr>
        <w:t>组织</w:t>
      </w:r>
      <w:r>
        <w:rPr>
          <w:rFonts w:hint="eastAsia" w:ascii="仿宋" w:hAnsi="仿宋" w:eastAsia="仿宋" w:cs="仿宋"/>
          <w:color w:val="auto"/>
          <w:sz w:val="24"/>
          <w:highlight w:val="none"/>
        </w:rPr>
        <w:t>。</w:t>
      </w:r>
    </w:p>
    <w:p w14:paraId="6F37B022">
      <w:pPr>
        <w:pStyle w:val="4"/>
        <w:rPr>
          <w:rFonts w:hint="eastAsia" w:ascii="仿宋" w:hAnsi="仿宋" w:eastAsia="仿宋" w:cs="仿宋"/>
          <w:b/>
          <w:color w:val="auto"/>
          <w:sz w:val="24"/>
          <w:szCs w:val="21"/>
          <w:highlight w:val="none"/>
        </w:rPr>
      </w:pPr>
      <w:bookmarkStart w:id="132" w:name="_Toc249525163"/>
      <w:bookmarkStart w:id="133" w:name="_Toc389620168"/>
      <w:bookmarkStart w:id="134" w:name="_Toc70687143"/>
      <w:bookmarkStart w:id="135" w:name="_Toc249515394"/>
      <w:bookmarkStart w:id="136" w:name="_Toc385992329"/>
      <w:bookmarkStart w:id="137" w:name="_Toc184043016"/>
      <w:bookmarkStart w:id="138" w:name="_Toc249515282"/>
      <w:bookmarkStart w:id="139" w:name="_Toc23705"/>
      <w:r>
        <w:rPr>
          <w:rFonts w:hint="eastAsia" w:ascii="仿宋" w:hAnsi="仿宋" w:eastAsia="仿宋" w:cs="仿宋"/>
          <w:b/>
          <w:color w:val="auto"/>
          <w:sz w:val="24"/>
          <w:szCs w:val="21"/>
          <w:highlight w:val="none"/>
        </w:rPr>
        <w:t>3.     合格的供应商</w:t>
      </w:r>
      <w:bookmarkEnd w:id="132"/>
      <w:bookmarkEnd w:id="133"/>
      <w:bookmarkEnd w:id="134"/>
      <w:bookmarkEnd w:id="135"/>
      <w:bookmarkEnd w:id="136"/>
      <w:bookmarkEnd w:id="137"/>
      <w:bookmarkEnd w:id="138"/>
      <w:bookmarkEnd w:id="139"/>
    </w:p>
    <w:p w14:paraId="66491C23">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3.1    供应商基本</w:t>
      </w:r>
      <w:r>
        <w:rPr>
          <w:rFonts w:hint="eastAsia" w:ascii="仿宋" w:hAnsi="仿宋" w:eastAsia="仿宋" w:cs="仿宋"/>
          <w:color w:val="auto"/>
          <w:kern w:val="24"/>
          <w:sz w:val="24"/>
          <w:szCs w:val="21"/>
          <w:highlight w:val="none"/>
          <w:lang w:val="en-US" w:eastAsia="zh-CN"/>
        </w:rPr>
        <w:t>资格</w:t>
      </w:r>
      <w:r>
        <w:rPr>
          <w:rFonts w:hint="eastAsia" w:ascii="仿宋" w:hAnsi="仿宋" w:eastAsia="仿宋" w:cs="仿宋"/>
          <w:color w:val="auto"/>
          <w:kern w:val="24"/>
          <w:sz w:val="24"/>
          <w:szCs w:val="21"/>
          <w:highlight w:val="none"/>
        </w:rPr>
        <w:t>要求详见</w:t>
      </w:r>
      <w:r>
        <w:rPr>
          <w:rFonts w:hint="eastAsia" w:ascii="仿宋" w:hAnsi="仿宋" w:eastAsia="仿宋" w:cs="仿宋"/>
          <w:b/>
          <w:color w:val="auto"/>
          <w:kern w:val="24"/>
          <w:sz w:val="24"/>
          <w:szCs w:val="21"/>
          <w:highlight w:val="none"/>
        </w:rPr>
        <w:t>供应商须知前附表</w:t>
      </w:r>
      <w:r>
        <w:rPr>
          <w:rFonts w:hint="eastAsia" w:ascii="仿宋" w:hAnsi="仿宋" w:eastAsia="仿宋" w:cs="仿宋"/>
          <w:color w:val="auto"/>
          <w:kern w:val="24"/>
          <w:sz w:val="24"/>
          <w:szCs w:val="21"/>
          <w:highlight w:val="none"/>
        </w:rPr>
        <w:t>。</w:t>
      </w:r>
    </w:p>
    <w:p w14:paraId="285DF06D">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    本项目将执行在政府采购活动中查询及使用信用记录的规定，具体要求为：</w:t>
      </w:r>
    </w:p>
    <w:p w14:paraId="2A8EBD89">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3.2.1  供应商应当未被列入失信被执行人、重大</w:t>
      </w:r>
      <w:r>
        <w:rPr>
          <w:rFonts w:hint="eastAsia" w:ascii="仿宋" w:hAnsi="仿宋" w:eastAsia="仿宋" w:cs="仿宋"/>
          <w:color w:val="auto"/>
          <w:sz w:val="24"/>
          <w:highlight w:val="none"/>
        </w:rPr>
        <w:t>税收违法失信主体</w:t>
      </w:r>
      <w:r>
        <w:rPr>
          <w:rFonts w:hint="eastAsia" w:ascii="仿宋" w:hAnsi="仿宋" w:eastAsia="仿宋" w:cs="仿宋"/>
          <w:color w:val="auto"/>
          <w:kern w:val="24"/>
          <w:sz w:val="24"/>
          <w:szCs w:val="21"/>
          <w:highlight w:val="none"/>
        </w:rPr>
        <w:t>、政府采购严重违法失信行为记录名单，否则不得参与政府采购活动。</w:t>
      </w:r>
    </w:p>
    <w:p w14:paraId="047BB842">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 xml:space="preserve">3.2.2  信用信息查询的时间：自采购文件发售之日起至资格审查结束之前。 </w:t>
      </w:r>
    </w:p>
    <w:p w14:paraId="15B3E7D4">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3.2.3  查询渠道：“信用中国”网站（www.creditchina.gov.cn）和中国政府采购网（www.ccgp.gov.cn）。</w:t>
      </w:r>
    </w:p>
    <w:p w14:paraId="4CB2847A">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3.2.4  信用信息查询记录和证据留存具体方式：将经查询存在不良信用记录的潜在供应商的查询结果网页截图作为查询记录和证据，与其他采购文件一并保存。</w:t>
      </w:r>
    </w:p>
    <w:p w14:paraId="5DA77C46">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3.2.5  信用信息的使用规则：采购人或采购代理机构若发现参与本项目政府采购活动的供应商在存在不良信用记录的，将信用信息查询记录提交给谈判小组，作无效文件进行处理。</w:t>
      </w:r>
    </w:p>
    <w:p w14:paraId="7D9FE24A">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3.3    供应商必须向采购人或采购代理机构获取谈判文件，未向采购人或采购代理机构获取谈判文件的潜在供应商均无资格参加本次采购。</w:t>
      </w:r>
    </w:p>
    <w:p w14:paraId="5C647F15">
      <w:pPr>
        <w:tabs>
          <w:tab w:val="left" w:pos="588"/>
        </w:tabs>
        <w:spacing w:line="360" w:lineRule="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3.4    供应商应遵守《中华人民共和国政府采购法》及其它有关的中国法律和法规。</w:t>
      </w:r>
    </w:p>
    <w:p w14:paraId="0D180D26">
      <w:pPr>
        <w:pStyle w:val="23"/>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3.5    若前附表中写明允许采购进口产品，供应商应保证所投产品可履行合法报通关手续进入中国关境内。</w:t>
      </w:r>
    </w:p>
    <w:p w14:paraId="0DB9446A">
      <w:pPr>
        <w:pStyle w:val="23"/>
        <w:ind w:left="838" w:leftChars="399"/>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若前附表中不允许采购进口产品，如供应商所投产品为进口产品，其响应文件将被认定为无效。</w:t>
      </w:r>
    </w:p>
    <w:p w14:paraId="57E4CEBC">
      <w:pPr>
        <w:pStyle w:val="23"/>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    如须知前附表中允许联合体投标，对联合体规定如下：</w:t>
      </w:r>
    </w:p>
    <w:p w14:paraId="7D2D15ED">
      <w:pPr>
        <w:pStyle w:val="23"/>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3.6.1  两个及以上供应商可以组成一个投标联合体，以一个供应商的身份投标。</w:t>
      </w:r>
    </w:p>
    <w:p w14:paraId="1ABFAAB1">
      <w:pPr>
        <w:pStyle w:val="23"/>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3.6.2  联合体各方均应符合本须知规定。</w:t>
      </w:r>
    </w:p>
    <w:p w14:paraId="5C0DB5E2">
      <w:pPr>
        <w:pStyle w:val="23"/>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3.6.3  采购人根据采购项目对供应商的特殊要求，联合体中至少应当有一方符合相关规定。</w:t>
      </w:r>
    </w:p>
    <w:p w14:paraId="1986C4AF">
      <w:pPr>
        <w:pStyle w:val="23"/>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3.6.4  联合体各方应签订共同谈判响应协议，明确约定联合体各方承担的工作和相应的责任，并将共同响应协议作为响应文件的内容提交。</w:t>
      </w:r>
    </w:p>
    <w:p w14:paraId="516F8871">
      <w:pPr>
        <w:pStyle w:val="23"/>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3.6.5  大中型企业、其他自然人、法人或者其他组织与小型、微型企业组成联合体共同参加谈判，共同响应协议中应写明小型、微型企业的协议合同金额占到共同响应协议报价总金额的比例。</w:t>
      </w:r>
    </w:p>
    <w:p w14:paraId="3D4D1CAE">
      <w:pPr>
        <w:pStyle w:val="23"/>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3.6.6  以联合体形式参加政府采购活动的，联合体各方不得再单独参加或者与其他供应商另外组成联合体参加本项目同一合同项下的谈判，否则相关响应文件将被认定为无效。</w:t>
      </w:r>
    </w:p>
    <w:p w14:paraId="490570A7">
      <w:pPr>
        <w:pStyle w:val="23"/>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3.6.7  对联合体谈判的其他资格要求见须知前附表。</w:t>
      </w:r>
    </w:p>
    <w:p w14:paraId="656BA073">
      <w:pPr>
        <w:pStyle w:val="23"/>
        <w:ind w:left="840" w:hanging="840" w:hangingChars="350"/>
        <w:rPr>
          <w:rFonts w:hint="eastAsia" w:ascii="仿宋" w:hAnsi="仿宋" w:eastAsia="仿宋" w:cs="仿宋"/>
          <w:color w:val="auto"/>
          <w:highlight w:val="none"/>
        </w:rPr>
      </w:pPr>
      <w:r>
        <w:rPr>
          <w:rFonts w:hint="eastAsia" w:ascii="仿宋" w:hAnsi="仿宋" w:eastAsia="仿宋" w:cs="仿宋"/>
          <w:color w:val="auto"/>
          <w:kern w:val="24"/>
          <w:sz w:val="24"/>
          <w:szCs w:val="21"/>
          <w:highlight w:val="none"/>
        </w:rPr>
        <w:t xml:space="preserve">3.7    </w:t>
      </w:r>
      <w:r>
        <w:rPr>
          <w:rFonts w:hint="eastAsia" w:ascii="仿宋" w:hAnsi="仿宋" w:eastAsia="仿宋" w:cs="仿宋"/>
          <w:color w:val="auto"/>
          <w:sz w:val="24"/>
          <w:highlight w:val="none"/>
        </w:rPr>
        <w:t>若前附表中写明专门面向中小企业采购的，如供应商为非中小企业或所投产品为非中小企业产品，其响应文件将被认定为无效。</w:t>
      </w:r>
    </w:p>
    <w:p w14:paraId="303A63AE">
      <w:pPr>
        <w:pStyle w:val="4"/>
        <w:rPr>
          <w:rFonts w:hint="eastAsia" w:ascii="仿宋" w:hAnsi="仿宋" w:eastAsia="仿宋" w:cs="仿宋"/>
          <w:b/>
          <w:color w:val="auto"/>
          <w:sz w:val="24"/>
          <w:szCs w:val="21"/>
          <w:highlight w:val="none"/>
        </w:rPr>
      </w:pPr>
      <w:bookmarkStart w:id="140" w:name="_Toc389620169"/>
      <w:bookmarkStart w:id="141" w:name="_Toc249515395"/>
      <w:bookmarkStart w:id="142" w:name="_Toc184043017"/>
      <w:bookmarkStart w:id="143" w:name="_Toc26580"/>
      <w:bookmarkStart w:id="144" w:name="_Toc385992330"/>
      <w:bookmarkStart w:id="145" w:name="_Toc249525164"/>
      <w:bookmarkStart w:id="146" w:name="_Toc249515283"/>
      <w:bookmarkStart w:id="147" w:name="_Toc70687144"/>
      <w:r>
        <w:rPr>
          <w:rFonts w:hint="eastAsia" w:ascii="仿宋" w:hAnsi="仿宋" w:eastAsia="仿宋" w:cs="仿宋"/>
          <w:b/>
          <w:color w:val="auto"/>
          <w:sz w:val="24"/>
          <w:szCs w:val="21"/>
          <w:highlight w:val="none"/>
        </w:rPr>
        <w:t>4.     响应费用</w:t>
      </w:r>
      <w:bookmarkEnd w:id="140"/>
      <w:bookmarkEnd w:id="141"/>
      <w:bookmarkEnd w:id="142"/>
      <w:bookmarkEnd w:id="143"/>
      <w:bookmarkEnd w:id="144"/>
      <w:bookmarkEnd w:id="145"/>
      <w:bookmarkEnd w:id="146"/>
      <w:bookmarkEnd w:id="147"/>
    </w:p>
    <w:p w14:paraId="12C80D9F">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4.1    供应商应承担所有与编写和提交响应文件有关的费用，无论响应过程和结果如何，采购人在任何情况下均无义务和责任承担这些费用。</w:t>
      </w:r>
    </w:p>
    <w:p w14:paraId="16DAE354">
      <w:pPr>
        <w:pStyle w:val="23"/>
        <w:rPr>
          <w:rFonts w:hint="eastAsia" w:ascii="仿宋" w:hAnsi="仿宋" w:eastAsia="仿宋" w:cs="仿宋"/>
          <w:color w:val="auto"/>
          <w:highlight w:val="none"/>
        </w:rPr>
      </w:pPr>
    </w:p>
    <w:p w14:paraId="4F4BF7E7">
      <w:pPr>
        <w:pStyle w:val="2"/>
        <w:keepNext/>
        <w:keepLines/>
        <w:pageBreakBefore w:val="0"/>
        <w:widowControl w:val="0"/>
        <w:kinsoku/>
        <w:wordWrap/>
        <w:overflowPunct/>
        <w:topLinePunct w:val="0"/>
        <w:autoSpaceDE/>
        <w:autoSpaceDN/>
        <w:bidi w:val="0"/>
        <w:adjustRightInd w:val="0"/>
        <w:snapToGrid/>
        <w:spacing w:before="20" w:after="20" w:line="400" w:lineRule="exact"/>
        <w:jc w:val="center"/>
        <w:textAlignment w:val="baseline"/>
        <w:rPr>
          <w:rFonts w:hint="eastAsia" w:ascii="仿宋" w:hAnsi="仿宋" w:eastAsia="仿宋" w:cs="仿宋"/>
          <w:color w:val="auto"/>
          <w:sz w:val="28"/>
          <w:szCs w:val="28"/>
          <w:highlight w:val="none"/>
        </w:rPr>
      </w:pPr>
      <w:bookmarkStart w:id="148" w:name="_Toc176882544"/>
      <w:bookmarkStart w:id="149" w:name="_Toc177995475"/>
      <w:bookmarkStart w:id="150" w:name="_Toc500747191"/>
      <w:bookmarkStart w:id="151" w:name="_Toc492955417"/>
      <w:bookmarkStart w:id="152" w:name="_Toc500747064"/>
      <w:bookmarkStart w:id="153" w:name="_Toc500746968"/>
      <w:bookmarkStart w:id="154" w:name="_Toc249525165"/>
      <w:bookmarkStart w:id="155" w:name="_Toc232176274"/>
      <w:bookmarkStart w:id="156" w:name="_Toc177817336"/>
      <w:bookmarkStart w:id="157" w:name="_Toc499711045"/>
      <w:bookmarkStart w:id="158" w:name="_Toc385992331"/>
      <w:bookmarkStart w:id="159" w:name="_Toc184043018"/>
      <w:bookmarkStart w:id="160" w:name="_Toc230099799"/>
      <w:bookmarkStart w:id="161" w:name="_Toc232395214"/>
      <w:bookmarkStart w:id="162" w:name="_Toc499711886"/>
      <w:bookmarkStart w:id="163" w:name="_Toc53722842"/>
      <w:bookmarkStart w:id="164" w:name="_Toc389620170"/>
      <w:bookmarkStart w:id="165" w:name="_Toc70687145"/>
      <w:bookmarkStart w:id="166" w:name="_Toc496324581"/>
      <w:bookmarkStart w:id="167" w:name="_Toc177189237"/>
      <w:bookmarkStart w:id="168" w:name="_Toc249515284"/>
      <w:bookmarkStart w:id="169" w:name="_Toc230013634"/>
      <w:bookmarkStart w:id="170" w:name="_Toc503063424"/>
      <w:bookmarkStart w:id="171" w:name="_Toc256342145"/>
      <w:bookmarkStart w:id="172" w:name="_Toc230583543"/>
      <w:bookmarkStart w:id="173" w:name="_Toc249515396"/>
      <w:bookmarkStart w:id="174" w:name="_Toc1332"/>
      <w:r>
        <w:rPr>
          <w:rFonts w:hint="eastAsia" w:ascii="仿宋" w:hAnsi="仿宋" w:eastAsia="仿宋" w:cs="仿宋"/>
          <w:color w:val="auto"/>
          <w:sz w:val="28"/>
          <w:szCs w:val="28"/>
          <w:highlight w:val="none"/>
        </w:rPr>
        <w:t>二、</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hint="eastAsia" w:ascii="仿宋" w:hAnsi="仿宋" w:eastAsia="仿宋" w:cs="仿宋"/>
          <w:color w:val="auto"/>
          <w:sz w:val="28"/>
          <w:szCs w:val="28"/>
          <w:highlight w:val="none"/>
        </w:rPr>
        <w:t>谈判文件说明</w:t>
      </w:r>
      <w:bookmarkEnd w:id="174"/>
    </w:p>
    <w:p w14:paraId="5456C956">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175" w:name="_Toc128"/>
      <w:bookmarkStart w:id="176" w:name="_Toc385992332"/>
      <w:bookmarkStart w:id="177" w:name="_Toc249515397"/>
      <w:bookmarkStart w:id="178" w:name="_Toc389620171"/>
      <w:bookmarkStart w:id="179" w:name="_Toc184043019"/>
      <w:bookmarkStart w:id="180" w:name="_Toc249515285"/>
      <w:bookmarkStart w:id="181" w:name="_Toc249525166"/>
      <w:bookmarkStart w:id="182" w:name="_Toc70687146"/>
      <w:r>
        <w:rPr>
          <w:rFonts w:hint="eastAsia" w:ascii="仿宋" w:hAnsi="仿宋" w:eastAsia="仿宋" w:cs="仿宋"/>
          <w:b/>
          <w:color w:val="auto"/>
          <w:sz w:val="24"/>
          <w:szCs w:val="21"/>
          <w:highlight w:val="none"/>
        </w:rPr>
        <w:t>5.     通知</w:t>
      </w:r>
      <w:bookmarkEnd w:id="175"/>
    </w:p>
    <w:p w14:paraId="205D0956">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5.1    对与本项目有关的通知，采购人或采购代理机构将以书面（包括书面材料、信函、传真、电子邮件等，下同）的形式，送达所有与通知有关的已获取了谈判文件的供应商（潜在供应商）。供应商应于收到通知后按规定时间以书面方式予以回复确认。因登记有误或传真线路故障导致通知延迟送达或无法送达，采购人或采购代理机构不承担责任。</w:t>
      </w:r>
    </w:p>
    <w:p w14:paraId="678744C7">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183" w:name="_Toc27223"/>
      <w:r>
        <w:rPr>
          <w:rFonts w:hint="eastAsia" w:ascii="仿宋" w:hAnsi="仿宋" w:eastAsia="仿宋" w:cs="仿宋"/>
          <w:b/>
          <w:color w:val="auto"/>
          <w:sz w:val="24"/>
          <w:szCs w:val="21"/>
          <w:highlight w:val="none"/>
        </w:rPr>
        <w:t>6.     谈判文件的构成</w:t>
      </w:r>
      <w:bookmarkEnd w:id="176"/>
      <w:bookmarkEnd w:id="177"/>
      <w:bookmarkEnd w:id="178"/>
      <w:bookmarkEnd w:id="179"/>
      <w:bookmarkEnd w:id="180"/>
      <w:bookmarkEnd w:id="181"/>
      <w:bookmarkEnd w:id="182"/>
      <w:bookmarkEnd w:id="183"/>
    </w:p>
    <w:p w14:paraId="411BCC67">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6.1    谈判文件用以阐明供应商所需提供的服务以及其它类似的义务、采购响应程序和合同条款。谈判文件包括如下五章内容：</w:t>
      </w:r>
    </w:p>
    <w:p w14:paraId="5C6509CF">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第一章 谈判</w:t>
      </w:r>
      <w:r>
        <w:rPr>
          <w:rFonts w:hint="eastAsia" w:ascii="仿宋" w:hAnsi="仿宋" w:eastAsia="仿宋" w:cs="仿宋"/>
          <w:color w:val="auto"/>
          <w:sz w:val="24"/>
          <w:highlight w:val="none"/>
          <w:lang w:val="en-US" w:eastAsia="zh-CN"/>
        </w:rPr>
        <w:t>公告</w:t>
      </w:r>
    </w:p>
    <w:p w14:paraId="78032734">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第二章 供应商须知</w:t>
      </w:r>
    </w:p>
    <w:p w14:paraId="67423A43">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第三章 合同草案条款</w:t>
      </w:r>
    </w:p>
    <w:p w14:paraId="7B582476">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第四章 采购内容及要求</w:t>
      </w:r>
    </w:p>
    <w:p w14:paraId="79CCDB5F">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第五章 谈判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w:t>
      </w:r>
    </w:p>
    <w:p w14:paraId="708DD287">
      <w:pPr>
        <w:tabs>
          <w:tab w:val="left" w:pos="588"/>
        </w:tabs>
        <w:spacing w:line="360" w:lineRule="auto"/>
        <w:ind w:left="840" w:hanging="840" w:hangingChars="350"/>
        <w:rPr>
          <w:rFonts w:hint="eastAsia" w:ascii="仿宋" w:hAnsi="仿宋" w:eastAsia="仿宋" w:cs="仿宋"/>
          <w:color w:val="auto"/>
          <w:sz w:val="24"/>
          <w:highlight w:val="none"/>
        </w:rPr>
      </w:pPr>
      <w:bookmarkStart w:id="184" w:name="_Toc385992335"/>
      <w:bookmarkStart w:id="185" w:name="_Toc492955418"/>
      <w:bookmarkStart w:id="186" w:name="_Toc499711046"/>
      <w:bookmarkStart w:id="187" w:name="_Toc53722843"/>
      <w:bookmarkStart w:id="188" w:name="_Toc500747192"/>
      <w:bookmarkStart w:id="189" w:name="_Toc496324582"/>
      <w:bookmarkStart w:id="190" w:name="_Toc70687149"/>
      <w:bookmarkStart w:id="191" w:name="_Toc389620174"/>
      <w:bookmarkStart w:id="192" w:name="_Toc500746969"/>
      <w:bookmarkStart w:id="193" w:name="_Toc503063425"/>
      <w:bookmarkStart w:id="194" w:name="_Toc500747065"/>
      <w:bookmarkStart w:id="195" w:name="_Toc499711887"/>
      <w:r>
        <w:rPr>
          <w:rFonts w:hint="eastAsia" w:ascii="仿宋" w:hAnsi="仿宋" w:eastAsia="仿宋" w:cs="仿宋"/>
          <w:color w:val="auto"/>
          <w:sz w:val="24"/>
          <w:highlight w:val="none"/>
        </w:rPr>
        <w:t>6.2    供应商应认真阅读谈判文件中所有的事项、格式条款和规范要求等。供应商没有对谈判文件做出全面的实质性响应是供应商的风险。采购人有权拒绝没有对谈判文件要求做出实质性响应的响应文件。</w:t>
      </w:r>
    </w:p>
    <w:p w14:paraId="0B7A9DBA">
      <w:pPr>
        <w:pStyle w:val="4"/>
        <w:rPr>
          <w:rFonts w:hint="eastAsia" w:ascii="仿宋" w:hAnsi="仿宋" w:eastAsia="仿宋" w:cs="仿宋"/>
          <w:b/>
          <w:color w:val="auto"/>
          <w:sz w:val="24"/>
          <w:szCs w:val="21"/>
          <w:highlight w:val="none"/>
        </w:rPr>
      </w:pPr>
      <w:bookmarkStart w:id="196" w:name="_Toc249525167"/>
      <w:bookmarkStart w:id="197" w:name="_Toc389620172"/>
      <w:bookmarkStart w:id="198" w:name="_Toc249515286"/>
      <w:bookmarkStart w:id="199" w:name="_Toc70687147"/>
      <w:bookmarkStart w:id="200" w:name="_Toc184043020"/>
      <w:bookmarkStart w:id="201" w:name="_Toc249515398"/>
      <w:bookmarkStart w:id="202" w:name="_Toc385992333"/>
      <w:bookmarkStart w:id="203" w:name="_Toc10350"/>
      <w:r>
        <w:rPr>
          <w:rFonts w:hint="eastAsia" w:ascii="仿宋" w:hAnsi="仿宋" w:eastAsia="仿宋" w:cs="仿宋"/>
          <w:b/>
          <w:color w:val="auto"/>
          <w:sz w:val="24"/>
          <w:szCs w:val="21"/>
          <w:highlight w:val="none"/>
        </w:rPr>
        <w:t>7.     谈判文件的澄清</w:t>
      </w:r>
      <w:bookmarkEnd w:id="196"/>
      <w:bookmarkEnd w:id="197"/>
      <w:bookmarkEnd w:id="198"/>
      <w:bookmarkEnd w:id="199"/>
      <w:bookmarkEnd w:id="200"/>
      <w:bookmarkEnd w:id="201"/>
      <w:bookmarkEnd w:id="202"/>
      <w:r>
        <w:rPr>
          <w:rFonts w:hint="eastAsia" w:ascii="仿宋" w:hAnsi="仿宋" w:eastAsia="仿宋" w:cs="仿宋"/>
          <w:b/>
          <w:color w:val="auto"/>
          <w:sz w:val="24"/>
          <w:szCs w:val="21"/>
          <w:highlight w:val="none"/>
        </w:rPr>
        <w:t>和修改</w:t>
      </w:r>
      <w:bookmarkEnd w:id="203"/>
    </w:p>
    <w:p w14:paraId="1338DD59">
      <w:pPr>
        <w:tabs>
          <w:tab w:val="left" w:pos="588"/>
        </w:tabs>
        <w:spacing w:line="360" w:lineRule="auto"/>
        <w:ind w:left="840" w:hanging="840" w:hangingChars="350"/>
        <w:rPr>
          <w:rFonts w:hint="eastAsia" w:ascii="仿宋" w:hAnsi="仿宋" w:eastAsia="仿宋" w:cs="仿宋"/>
          <w:color w:val="auto"/>
          <w:sz w:val="24"/>
          <w:highlight w:val="none"/>
        </w:rPr>
      </w:pPr>
      <w:bookmarkStart w:id="204" w:name="_Toc70687148"/>
      <w:bookmarkStart w:id="205" w:name="_Toc385992334"/>
      <w:bookmarkStart w:id="206" w:name="_Toc389620173"/>
      <w:r>
        <w:rPr>
          <w:rFonts w:hint="eastAsia" w:ascii="仿宋" w:hAnsi="仿宋" w:eastAsia="仿宋" w:cs="仿宋"/>
          <w:color w:val="auto"/>
          <w:sz w:val="24"/>
          <w:highlight w:val="none"/>
        </w:rPr>
        <w:t xml:space="preserve">7.1   </w:t>
      </w:r>
      <w:bookmarkEnd w:id="204"/>
      <w:bookmarkEnd w:id="205"/>
      <w:bookmarkEnd w:id="206"/>
      <w:bookmarkStart w:id="207" w:name="_Hlt497729436"/>
      <w:bookmarkEnd w:id="207"/>
      <w:bookmarkStart w:id="208" w:name="_Hlt491765710"/>
      <w:bookmarkEnd w:id="208"/>
      <w:r>
        <w:rPr>
          <w:rFonts w:hint="eastAsia" w:ascii="仿宋" w:hAnsi="仿宋" w:eastAsia="仿宋" w:cs="仿宋"/>
          <w:color w:val="auto"/>
          <w:sz w:val="24"/>
          <w:highlight w:val="none"/>
        </w:rPr>
        <w:t xml:space="preserve"> 在首次响应文件递交截止时间前，采购人或采购代理机构可主动地或在解答供应商提出的澄清问题时对谈判文件进行必要的澄清或修改，澄清或修改的内容为谈判文件的组成部分。</w:t>
      </w:r>
    </w:p>
    <w:p w14:paraId="26B30B14">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7.2    谈判文件的修改将以书面形式通知所有获取谈判文件的供应商，并对其具有约束力。供应商在收到上述通知后，应立即向采购人回函确认。</w:t>
      </w:r>
    </w:p>
    <w:p w14:paraId="4BA26210">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7.3    澄清或修改的内容可能影响响应文件编制的，采购人或采购代理机构可适当延长首次响应文件递交截止时间，并以书面形式通知所有获取谈判文件的供应商。</w:t>
      </w:r>
    </w:p>
    <w:p w14:paraId="1CB46B2F">
      <w:pPr>
        <w:tabs>
          <w:tab w:val="left" w:pos="588"/>
        </w:tabs>
        <w:spacing w:line="360" w:lineRule="auto"/>
        <w:ind w:left="840" w:hanging="840" w:hangingChars="350"/>
        <w:rPr>
          <w:rFonts w:hint="eastAsia" w:ascii="仿宋" w:hAnsi="仿宋" w:eastAsia="仿宋" w:cs="仿宋"/>
          <w:color w:val="auto"/>
          <w:sz w:val="24"/>
          <w:highlight w:val="none"/>
        </w:rPr>
      </w:pPr>
    </w:p>
    <w:p w14:paraId="042949B9">
      <w:pPr>
        <w:pStyle w:val="2"/>
        <w:keepNext/>
        <w:keepLines/>
        <w:pageBreakBefore w:val="0"/>
        <w:widowControl w:val="0"/>
        <w:kinsoku/>
        <w:wordWrap/>
        <w:overflowPunct/>
        <w:topLinePunct w:val="0"/>
        <w:autoSpaceDE/>
        <w:autoSpaceDN/>
        <w:bidi w:val="0"/>
        <w:adjustRightInd w:val="0"/>
        <w:snapToGrid/>
        <w:spacing w:before="20" w:after="20" w:line="400" w:lineRule="exact"/>
        <w:jc w:val="center"/>
        <w:textAlignment w:val="baseline"/>
        <w:rPr>
          <w:rFonts w:hint="eastAsia" w:ascii="仿宋" w:hAnsi="仿宋" w:eastAsia="仿宋" w:cs="仿宋"/>
          <w:color w:val="auto"/>
          <w:sz w:val="28"/>
          <w:szCs w:val="28"/>
          <w:highlight w:val="none"/>
        </w:rPr>
      </w:pPr>
      <w:bookmarkStart w:id="209" w:name="_Toc232176275"/>
      <w:bookmarkStart w:id="210" w:name="_Toc249515400"/>
      <w:bookmarkStart w:id="211" w:name="_Toc230583544"/>
      <w:bookmarkStart w:id="212" w:name="_Toc256342146"/>
      <w:bookmarkStart w:id="213" w:name="_Toc177817337"/>
      <w:bookmarkStart w:id="214" w:name="_Toc230099800"/>
      <w:bookmarkStart w:id="215" w:name="_Toc249525169"/>
      <w:bookmarkStart w:id="216" w:name="_Toc249515288"/>
      <w:bookmarkStart w:id="217" w:name="_Toc177995476"/>
      <w:bookmarkStart w:id="218" w:name="_Toc24088"/>
      <w:bookmarkStart w:id="219" w:name="_Toc232395215"/>
      <w:bookmarkStart w:id="220" w:name="_Toc176882545"/>
      <w:bookmarkStart w:id="221" w:name="_Toc184043022"/>
      <w:bookmarkStart w:id="222" w:name="_Toc177189238"/>
      <w:bookmarkStart w:id="223" w:name="_Toc230013635"/>
      <w:r>
        <w:rPr>
          <w:rFonts w:hint="eastAsia" w:ascii="仿宋" w:hAnsi="仿宋" w:eastAsia="仿宋" w:cs="仿宋"/>
          <w:color w:val="auto"/>
          <w:sz w:val="28"/>
          <w:szCs w:val="28"/>
          <w:highlight w:val="none"/>
        </w:rPr>
        <w:t>三、</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的编写</w:t>
      </w:r>
      <w:bookmarkEnd w:id="184"/>
      <w:bookmarkEnd w:id="185"/>
      <w:bookmarkEnd w:id="186"/>
      <w:bookmarkEnd w:id="187"/>
      <w:bookmarkEnd w:id="188"/>
      <w:bookmarkEnd w:id="189"/>
      <w:bookmarkEnd w:id="190"/>
      <w:bookmarkEnd w:id="191"/>
      <w:bookmarkEnd w:id="192"/>
      <w:bookmarkEnd w:id="193"/>
      <w:bookmarkEnd w:id="194"/>
      <w:bookmarkEnd w:id="195"/>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A22931A">
      <w:pPr>
        <w:pStyle w:val="4"/>
        <w:tabs>
          <w:tab w:val="left" w:pos="360"/>
        </w:tabs>
        <w:rPr>
          <w:rFonts w:hint="eastAsia" w:ascii="仿宋" w:hAnsi="仿宋" w:eastAsia="仿宋" w:cs="仿宋"/>
          <w:b/>
          <w:color w:val="auto"/>
          <w:sz w:val="24"/>
          <w:szCs w:val="21"/>
          <w:highlight w:val="none"/>
        </w:rPr>
      </w:pPr>
      <w:bookmarkStart w:id="224" w:name="_Toc249525170"/>
      <w:bookmarkStart w:id="225" w:name="_Toc249515401"/>
      <w:bookmarkStart w:id="226" w:name="_Toc30150"/>
      <w:bookmarkStart w:id="227" w:name="_Toc70687150"/>
      <w:bookmarkStart w:id="228" w:name="_Toc184043023"/>
      <w:bookmarkStart w:id="229" w:name="_Toc249515289"/>
      <w:bookmarkStart w:id="230" w:name="_Toc389620176"/>
      <w:bookmarkStart w:id="231" w:name="_Toc385992337"/>
      <w:bookmarkStart w:id="232" w:name="_Toc26688"/>
      <w:r>
        <w:rPr>
          <w:rFonts w:hint="eastAsia" w:ascii="仿宋" w:hAnsi="仿宋" w:eastAsia="仿宋" w:cs="仿宋"/>
          <w:b/>
          <w:color w:val="auto"/>
          <w:sz w:val="24"/>
          <w:szCs w:val="21"/>
          <w:highlight w:val="none"/>
        </w:rPr>
        <w:t>8.     响应文件语言</w:t>
      </w:r>
      <w:bookmarkEnd w:id="224"/>
      <w:bookmarkEnd w:id="225"/>
      <w:bookmarkEnd w:id="226"/>
      <w:bookmarkEnd w:id="227"/>
      <w:bookmarkEnd w:id="228"/>
      <w:bookmarkEnd w:id="229"/>
    </w:p>
    <w:p w14:paraId="71C2E09B">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8.1    响应文件及与响应相关的所有文件均应以中文书写。</w:t>
      </w:r>
    </w:p>
    <w:p w14:paraId="1566FF7C">
      <w:pPr>
        <w:pStyle w:val="4"/>
        <w:tabs>
          <w:tab w:val="left" w:pos="360"/>
        </w:tabs>
        <w:rPr>
          <w:rFonts w:hint="eastAsia" w:ascii="仿宋" w:hAnsi="仿宋" w:eastAsia="仿宋" w:cs="仿宋"/>
          <w:b/>
          <w:color w:val="auto"/>
          <w:sz w:val="24"/>
          <w:szCs w:val="21"/>
          <w:highlight w:val="none"/>
        </w:rPr>
      </w:pPr>
      <w:bookmarkStart w:id="233" w:name="_Toc184043024"/>
      <w:bookmarkStart w:id="234" w:name="_Toc249525171"/>
      <w:bookmarkStart w:id="235" w:name="_Toc18327"/>
      <w:bookmarkStart w:id="236" w:name="_Toc249515402"/>
      <w:bookmarkStart w:id="237" w:name="_Toc70687151"/>
      <w:bookmarkStart w:id="238" w:name="_Toc249515290"/>
      <w:r>
        <w:rPr>
          <w:rFonts w:hint="eastAsia" w:ascii="仿宋" w:hAnsi="仿宋" w:eastAsia="仿宋" w:cs="仿宋"/>
          <w:b/>
          <w:color w:val="auto"/>
          <w:sz w:val="24"/>
          <w:szCs w:val="21"/>
          <w:highlight w:val="none"/>
        </w:rPr>
        <w:t>9.     计量单位</w:t>
      </w:r>
      <w:bookmarkEnd w:id="230"/>
      <w:bookmarkEnd w:id="231"/>
      <w:bookmarkEnd w:id="233"/>
      <w:bookmarkEnd w:id="234"/>
      <w:bookmarkEnd w:id="235"/>
      <w:bookmarkEnd w:id="236"/>
      <w:bookmarkEnd w:id="237"/>
      <w:bookmarkEnd w:id="238"/>
    </w:p>
    <w:p w14:paraId="5324B948">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9.1    除在谈判文件的技术规格中另有规定外，计量单位应使用中华人民共和国法定计量单位。</w:t>
      </w:r>
    </w:p>
    <w:p w14:paraId="19437A80">
      <w:pPr>
        <w:pStyle w:val="4"/>
        <w:tabs>
          <w:tab w:val="left" w:pos="360"/>
        </w:tabs>
        <w:rPr>
          <w:rFonts w:hint="eastAsia" w:ascii="仿宋" w:hAnsi="仿宋" w:eastAsia="仿宋" w:cs="仿宋"/>
          <w:b/>
          <w:color w:val="auto"/>
          <w:sz w:val="24"/>
          <w:szCs w:val="21"/>
          <w:highlight w:val="none"/>
        </w:rPr>
      </w:pPr>
      <w:bookmarkStart w:id="239" w:name="_Toc389620177"/>
      <w:bookmarkStart w:id="240" w:name="_Toc249515403"/>
      <w:bookmarkStart w:id="241" w:name="_Toc249515291"/>
      <w:bookmarkStart w:id="242" w:name="_Toc249525172"/>
      <w:bookmarkStart w:id="243" w:name="_Toc70687152"/>
      <w:bookmarkStart w:id="244" w:name="_Toc184043025"/>
      <w:bookmarkStart w:id="245" w:name="_Toc29318"/>
      <w:bookmarkStart w:id="246" w:name="_Toc385992338"/>
      <w:r>
        <w:rPr>
          <w:rFonts w:hint="eastAsia" w:ascii="仿宋" w:hAnsi="仿宋" w:eastAsia="仿宋" w:cs="仿宋"/>
          <w:b/>
          <w:color w:val="auto"/>
          <w:sz w:val="24"/>
          <w:szCs w:val="21"/>
          <w:highlight w:val="none"/>
        </w:rPr>
        <w:t>10.    响应文件的组成</w:t>
      </w:r>
      <w:bookmarkEnd w:id="239"/>
      <w:bookmarkEnd w:id="240"/>
      <w:bookmarkEnd w:id="241"/>
      <w:bookmarkEnd w:id="242"/>
      <w:bookmarkEnd w:id="243"/>
      <w:bookmarkEnd w:id="244"/>
      <w:bookmarkEnd w:id="245"/>
      <w:bookmarkEnd w:id="246"/>
    </w:p>
    <w:p w14:paraId="34E9C27D">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10.1   供应商编写的响应文件</w:t>
      </w:r>
      <w:r>
        <w:rPr>
          <w:rFonts w:hint="eastAsia" w:ascii="仿宋" w:hAnsi="仿宋" w:eastAsia="仿宋" w:cs="仿宋"/>
          <w:b/>
          <w:color w:val="auto"/>
          <w:sz w:val="24"/>
          <w:highlight w:val="none"/>
        </w:rPr>
        <w:t>由《资格证明文件》、《商务及技术文件》两部分</w:t>
      </w:r>
      <w:r>
        <w:rPr>
          <w:rFonts w:hint="eastAsia" w:ascii="仿宋" w:hAnsi="仿宋" w:eastAsia="仿宋" w:cs="仿宋"/>
          <w:color w:val="auto"/>
          <w:sz w:val="24"/>
          <w:highlight w:val="none"/>
        </w:rPr>
        <w:t>组成。供应商应完整地按照谈判文件提供的响应文件格式及要求编写响应文件。响应文件中资格审查和符合性审查涉及的事项不满足要求的，其响应文件将被认定为无效。</w:t>
      </w:r>
    </w:p>
    <w:p w14:paraId="6A4A5210">
      <w:pPr>
        <w:tabs>
          <w:tab w:val="left" w:pos="360"/>
          <w:tab w:val="left" w:pos="502"/>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10.2    供应商编写的响应文件由以下五部分组成，应包括但不限于以下内容：</w:t>
      </w:r>
    </w:p>
    <w:p w14:paraId="14D02E30">
      <w:pPr>
        <w:pStyle w:val="23"/>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第一部分  谈判响应函</w:t>
      </w:r>
    </w:p>
    <w:p w14:paraId="1E8B341B">
      <w:pPr>
        <w:pStyle w:val="23"/>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第二部分  谈判响应报价表 </w:t>
      </w:r>
    </w:p>
    <w:p w14:paraId="576513A1">
      <w:pPr>
        <w:pStyle w:val="23"/>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第三部分  偏离表</w:t>
      </w:r>
    </w:p>
    <w:p w14:paraId="3289F05D">
      <w:pPr>
        <w:pStyle w:val="23"/>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第四部分  响应方案说明</w:t>
      </w:r>
    </w:p>
    <w:p w14:paraId="1BEBC0A8">
      <w:pPr>
        <w:pStyle w:val="23"/>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第五部分  授权委托书及法定代表人证明</w:t>
      </w:r>
    </w:p>
    <w:p w14:paraId="6D98364C">
      <w:pPr>
        <w:pStyle w:val="23"/>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第六部分  资格证明文件</w:t>
      </w:r>
    </w:p>
    <w:p w14:paraId="3478D1CD">
      <w:pPr>
        <w:pStyle w:val="23"/>
        <w:ind w:left="838" w:leftChars="399"/>
        <w:rPr>
          <w:rFonts w:hint="eastAsia" w:ascii="仿宋" w:hAnsi="仿宋" w:eastAsia="仿宋" w:cs="仿宋"/>
          <w:color w:val="auto"/>
          <w:sz w:val="24"/>
          <w:highlight w:val="none"/>
        </w:rPr>
      </w:pPr>
      <w:r>
        <w:rPr>
          <w:rFonts w:hint="eastAsia" w:ascii="仿宋" w:hAnsi="仿宋" w:eastAsia="仿宋" w:cs="仿宋"/>
          <w:color w:val="auto"/>
          <w:sz w:val="24"/>
          <w:highlight w:val="none"/>
        </w:rPr>
        <w:t>第七部分  小微企业、监狱企业、残疾人福利单位声明函或证明</w:t>
      </w:r>
    </w:p>
    <w:p w14:paraId="19A8D713">
      <w:pPr>
        <w:tabs>
          <w:tab w:val="left" w:pos="360"/>
          <w:tab w:val="left" w:pos="502"/>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10.3   供应商提供的以上材料必须真实有效，任何一项的虚假将导致其响应被拒绝。</w:t>
      </w:r>
    </w:p>
    <w:p w14:paraId="4059EBED">
      <w:pPr>
        <w:pStyle w:val="4"/>
        <w:tabs>
          <w:tab w:val="left" w:pos="360"/>
        </w:tabs>
        <w:rPr>
          <w:rFonts w:hint="eastAsia" w:ascii="仿宋" w:hAnsi="仿宋" w:eastAsia="仿宋" w:cs="仿宋"/>
          <w:b/>
          <w:color w:val="auto"/>
          <w:sz w:val="24"/>
          <w:szCs w:val="21"/>
          <w:highlight w:val="none"/>
        </w:rPr>
      </w:pPr>
      <w:bookmarkStart w:id="247" w:name="_Toc184043026"/>
      <w:bookmarkStart w:id="248" w:name="_Toc249515404"/>
      <w:bookmarkStart w:id="249" w:name="_Toc385992339"/>
      <w:bookmarkStart w:id="250" w:name="_Toc26312"/>
      <w:bookmarkStart w:id="251" w:name="_Toc389620178"/>
      <w:bookmarkStart w:id="252" w:name="_Toc249525173"/>
      <w:bookmarkStart w:id="253" w:name="_Toc249515292"/>
      <w:bookmarkStart w:id="254" w:name="_Toc70687153"/>
      <w:r>
        <w:rPr>
          <w:rFonts w:hint="eastAsia" w:ascii="仿宋" w:hAnsi="仿宋" w:eastAsia="仿宋" w:cs="仿宋"/>
          <w:b/>
          <w:color w:val="auto"/>
          <w:sz w:val="24"/>
          <w:highlight w:val="none"/>
        </w:rPr>
        <w:t>11.    响应文件格式</w:t>
      </w:r>
      <w:bookmarkEnd w:id="247"/>
      <w:bookmarkEnd w:id="248"/>
      <w:bookmarkEnd w:id="249"/>
      <w:bookmarkEnd w:id="250"/>
      <w:bookmarkEnd w:id="251"/>
      <w:bookmarkEnd w:id="252"/>
      <w:bookmarkEnd w:id="253"/>
      <w:bookmarkEnd w:id="254"/>
    </w:p>
    <w:p w14:paraId="43C36C60">
      <w:pPr>
        <w:tabs>
          <w:tab w:val="left" w:pos="588"/>
        </w:tabs>
        <w:spacing w:line="360" w:lineRule="auto"/>
        <w:ind w:left="84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11.1   对于谈判文件第五章中已经提供了格式的响应文件内容，供应商必须按提供的响应文件格式进行填写和编制，没有提供格式的可自行设计。</w:t>
      </w:r>
    </w:p>
    <w:p w14:paraId="1898CA39">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12.    响应报价</w:t>
      </w:r>
      <w:bookmarkEnd w:id="232"/>
    </w:p>
    <w:p w14:paraId="66C46A16">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bookmarkStart w:id="255" w:name="_Toc389620180"/>
      <w:bookmarkStart w:id="256" w:name="_Toc70687155"/>
      <w:bookmarkStart w:id="257" w:name="_Toc249525175"/>
      <w:bookmarkStart w:id="258" w:name="_Toc20687"/>
      <w:bookmarkStart w:id="259" w:name="_Toc385992341"/>
      <w:bookmarkStart w:id="260" w:name="_Toc249515294"/>
      <w:bookmarkStart w:id="261" w:name="_Toc184043028"/>
      <w:bookmarkStart w:id="262" w:name="_Toc249515406"/>
      <w:r>
        <w:rPr>
          <w:rFonts w:hint="eastAsia" w:ascii="仿宋" w:hAnsi="仿宋" w:eastAsia="仿宋" w:cs="仿宋"/>
          <w:color w:val="auto"/>
          <w:kern w:val="24"/>
          <w:sz w:val="24"/>
          <w:szCs w:val="21"/>
          <w:highlight w:val="none"/>
        </w:rPr>
        <w:t>1</w:t>
      </w:r>
      <w:r>
        <w:rPr>
          <w:rFonts w:hint="eastAsia" w:ascii="仿宋" w:hAnsi="仿宋" w:eastAsia="仿宋" w:cs="仿宋"/>
          <w:color w:val="auto"/>
          <w:kern w:val="24"/>
          <w:sz w:val="24"/>
          <w:szCs w:val="21"/>
          <w:highlight w:val="none"/>
          <w:lang w:val="en-US" w:eastAsia="zh-CN"/>
        </w:rPr>
        <w:t>2</w:t>
      </w:r>
      <w:r>
        <w:rPr>
          <w:rFonts w:hint="eastAsia" w:ascii="仿宋" w:hAnsi="仿宋" w:eastAsia="仿宋" w:cs="仿宋"/>
          <w:color w:val="auto"/>
          <w:kern w:val="24"/>
          <w:sz w:val="24"/>
          <w:szCs w:val="21"/>
          <w:highlight w:val="none"/>
        </w:rPr>
        <w:t xml:space="preserve">.1   </w:t>
      </w:r>
      <w:r>
        <w:rPr>
          <w:rFonts w:hint="eastAsia" w:ascii="仿宋" w:hAnsi="仿宋" w:eastAsia="仿宋" w:cs="仿宋"/>
          <w:color w:val="auto"/>
          <w:kern w:val="24"/>
          <w:sz w:val="24"/>
          <w:szCs w:val="21"/>
          <w:highlight w:val="none"/>
          <w:lang w:eastAsia="zh-CN"/>
        </w:rPr>
        <w:t>供应商</w:t>
      </w:r>
      <w:r>
        <w:rPr>
          <w:rFonts w:hint="eastAsia" w:ascii="仿宋" w:hAnsi="仿宋" w:eastAsia="仿宋" w:cs="仿宋"/>
          <w:color w:val="auto"/>
          <w:kern w:val="24"/>
          <w:sz w:val="24"/>
          <w:szCs w:val="21"/>
          <w:highlight w:val="none"/>
        </w:rPr>
        <w:t>的报价应当为完成本项目并达到</w:t>
      </w:r>
      <w:r>
        <w:rPr>
          <w:rFonts w:hint="eastAsia" w:ascii="仿宋" w:hAnsi="仿宋" w:eastAsia="仿宋" w:cs="仿宋"/>
          <w:color w:val="auto"/>
          <w:kern w:val="24"/>
          <w:sz w:val="24"/>
          <w:szCs w:val="21"/>
          <w:highlight w:val="none"/>
          <w:lang w:val="en-US" w:eastAsia="zh-CN"/>
        </w:rPr>
        <w:t>谈判</w:t>
      </w:r>
      <w:r>
        <w:rPr>
          <w:rFonts w:hint="eastAsia" w:ascii="仿宋" w:hAnsi="仿宋" w:eastAsia="仿宋" w:cs="仿宋"/>
          <w:color w:val="auto"/>
          <w:kern w:val="24"/>
          <w:sz w:val="24"/>
          <w:szCs w:val="21"/>
          <w:highlight w:val="none"/>
        </w:rPr>
        <w:t>文件要求所需要的全部费用，包括：产品供货、安装调试、验收、培训售后服务、以及增值税等税费、运杂保险费等）。</w:t>
      </w:r>
    </w:p>
    <w:p w14:paraId="3235EF54">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w:t>
      </w:r>
      <w:r>
        <w:rPr>
          <w:rFonts w:hint="eastAsia" w:ascii="仿宋" w:hAnsi="仿宋" w:eastAsia="仿宋" w:cs="仿宋"/>
          <w:color w:val="auto"/>
          <w:kern w:val="24"/>
          <w:sz w:val="24"/>
          <w:szCs w:val="21"/>
          <w:highlight w:val="none"/>
          <w:lang w:val="en-US" w:eastAsia="zh-CN"/>
        </w:rPr>
        <w:t>2</w:t>
      </w:r>
      <w:r>
        <w:rPr>
          <w:rFonts w:hint="eastAsia" w:ascii="仿宋" w:hAnsi="仿宋" w:eastAsia="仿宋" w:cs="仿宋"/>
          <w:color w:val="auto"/>
          <w:kern w:val="24"/>
          <w:sz w:val="24"/>
          <w:szCs w:val="21"/>
          <w:highlight w:val="none"/>
        </w:rPr>
        <w:t>.2   采购人不接受具有附加条件的报价或多个方案的报价。</w:t>
      </w:r>
    </w:p>
    <w:p w14:paraId="5454269E">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w:t>
      </w:r>
      <w:r>
        <w:rPr>
          <w:rFonts w:hint="eastAsia" w:ascii="仿宋" w:hAnsi="仿宋" w:eastAsia="仿宋" w:cs="仿宋"/>
          <w:color w:val="auto"/>
          <w:kern w:val="24"/>
          <w:sz w:val="24"/>
          <w:szCs w:val="21"/>
          <w:highlight w:val="none"/>
          <w:lang w:val="en-US" w:eastAsia="zh-CN"/>
        </w:rPr>
        <w:t>2</w:t>
      </w:r>
      <w:r>
        <w:rPr>
          <w:rFonts w:hint="eastAsia" w:ascii="仿宋" w:hAnsi="仿宋" w:eastAsia="仿宋" w:cs="仿宋"/>
          <w:color w:val="auto"/>
          <w:kern w:val="24"/>
          <w:sz w:val="24"/>
          <w:szCs w:val="21"/>
          <w:highlight w:val="none"/>
        </w:rPr>
        <w:t>.</w:t>
      </w:r>
      <w:r>
        <w:rPr>
          <w:rFonts w:hint="eastAsia" w:ascii="仿宋" w:hAnsi="仿宋" w:eastAsia="仿宋" w:cs="仿宋"/>
          <w:color w:val="auto"/>
          <w:kern w:val="24"/>
          <w:sz w:val="24"/>
          <w:szCs w:val="21"/>
          <w:highlight w:val="none"/>
          <w:lang w:val="en-US" w:eastAsia="zh-CN"/>
        </w:rPr>
        <w:t>3</w:t>
      </w:r>
      <w:r>
        <w:rPr>
          <w:rFonts w:hint="eastAsia" w:ascii="仿宋" w:hAnsi="仿宋" w:eastAsia="仿宋" w:cs="仿宋"/>
          <w:color w:val="auto"/>
          <w:kern w:val="24"/>
          <w:sz w:val="24"/>
          <w:szCs w:val="21"/>
          <w:highlight w:val="none"/>
        </w:rPr>
        <w:t xml:space="preserve">   </w:t>
      </w:r>
      <w:r>
        <w:rPr>
          <w:rFonts w:hint="eastAsia" w:ascii="仿宋" w:hAnsi="仿宋" w:eastAsia="仿宋" w:cs="仿宋"/>
          <w:color w:val="auto"/>
          <w:kern w:val="24"/>
          <w:sz w:val="24"/>
          <w:szCs w:val="21"/>
          <w:highlight w:val="none"/>
          <w:lang w:eastAsia="zh-CN"/>
        </w:rPr>
        <w:t>供应商</w:t>
      </w:r>
      <w:r>
        <w:rPr>
          <w:rFonts w:hint="eastAsia" w:ascii="仿宋" w:hAnsi="仿宋" w:eastAsia="仿宋" w:cs="仿宋"/>
          <w:color w:val="auto"/>
          <w:kern w:val="24"/>
          <w:sz w:val="24"/>
          <w:szCs w:val="21"/>
          <w:highlight w:val="none"/>
        </w:rPr>
        <w:t>所报的投标报价在合同履行过程中是固定不变的，不得以任何理由予以变更。任何包含价格调整要求的投标，将被认定为投标无效。</w:t>
      </w:r>
    </w:p>
    <w:p w14:paraId="3EDEA5C8">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13.    报价货币</w:t>
      </w:r>
      <w:bookmarkEnd w:id="255"/>
      <w:bookmarkEnd w:id="256"/>
      <w:bookmarkEnd w:id="257"/>
      <w:bookmarkEnd w:id="258"/>
      <w:bookmarkEnd w:id="259"/>
      <w:bookmarkEnd w:id="260"/>
      <w:bookmarkEnd w:id="261"/>
      <w:bookmarkEnd w:id="262"/>
    </w:p>
    <w:p w14:paraId="4510C040">
      <w:pPr>
        <w:keepNext w:val="0"/>
        <w:keepLines w:val="0"/>
        <w:pageBreakBefore w:val="0"/>
        <w:tabs>
          <w:tab w:val="left" w:pos="180"/>
          <w:tab w:val="left" w:pos="540"/>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13.1   谈判响应函、响应报价一览表、最后报价表等所有报价为完成本项目并达到</w:t>
      </w:r>
      <w:r>
        <w:rPr>
          <w:rFonts w:hint="eastAsia" w:ascii="仿宋" w:hAnsi="仿宋" w:eastAsia="仿宋" w:cs="仿宋"/>
          <w:color w:val="auto"/>
          <w:kern w:val="24"/>
          <w:sz w:val="24"/>
          <w:szCs w:val="21"/>
          <w:highlight w:val="none"/>
          <w:lang w:val="en-US" w:eastAsia="zh-CN"/>
        </w:rPr>
        <w:t>谈判</w:t>
      </w:r>
      <w:r>
        <w:rPr>
          <w:rFonts w:hint="eastAsia" w:ascii="仿宋" w:hAnsi="仿宋" w:eastAsia="仿宋" w:cs="仿宋"/>
          <w:color w:val="auto"/>
          <w:kern w:val="24"/>
          <w:sz w:val="24"/>
          <w:szCs w:val="21"/>
          <w:highlight w:val="none"/>
        </w:rPr>
        <w:t>文件要求所需要的全部费用。采购人不接受任何</w:t>
      </w:r>
      <w:r>
        <w:rPr>
          <w:rFonts w:hint="eastAsia" w:ascii="仿宋" w:hAnsi="仿宋" w:eastAsia="仿宋" w:cs="仿宋"/>
          <w:color w:val="auto"/>
          <w:kern w:val="24"/>
          <w:sz w:val="24"/>
          <w:szCs w:val="21"/>
          <w:highlight w:val="none"/>
          <w:lang w:val="en-US" w:eastAsia="zh-CN"/>
        </w:rPr>
        <w:t>其他形式</w:t>
      </w:r>
      <w:r>
        <w:rPr>
          <w:rFonts w:hint="eastAsia" w:ascii="仿宋" w:hAnsi="仿宋" w:eastAsia="仿宋" w:cs="仿宋"/>
          <w:color w:val="auto"/>
          <w:kern w:val="24"/>
          <w:sz w:val="24"/>
          <w:szCs w:val="21"/>
          <w:highlight w:val="none"/>
        </w:rPr>
        <w:t>的报价。</w:t>
      </w:r>
      <w:bookmarkStart w:id="263" w:name="_Toc389620181"/>
      <w:bookmarkStart w:id="264" w:name="_Toc385992342"/>
    </w:p>
    <w:bookmarkEnd w:id="263"/>
    <w:bookmarkEnd w:id="264"/>
    <w:p w14:paraId="412C658F">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265" w:name="止观"/>
      <w:bookmarkEnd w:id="265"/>
      <w:r>
        <w:rPr>
          <w:rFonts w:hint="eastAsia" w:ascii="仿宋" w:hAnsi="仿宋" w:eastAsia="仿宋" w:cs="仿宋"/>
          <w:b/>
          <w:color w:val="auto"/>
          <w:sz w:val="24"/>
          <w:szCs w:val="21"/>
          <w:highlight w:val="none"/>
        </w:rPr>
        <w:t>14.    谈判保证金</w:t>
      </w:r>
    </w:p>
    <w:p w14:paraId="5C3CEBDA">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sz w:val="24"/>
          <w:szCs w:val="21"/>
          <w:highlight w:val="none"/>
        </w:rPr>
        <w:t>14.1   本项目须在谈判前向采购代理机构提供</w:t>
      </w:r>
      <w:r>
        <w:rPr>
          <w:rFonts w:hint="eastAsia" w:ascii="仿宋" w:hAnsi="仿宋" w:eastAsia="仿宋" w:cs="仿宋"/>
          <w:b/>
          <w:color w:val="auto"/>
          <w:sz w:val="24"/>
          <w:szCs w:val="21"/>
          <w:highlight w:val="none"/>
        </w:rPr>
        <w:t>供应商须知前附表</w:t>
      </w:r>
      <w:r>
        <w:rPr>
          <w:rFonts w:hint="eastAsia" w:ascii="仿宋" w:hAnsi="仿宋" w:eastAsia="仿宋" w:cs="仿宋"/>
          <w:color w:val="auto"/>
          <w:sz w:val="24"/>
          <w:szCs w:val="21"/>
          <w:highlight w:val="none"/>
        </w:rPr>
        <w:t>规定金额的保证金，并作为其</w:t>
      </w:r>
      <w:r>
        <w:rPr>
          <w:rFonts w:hint="eastAsia" w:ascii="仿宋" w:hAnsi="仿宋" w:eastAsia="仿宋" w:cs="仿宋"/>
          <w:color w:val="auto"/>
          <w:sz w:val="24"/>
          <w:szCs w:val="21"/>
          <w:highlight w:val="none"/>
          <w:lang w:eastAsia="zh-CN"/>
        </w:rPr>
        <w:t>响应文件</w:t>
      </w:r>
      <w:r>
        <w:rPr>
          <w:rFonts w:hint="eastAsia" w:ascii="仿宋" w:hAnsi="仿宋" w:eastAsia="仿宋" w:cs="仿宋"/>
          <w:color w:val="auto"/>
          <w:sz w:val="24"/>
          <w:szCs w:val="21"/>
          <w:highlight w:val="none"/>
        </w:rPr>
        <w:t>的一部分。</w:t>
      </w:r>
    </w:p>
    <w:p w14:paraId="3071BC38">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14.2   保证金的货币为人民币，并采用下列任何一种非现金形式递交：</w:t>
      </w:r>
    </w:p>
    <w:p w14:paraId="29C867FD">
      <w:pPr>
        <w:pStyle w:val="23"/>
        <w:keepNext w:val="0"/>
        <w:keepLines w:val="0"/>
        <w:pageBreakBefore w:val="0"/>
        <w:kinsoku/>
        <w:wordWrap/>
        <w:overflowPunct/>
        <w:topLinePunct w:val="0"/>
        <w:bidi w:val="0"/>
        <w:adjustRightInd w:val="0"/>
        <w:snapToGrid w:val="0"/>
        <w:spacing w:line="460" w:lineRule="exact"/>
        <w:ind w:left="0" w:leftChars="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电汇；</w:t>
      </w:r>
    </w:p>
    <w:p w14:paraId="5EA2DCDB">
      <w:pPr>
        <w:pStyle w:val="23"/>
        <w:keepNext w:val="0"/>
        <w:keepLines w:val="0"/>
        <w:pageBreakBefore w:val="0"/>
        <w:kinsoku/>
        <w:wordWrap/>
        <w:overflowPunct/>
        <w:topLinePunct w:val="0"/>
        <w:bidi w:val="0"/>
        <w:adjustRightInd w:val="0"/>
        <w:snapToGrid w:val="0"/>
        <w:spacing w:line="460" w:lineRule="exact"/>
        <w:ind w:left="0" w:leftChars="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银行转账；</w:t>
      </w:r>
    </w:p>
    <w:p w14:paraId="6F0A41C8">
      <w:pPr>
        <w:pStyle w:val="23"/>
        <w:keepNext w:val="0"/>
        <w:keepLines w:val="0"/>
        <w:pageBreakBefore w:val="0"/>
        <w:kinsoku/>
        <w:wordWrap/>
        <w:overflowPunct/>
        <w:topLinePunct w:val="0"/>
        <w:bidi w:val="0"/>
        <w:adjustRightInd w:val="0"/>
        <w:snapToGrid w:val="0"/>
        <w:spacing w:line="460" w:lineRule="exact"/>
        <w:ind w:left="0" w:leftChars="0"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支票、汇票、本票、金融机构或担保机构出具的保函等非现金形式。</w:t>
      </w:r>
    </w:p>
    <w:p w14:paraId="1DB99921">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14.3   保证金以保函形式交纳的，供应商须按谈判文件附件1格式和内容开具保函，并将保函原件附在谈判</w:t>
      </w:r>
      <w:r>
        <w:rPr>
          <w:rFonts w:hint="eastAsia" w:ascii="仿宋" w:hAnsi="仿宋" w:eastAsia="仿宋" w:cs="仿宋"/>
          <w:color w:val="auto"/>
          <w:kern w:val="24"/>
          <w:sz w:val="24"/>
          <w:szCs w:val="21"/>
          <w:highlight w:val="none"/>
          <w:lang w:eastAsia="zh-CN"/>
        </w:rPr>
        <w:t>响应文件</w:t>
      </w:r>
      <w:r>
        <w:rPr>
          <w:rFonts w:hint="eastAsia" w:ascii="仿宋" w:hAnsi="仿宋" w:eastAsia="仿宋" w:cs="仿宋"/>
          <w:color w:val="auto"/>
          <w:kern w:val="24"/>
          <w:sz w:val="24"/>
          <w:szCs w:val="21"/>
          <w:highlight w:val="none"/>
        </w:rPr>
        <w:t>中或随谈判</w:t>
      </w:r>
      <w:r>
        <w:rPr>
          <w:rFonts w:hint="eastAsia" w:ascii="仿宋" w:hAnsi="仿宋" w:eastAsia="仿宋" w:cs="仿宋"/>
          <w:color w:val="auto"/>
          <w:kern w:val="24"/>
          <w:sz w:val="24"/>
          <w:szCs w:val="21"/>
          <w:highlight w:val="none"/>
          <w:lang w:eastAsia="zh-CN"/>
        </w:rPr>
        <w:t>响应文件</w:t>
      </w:r>
      <w:r>
        <w:rPr>
          <w:rFonts w:hint="eastAsia" w:ascii="仿宋" w:hAnsi="仿宋" w:eastAsia="仿宋" w:cs="仿宋"/>
          <w:color w:val="auto"/>
          <w:kern w:val="24"/>
          <w:sz w:val="24"/>
          <w:szCs w:val="21"/>
          <w:highlight w:val="none"/>
        </w:rPr>
        <w:t>同时递交，否则视为无效文件。联合体参加谈判的，可以由联合体中的一方或者共同提交保证金，以一方提交保证金的，对联合体各方均具有约束力。</w:t>
      </w:r>
    </w:p>
    <w:p w14:paraId="5F97D115">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14.4   凡没有根据本须知第14.1条的规定随附保证金的</w:t>
      </w:r>
      <w:r>
        <w:rPr>
          <w:rFonts w:hint="eastAsia" w:ascii="仿宋" w:hAnsi="仿宋" w:eastAsia="仿宋" w:cs="仿宋"/>
          <w:color w:val="auto"/>
          <w:kern w:val="24"/>
          <w:sz w:val="24"/>
          <w:szCs w:val="21"/>
          <w:highlight w:val="none"/>
          <w:lang w:eastAsia="zh-CN"/>
        </w:rPr>
        <w:t>响应文件</w:t>
      </w:r>
      <w:r>
        <w:rPr>
          <w:rFonts w:hint="eastAsia" w:ascii="仿宋" w:hAnsi="仿宋" w:eastAsia="仿宋" w:cs="仿宋"/>
          <w:color w:val="auto"/>
          <w:kern w:val="24"/>
          <w:sz w:val="24"/>
          <w:szCs w:val="21"/>
          <w:highlight w:val="none"/>
        </w:rPr>
        <w:t>，将被视为非响应予以拒绝。</w:t>
      </w:r>
    </w:p>
    <w:p w14:paraId="28EBD6D2">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14.5   未成交供应商的保证金</w:t>
      </w:r>
      <w:r>
        <w:rPr>
          <w:rFonts w:hint="eastAsia" w:ascii="仿宋" w:hAnsi="仿宋" w:eastAsia="仿宋" w:cs="仿宋"/>
          <w:color w:val="auto"/>
          <w:kern w:val="24"/>
          <w:sz w:val="24"/>
          <w:szCs w:val="21"/>
          <w:highlight w:val="none"/>
          <w:lang w:eastAsia="zh-CN"/>
        </w:rPr>
        <w:t>，</w:t>
      </w:r>
      <w:r>
        <w:rPr>
          <w:rFonts w:hint="eastAsia" w:ascii="仿宋" w:hAnsi="仿宋" w:eastAsia="仿宋" w:cs="仿宋"/>
          <w:color w:val="auto"/>
          <w:kern w:val="24"/>
          <w:sz w:val="24"/>
          <w:szCs w:val="21"/>
          <w:highlight w:val="none"/>
        </w:rPr>
        <w:t xml:space="preserve"> 采购代理机构将在成交通知书发出后5个工作日内退还。</w:t>
      </w:r>
    </w:p>
    <w:p w14:paraId="79B0D8B2">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14.6   成交供应商的保证金在按本须知第26条规定签订合同后5个工作日退还。</w:t>
      </w:r>
    </w:p>
    <w:p w14:paraId="4ADB521D">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14.7   成交供应商有下列情形之一的，采购代理机构不予退还其交纳的保证金，并在项目财政主管部门备案；情节严重的，由财政部门将其列入不良行为纪录名单予以通报，在一至三年内禁止参加政府采购活动：</w:t>
      </w:r>
    </w:p>
    <w:p w14:paraId="2191AEC1">
      <w:pPr>
        <w:keepNext w:val="0"/>
        <w:keepLines w:val="0"/>
        <w:pageBreakBefore w:val="0"/>
        <w:widowControl w:val="0"/>
        <w:numPr>
          <w:ilvl w:val="0"/>
          <w:numId w:val="6"/>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供应商在提交</w:t>
      </w:r>
      <w:r>
        <w:rPr>
          <w:rFonts w:hint="eastAsia" w:ascii="仿宋" w:hAnsi="仿宋" w:eastAsia="仿宋" w:cs="仿宋"/>
          <w:color w:val="auto"/>
          <w:kern w:val="24"/>
          <w:sz w:val="24"/>
          <w:szCs w:val="21"/>
          <w:highlight w:val="none"/>
          <w:lang w:eastAsia="zh-CN"/>
        </w:rPr>
        <w:t>响应文件</w:t>
      </w:r>
      <w:r>
        <w:rPr>
          <w:rFonts w:hint="eastAsia" w:ascii="仿宋" w:hAnsi="仿宋" w:eastAsia="仿宋" w:cs="仿宋"/>
          <w:color w:val="auto"/>
          <w:kern w:val="24"/>
          <w:sz w:val="24"/>
          <w:szCs w:val="21"/>
          <w:highlight w:val="none"/>
        </w:rPr>
        <w:t>截止时间后撤回</w:t>
      </w:r>
      <w:r>
        <w:rPr>
          <w:rFonts w:hint="eastAsia" w:ascii="仿宋" w:hAnsi="仿宋" w:eastAsia="仿宋" w:cs="仿宋"/>
          <w:color w:val="auto"/>
          <w:kern w:val="24"/>
          <w:sz w:val="24"/>
          <w:szCs w:val="21"/>
          <w:highlight w:val="none"/>
          <w:lang w:eastAsia="zh-CN"/>
        </w:rPr>
        <w:t>响应文件</w:t>
      </w:r>
      <w:r>
        <w:rPr>
          <w:rFonts w:hint="eastAsia" w:ascii="仿宋" w:hAnsi="仿宋" w:eastAsia="仿宋" w:cs="仿宋"/>
          <w:color w:val="auto"/>
          <w:kern w:val="24"/>
          <w:sz w:val="24"/>
          <w:szCs w:val="21"/>
          <w:highlight w:val="none"/>
        </w:rPr>
        <w:t>的；</w:t>
      </w:r>
    </w:p>
    <w:p w14:paraId="02880CB0">
      <w:pPr>
        <w:keepNext w:val="0"/>
        <w:keepLines w:val="0"/>
        <w:pageBreakBefore w:val="0"/>
        <w:widowControl w:val="0"/>
        <w:numPr>
          <w:ilvl w:val="0"/>
          <w:numId w:val="6"/>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供应商在</w:t>
      </w:r>
      <w:r>
        <w:rPr>
          <w:rFonts w:hint="eastAsia" w:ascii="仿宋" w:hAnsi="仿宋" w:eastAsia="仿宋" w:cs="仿宋"/>
          <w:color w:val="auto"/>
          <w:kern w:val="24"/>
          <w:sz w:val="24"/>
          <w:szCs w:val="21"/>
          <w:highlight w:val="none"/>
          <w:lang w:eastAsia="zh-CN"/>
        </w:rPr>
        <w:t>响应文件</w:t>
      </w:r>
      <w:r>
        <w:rPr>
          <w:rFonts w:hint="eastAsia" w:ascii="仿宋" w:hAnsi="仿宋" w:eastAsia="仿宋" w:cs="仿宋"/>
          <w:color w:val="auto"/>
          <w:kern w:val="24"/>
          <w:sz w:val="24"/>
          <w:szCs w:val="21"/>
          <w:highlight w:val="none"/>
        </w:rPr>
        <w:t>中提供虚假材料的；</w:t>
      </w:r>
    </w:p>
    <w:p w14:paraId="23EB8A60">
      <w:pPr>
        <w:keepNext w:val="0"/>
        <w:keepLines w:val="0"/>
        <w:pageBreakBefore w:val="0"/>
        <w:widowControl w:val="0"/>
        <w:numPr>
          <w:ilvl w:val="0"/>
          <w:numId w:val="6"/>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 xml:space="preserve">除因不可抗力外，成交供应商在规定期限内未能根据本须知第26条规定签订合同； </w:t>
      </w:r>
    </w:p>
    <w:p w14:paraId="3CD1C9DF">
      <w:pPr>
        <w:keepNext w:val="0"/>
        <w:keepLines w:val="0"/>
        <w:pageBreakBefore w:val="0"/>
        <w:widowControl w:val="0"/>
        <w:numPr>
          <w:ilvl w:val="0"/>
          <w:numId w:val="6"/>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供应商与采购人、其他供应商或者采购代理机构恶意串通的；</w:t>
      </w:r>
    </w:p>
    <w:p w14:paraId="412B660A">
      <w:pPr>
        <w:keepNext w:val="0"/>
        <w:keepLines w:val="0"/>
        <w:pageBreakBefore w:val="0"/>
        <w:widowControl w:val="0"/>
        <w:numPr>
          <w:ilvl w:val="0"/>
          <w:numId w:val="6"/>
        </w:numPr>
        <w:tabs>
          <w:tab w:val="left" w:pos="425"/>
          <w:tab w:val="left" w:pos="588"/>
          <w:tab w:val="clear" w:pos="420"/>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kern w:val="24"/>
          <w:sz w:val="24"/>
          <w:szCs w:val="21"/>
          <w:highlight w:val="none"/>
        </w:rPr>
      </w:pPr>
      <w:r>
        <w:rPr>
          <w:rFonts w:hint="eastAsia" w:ascii="仿宋" w:hAnsi="仿宋" w:eastAsia="仿宋" w:cs="仿宋"/>
          <w:color w:val="auto"/>
          <w:kern w:val="24"/>
          <w:sz w:val="24"/>
          <w:szCs w:val="21"/>
          <w:highlight w:val="none"/>
        </w:rPr>
        <w:t>成交供应商未按本须知第29条规定缴纳服务费。</w:t>
      </w:r>
    </w:p>
    <w:p w14:paraId="3EE29470">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266" w:name="_Toc249525177"/>
      <w:bookmarkStart w:id="267" w:name="_Toc249515408"/>
      <w:bookmarkStart w:id="268" w:name="_Toc7949"/>
      <w:bookmarkStart w:id="269" w:name="_Toc249515296"/>
      <w:r>
        <w:rPr>
          <w:rFonts w:hint="eastAsia" w:ascii="仿宋" w:hAnsi="仿宋" w:eastAsia="仿宋" w:cs="仿宋"/>
          <w:b/>
          <w:color w:val="auto"/>
          <w:sz w:val="24"/>
          <w:szCs w:val="21"/>
          <w:highlight w:val="none"/>
          <w:lang w:val="en-US" w:eastAsia="zh-CN"/>
        </w:rPr>
        <w:t xml:space="preserve">15 </w:t>
      </w:r>
      <w:r>
        <w:rPr>
          <w:rFonts w:hint="eastAsia" w:ascii="仿宋" w:hAnsi="仿宋" w:eastAsia="仿宋" w:cs="仿宋"/>
          <w:b/>
          <w:color w:val="auto"/>
          <w:sz w:val="24"/>
          <w:szCs w:val="21"/>
          <w:highlight w:val="none"/>
        </w:rPr>
        <w:t xml:space="preserve">   谈判有效期</w:t>
      </w:r>
      <w:bookmarkEnd w:id="266"/>
      <w:bookmarkEnd w:id="267"/>
      <w:bookmarkEnd w:id="268"/>
      <w:bookmarkEnd w:id="269"/>
    </w:p>
    <w:p w14:paraId="21E077B7">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15.1   谈判有效期见</w:t>
      </w:r>
      <w:r>
        <w:rPr>
          <w:rFonts w:hint="eastAsia" w:ascii="仿宋" w:hAnsi="仿宋" w:eastAsia="仿宋" w:cs="仿宋"/>
          <w:b/>
          <w:color w:val="auto"/>
          <w:sz w:val="24"/>
          <w:highlight w:val="none"/>
        </w:rPr>
        <w:t>本须知前附表</w:t>
      </w:r>
      <w:r>
        <w:rPr>
          <w:rFonts w:hint="eastAsia" w:ascii="仿宋" w:hAnsi="仿宋" w:eastAsia="仿宋" w:cs="仿宋"/>
          <w:color w:val="auto"/>
          <w:sz w:val="24"/>
          <w:highlight w:val="none"/>
        </w:rPr>
        <w:t>。在谈判有效期内，所有</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均保持有效。</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的有效期比本须知规定的有效期短的，将被视为非实质响应，采购人有权拒绝。</w:t>
      </w:r>
    </w:p>
    <w:p w14:paraId="42CE390C">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15.2   特殊情况下，采购人可于原谈判有效期满之前要求供应商同意延长有效期，要求与答复均应为书面形式。供应商可以拒绝上述要求，其</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保证金不被没收。对于同意该要求的供应商，既不要求也不允许其修改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，但将要求其相应延长投标保证金的有效期，有关退还和没收投标保证金的规定在谈判有效期的延长期内继续有效。</w:t>
      </w:r>
    </w:p>
    <w:p w14:paraId="75C854D2">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270" w:name="_Toc249515409"/>
      <w:bookmarkStart w:id="271" w:name="_Toc385992346"/>
      <w:bookmarkStart w:id="272" w:name="_Toc249515297"/>
      <w:bookmarkStart w:id="273" w:name="_Toc70687160"/>
      <w:bookmarkStart w:id="274" w:name="_Toc16612"/>
      <w:bookmarkStart w:id="275" w:name="_Toc389620185"/>
      <w:bookmarkStart w:id="276" w:name="_Toc184043033"/>
      <w:bookmarkStart w:id="277" w:name="_Toc249525178"/>
      <w:r>
        <w:rPr>
          <w:rFonts w:hint="eastAsia" w:ascii="仿宋" w:hAnsi="仿宋" w:eastAsia="仿宋" w:cs="仿宋"/>
          <w:b/>
          <w:color w:val="auto"/>
          <w:sz w:val="24"/>
          <w:szCs w:val="21"/>
          <w:highlight w:val="none"/>
        </w:rPr>
        <w:t xml:space="preserve">16.    </w:t>
      </w:r>
      <w:r>
        <w:rPr>
          <w:rFonts w:hint="eastAsia" w:ascii="仿宋" w:hAnsi="仿宋" w:eastAsia="仿宋" w:cs="仿宋"/>
          <w:b/>
          <w:color w:val="auto"/>
          <w:sz w:val="24"/>
          <w:szCs w:val="21"/>
          <w:highlight w:val="none"/>
          <w:lang w:eastAsia="zh-CN"/>
        </w:rPr>
        <w:t>响应文件</w:t>
      </w:r>
      <w:r>
        <w:rPr>
          <w:rFonts w:hint="eastAsia" w:ascii="仿宋" w:hAnsi="仿宋" w:eastAsia="仿宋" w:cs="仿宋"/>
          <w:b/>
          <w:color w:val="auto"/>
          <w:sz w:val="24"/>
          <w:szCs w:val="21"/>
          <w:highlight w:val="none"/>
        </w:rPr>
        <w:t>的制作和签署</w:t>
      </w:r>
      <w:bookmarkEnd w:id="270"/>
      <w:bookmarkEnd w:id="271"/>
      <w:bookmarkEnd w:id="272"/>
      <w:bookmarkEnd w:id="273"/>
      <w:bookmarkEnd w:id="274"/>
      <w:bookmarkEnd w:id="275"/>
      <w:bookmarkEnd w:id="276"/>
      <w:bookmarkEnd w:id="277"/>
    </w:p>
    <w:p w14:paraId="22C7A0E3">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16.1   供应商应准备一份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正本和“</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”中规定数目的副本，每套</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须清楚地标明“正本”、“副本”。若正本和副本不符，以正本为准。</w:t>
      </w:r>
    </w:p>
    <w:p w14:paraId="2F240F6A">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16.2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须用中文编写，并采用A4纸张装订成册。装订须牢固，不易拆散和换页，采用软胶装，不得采用活页方式装订，封面不建议硬装。</w:t>
      </w:r>
    </w:p>
    <w:p w14:paraId="69E9A971">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16.3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的正本，一律用不褪色的墨水书写或打印，签字页加盖供应商单位公章，并由供应商的法定代表人或其授权的代理人签署。</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的副本可采用正本的复印件。</w:t>
      </w:r>
    </w:p>
    <w:p w14:paraId="01FAAA13">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16.4   任何行间插字、涂改或增删，必须由</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签字人将姓或首字母在旁边签字才有效。</w:t>
      </w:r>
    </w:p>
    <w:p w14:paraId="1ADAEE61">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16.5   采购人不接受以电报、电话、传真、电子邮件形式递交的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14:paraId="36100402">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的盖章，其效力等同于公章（该特别说明函须同时加盖供应商公章和供应商专用章）。</w:t>
      </w:r>
    </w:p>
    <w:p w14:paraId="75BD9C58">
      <w:pPr>
        <w:keepNext w:val="0"/>
        <w:keepLines w:val="0"/>
        <w:pageBreakBefore w:val="0"/>
        <w:tabs>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16.7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应按照“资格证明文件”和“商务及技术文件”分成两部分，并用不可拆装的方式分别装订成册。</w:t>
      </w:r>
    </w:p>
    <w:p w14:paraId="4C4ECCF8">
      <w:pPr>
        <w:pStyle w:val="23"/>
        <w:rPr>
          <w:rFonts w:hint="eastAsia" w:ascii="仿宋" w:hAnsi="仿宋" w:eastAsia="仿宋" w:cs="仿宋"/>
          <w:color w:val="auto"/>
          <w:highlight w:val="none"/>
        </w:rPr>
      </w:pPr>
    </w:p>
    <w:p w14:paraId="192D85B0">
      <w:pPr>
        <w:pStyle w:val="2"/>
        <w:keepNext/>
        <w:keepLines/>
        <w:pageBreakBefore w:val="0"/>
        <w:widowControl w:val="0"/>
        <w:kinsoku/>
        <w:wordWrap/>
        <w:overflowPunct/>
        <w:topLinePunct w:val="0"/>
        <w:autoSpaceDE/>
        <w:autoSpaceDN/>
        <w:bidi w:val="0"/>
        <w:adjustRightInd w:val="0"/>
        <w:snapToGrid/>
        <w:spacing w:before="20" w:after="20" w:line="400" w:lineRule="exact"/>
        <w:jc w:val="center"/>
        <w:textAlignment w:val="baseline"/>
        <w:rPr>
          <w:rFonts w:hint="eastAsia" w:ascii="仿宋" w:hAnsi="仿宋" w:eastAsia="仿宋" w:cs="仿宋"/>
          <w:color w:val="auto"/>
          <w:sz w:val="28"/>
          <w:szCs w:val="28"/>
          <w:highlight w:val="none"/>
        </w:rPr>
      </w:pPr>
      <w:bookmarkStart w:id="278" w:name="_Hlt491765640"/>
      <w:bookmarkEnd w:id="278"/>
      <w:bookmarkStart w:id="279" w:name="_Toc500747193"/>
      <w:bookmarkStart w:id="280" w:name="_Toc177995477"/>
      <w:bookmarkStart w:id="281" w:name="_Toc499711888"/>
      <w:bookmarkStart w:id="282" w:name="_Toc230099801"/>
      <w:bookmarkStart w:id="283" w:name="_Toc177817338"/>
      <w:bookmarkStart w:id="284" w:name="_Toc385992347"/>
      <w:bookmarkStart w:id="285" w:name="_Toc256342147"/>
      <w:bookmarkStart w:id="286" w:name="_Toc500747066"/>
      <w:bookmarkStart w:id="287" w:name="_Toc500746970"/>
      <w:bookmarkStart w:id="288" w:name="_Toc3554"/>
      <w:bookmarkStart w:id="289" w:name="_Toc177189239"/>
      <w:bookmarkStart w:id="290" w:name="_Toc249515410"/>
      <w:bookmarkStart w:id="291" w:name="_Toc232176276"/>
      <w:bookmarkStart w:id="292" w:name="_Toc499711047"/>
      <w:bookmarkStart w:id="293" w:name="_Toc230583545"/>
      <w:bookmarkStart w:id="294" w:name="_Toc230013636"/>
      <w:bookmarkStart w:id="295" w:name="_Toc184043034"/>
      <w:bookmarkStart w:id="296" w:name="_Toc232395216"/>
      <w:bookmarkStart w:id="297" w:name="_Toc389620186"/>
      <w:bookmarkStart w:id="298" w:name="_Toc492955419"/>
      <w:bookmarkStart w:id="299" w:name="_Toc503063426"/>
      <w:bookmarkStart w:id="300" w:name="_Toc176882546"/>
      <w:bookmarkStart w:id="301" w:name="_Toc70687161"/>
      <w:bookmarkStart w:id="302" w:name="_Toc53722844"/>
      <w:bookmarkStart w:id="303" w:name="_Toc496324583"/>
      <w:bookmarkStart w:id="304" w:name="_Toc249515298"/>
      <w:bookmarkStart w:id="305" w:name="_Toc249525179"/>
      <w:r>
        <w:rPr>
          <w:rFonts w:hint="eastAsia" w:ascii="仿宋" w:hAnsi="仿宋" w:eastAsia="仿宋" w:cs="仿宋"/>
          <w:color w:val="auto"/>
          <w:sz w:val="28"/>
          <w:szCs w:val="28"/>
          <w:highlight w:val="none"/>
        </w:rPr>
        <w:t>四、</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的密封和递交</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2DDD966">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306" w:name="_Toc70687162"/>
      <w:bookmarkStart w:id="307" w:name="_Toc385992348"/>
      <w:bookmarkStart w:id="308" w:name="_Toc389620187"/>
      <w:bookmarkStart w:id="309" w:name="_Toc249515411"/>
      <w:bookmarkStart w:id="310" w:name="_Toc249515299"/>
      <w:bookmarkStart w:id="311" w:name="_Toc4042"/>
      <w:bookmarkStart w:id="312" w:name="_Toc249525180"/>
      <w:bookmarkStart w:id="313" w:name="_Toc184043035"/>
      <w:r>
        <w:rPr>
          <w:rFonts w:hint="eastAsia" w:ascii="仿宋" w:hAnsi="仿宋" w:eastAsia="仿宋" w:cs="仿宋"/>
          <w:b/>
          <w:color w:val="auto"/>
          <w:sz w:val="24"/>
          <w:szCs w:val="21"/>
          <w:highlight w:val="none"/>
        </w:rPr>
        <w:t xml:space="preserve">17.    </w:t>
      </w:r>
      <w:r>
        <w:rPr>
          <w:rFonts w:hint="eastAsia" w:ascii="仿宋" w:hAnsi="仿宋" w:eastAsia="仿宋" w:cs="仿宋"/>
          <w:b/>
          <w:color w:val="auto"/>
          <w:sz w:val="24"/>
          <w:szCs w:val="21"/>
          <w:highlight w:val="none"/>
          <w:lang w:eastAsia="zh-CN"/>
        </w:rPr>
        <w:t>响应文件</w:t>
      </w:r>
      <w:r>
        <w:rPr>
          <w:rFonts w:hint="eastAsia" w:ascii="仿宋" w:hAnsi="仿宋" w:eastAsia="仿宋" w:cs="仿宋"/>
          <w:b/>
          <w:color w:val="auto"/>
          <w:sz w:val="24"/>
          <w:szCs w:val="21"/>
          <w:highlight w:val="none"/>
        </w:rPr>
        <w:t>的密封和标记</w:t>
      </w:r>
      <w:bookmarkEnd w:id="306"/>
      <w:bookmarkEnd w:id="307"/>
      <w:bookmarkEnd w:id="308"/>
      <w:bookmarkEnd w:id="309"/>
      <w:bookmarkEnd w:id="310"/>
      <w:bookmarkEnd w:id="311"/>
      <w:bookmarkEnd w:id="312"/>
      <w:bookmarkEnd w:id="313"/>
    </w:p>
    <w:p w14:paraId="6143123F">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bookmarkStart w:id="314" w:name="_Toc385992349"/>
      <w:bookmarkStart w:id="315" w:name="_Toc70687163"/>
      <w:bookmarkStart w:id="316" w:name="_Toc184043036"/>
      <w:bookmarkStart w:id="317" w:name="_Toc389620188"/>
      <w:r>
        <w:rPr>
          <w:rFonts w:hint="eastAsia" w:ascii="仿宋" w:hAnsi="仿宋" w:eastAsia="仿宋" w:cs="仿宋"/>
          <w:color w:val="auto"/>
          <w:kern w:val="0"/>
          <w:sz w:val="24"/>
          <w:szCs w:val="21"/>
          <w:highlight w:val="none"/>
        </w:rPr>
        <w:t>17.1   电子</w:t>
      </w:r>
      <w:r>
        <w:rPr>
          <w:rFonts w:hint="eastAsia" w:ascii="仿宋" w:hAnsi="仿宋" w:eastAsia="仿宋" w:cs="仿宋"/>
          <w:color w:val="auto"/>
          <w:kern w:val="0"/>
          <w:sz w:val="24"/>
          <w:szCs w:val="21"/>
          <w:highlight w:val="none"/>
          <w:lang w:val="en-US" w:eastAsia="zh-CN"/>
        </w:rPr>
        <w:t>响应文件</w:t>
      </w:r>
      <w:r>
        <w:rPr>
          <w:rFonts w:hint="eastAsia" w:ascii="仿宋" w:hAnsi="仿宋" w:eastAsia="仿宋" w:cs="仿宋"/>
          <w:color w:val="auto"/>
          <w:kern w:val="0"/>
          <w:sz w:val="24"/>
          <w:szCs w:val="21"/>
          <w:highlight w:val="none"/>
        </w:rPr>
        <w:t>可于提交</w:t>
      </w:r>
      <w:r>
        <w:rPr>
          <w:rFonts w:hint="eastAsia" w:ascii="仿宋" w:hAnsi="仿宋" w:eastAsia="仿宋" w:cs="仿宋"/>
          <w:color w:val="auto"/>
          <w:kern w:val="0"/>
          <w:sz w:val="24"/>
          <w:szCs w:val="21"/>
          <w:highlight w:val="none"/>
          <w:lang w:val="en-US" w:eastAsia="zh-CN"/>
        </w:rPr>
        <w:t>响应文件</w:t>
      </w:r>
      <w:r>
        <w:rPr>
          <w:rFonts w:hint="eastAsia" w:ascii="仿宋" w:hAnsi="仿宋" w:eastAsia="仿宋" w:cs="仿宋"/>
          <w:color w:val="auto"/>
          <w:kern w:val="0"/>
          <w:sz w:val="24"/>
          <w:szCs w:val="21"/>
          <w:highlight w:val="none"/>
        </w:rPr>
        <w:t>截止时间前任意时段，登录</w:t>
      </w:r>
      <w:r>
        <w:rPr>
          <w:rFonts w:hint="eastAsia" w:ascii="仿宋" w:hAnsi="仿宋" w:eastAsia="仿宋" w:cs="仿宋"/>
          <w:color w:val="auto"/>
          <w:kern w:val="0"/>
          <w:sz w:val="24"/>
          <w:szCs w:val="21"/>
          <w:highlight w:val="none"/>
          <w:lang w:val="en-US" w:eastAsia="zh-CN"/>
        </w:rPr>
        <w:t>宝鸡市</w:t>
      </w:r>
      <w:r>
        <w:rPr>
          <w:rFonts w:hint="eastAsia" w:ascii="仿宋" w:hAnsi="仿宋" w:eastAsia="仿宋" w:cs="仿宋"/>
          <w:color w:val="auto"/>
          <w:kern w:val="0"/>
          <w:sz w:val="24"/>
          <w:szCs w:val="21"/>
          <w:highlight w:val="none"/>
        </w:rPr>
        <w:t>公共资源交易平台〖首页·〉电子交易平台·〉企业端〗，登录后切换到〖我的项目〗模块下，依次点选〖项目流程·〉项目管理·〉上传</w:t>
      </w:r>
      <w:r>
        <w:rPr>
          <w:rFonts w:hint="eastAsia" w:ascii="仿宋" w:hAnsi="仿宋" w:eastAsia="仿宋" w:cs="仿宋"/>
          <w:color w:val="auto"/>
          <w:kern w:val="0"/>
          <w:sz w:val="24"/>
          <w:szCs w:val="21"/>
          <w:highlight w:val="none"/>
          <w:lang w:eastAsia="zh-CN"/>
        </w:rPr>
        <w:t>响应文件</w:t>
      </w:r>
      <w:r>
        <w:rPr>
          <w:rFonts w:hint="eastAsia" w:ascii="仿宋" w:hAnsi="仿宋" w:eastAsia="仿宋" w:cs="仿宋"/>
          <w:color w:val="auto"/>
          <w:kern w:val="0"/>
          <w:sz w:val="24"/>
          <w:szCs w:val="21"/>
          <w:highlight w:val="none"/>
        </w:rPr>
        <w:t>〗，上传加密后的电子</w:t>
      </w:r>
      <w:r>
        <w:rPr>
          <w:rFonts w:hint="eastAsia" w:ascii="仿宋" w:hAnsi="仿宋" w:eastAsia="仿宋" w:cs="仿宋"/>
          <w:color w:val="auto"/>
          <w:kern w:val="0"/>
          <w:sz w:val="24"/>
          <w:szCs w:val="21"/>
          <w:highlight w:val="none"/>
          <w:lang w:val="en-US" w:eastAsia="zh-CN"/>
        </w:rPr>
        <w:t>响应文件</w:t>
      </w:r>
      <w:r>
        <w:rPr>
          <w:rFonts w:hint="eastAsia" w:ascii="仿宋" w:hAnsi="仿宋" w:eastAsia="仿宋" w:cs="仿宋"/>
          <w:color w:val="auto"/>
          <w:kern w:val="0"/>
          <w:sz w:val="24"/>
          <w:szCs w:val="21"/>
          <w:highlight w:val="none"/>
        </w:rPr>
        <w:t>（*.SXSTF）。上传成功后，</w:t>
      </w:r>
      <w:r>
        <w:rPr>
          <w:rFonts w:hint="eastAsia" w:ascii="仿宋" w:hAnsi="仿宋" w:eastAsia="仿宋" w:cs="仿宋"/>
          <w:color w:val="auto"/>
          <w:kern w:val="0"/>
          <w:sz w:val="24"/>
          <w:szCs w:val="21"/>
          <w:highlight w:val="none"/>
          <w:lang w:eastAsia="zh-CN"/>
        </w:rPr>
        <w:t>宝鸡市</w:t>
      </w:r>
      <w:r>
        <w:rPr>
          <w:rFonts w:hint="eastAsia" w:ascii="仿宋" w:hAnsi="仿宋" w:eastAsia="仿宋" w:cs="仿宋"/>
          <w:color w:val="auto"/>
          <w:kern w:val="0"/>
          <w:sz w:val="24"/>
          <w:szCs w:val="21"/>
          <w:highlight w:val="none"/>
        </w:rPr>
        <w:t>公共资源交易平台政府采购系统将予以记录。</w:t>
      </w:r>
    </w:p>
    <w:p w14:paraId="1AB5366E">
      <w:pPr>
        <w:tabs>
          <w:tab w:val="left" w:pos="588"/>
        </w:tabs>
        <w:autoSpaceDE w:val="0"/>
        <w:autoSpaceDN w:val="0"/>
        <w:adjustRightInd w:val="0"/>
        <w:spacing w:line="360" w:lineRule="auto"/>
        <w:ind w:left="840" w:hanging="840" w:hangingChars="350"/>
        <w:rPr>
          <w:rFonts w:hint="eastAsia" w:ascii="仿宋" w:hAnsi="仿宋" w:eastAsia="仿宋" w:cs="仿宋"/>
          <w:color w:val="auto"/>
          <w:sz w:val="24"/>
          <w:szCs w:val="21"/>
          <w:highlight w:val="none"/>
        </w:rPr>
      </w:pPr>
      <w:r>
        <w:rPr>
          <w:rFonts w:hint="eastAsia" w:ascii="仿宋" w:hAnsi="仿宋" w:eastAsia="仿宋" w:cs="仿宋"/>
          <w:color w:val="auto"/>
          <w:kern w:val="0"/>
          <w:sz w:val="24"/>
          <w:szCs w:val="21"/>
          <w:highlight w:val="none"/>
        </w:rPr>
        <w:t xml:space="preserve">17.2   </w:t>
      </w:r>
      <w:r>
        <w:rPr>
          <w:rFonts w:hint="eastAsia" w:ascii="仿宋" w:hAnsi="仿宋" w:eastAsia="仿宋" w:cs="仿宋"/>
          <w:color w:val="auto"/>
          <w:kern w:val="0"/>
          <w:sz w:val="24"/>
          <w:szCs w:val="21"/>
          <w:highlight w:val="none"/>
          <w:lang w:val="en-US" w:eastAsia="zh-CN"/>
        </w:rPr>
        <w:t>文件加密要求按照全国公共资源交易平台（陕西省·宝鸡市）平台有关要求进行</w:t>
      </w:r>
      <w:r>
        <w:rPr>
          <w:rFonts w:hint="eastAsia" w:ascii="仿宋" w:hAnsi="仿宋" w:eastAsia="仿宋" w:cs="仿宋"/>
          <w:color w:val="auto"/>
          <w:sz w:val="24"/>
          <w:szCs w:val="21"/>
          <w:highlight w:val="none"/>
        </w:rPr>
        <w:t>。</w:t>
      </w:r>
    </w:p>
    <w:p w14:paraId="7D44607F">
      <w:pPr>
        <w:pStyle w:val="23"/>
        <w:keepNext w:val="0"/>
        <w:keepLines w:val="0"/>
        <w:pageBreakBefore w:val="0"/>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bookmarkEnd w:id="314"/>
    <w:bookmarkEnd w:id="315"/>
    <w:bookmarkEnd w:id="316"/>
    <w:bookmarkEnd w:id="317"/>
    <w:p w14:paraId="3F12FE8C">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318" w:name="_Toc31171"/>
      <w:bookmarkStart w:id="319" w:name="_Toc249515300"/>
      <w:bookmarkStart w:id="320" w:name="_Toc249515412"/>
      <w:bookmarkStart w:id="321" w:name="_Toc249525181"/>
      <w:r>
        <w:rPr>
          <w:rFonts w:hint="eastAsia" w:ascii="仿宋" w:hAnsi="仿宋" w:eastAsia="仿宋" w:cs="仿宋"/>
          <w:b/>
          <w:color w:val="auto"/>
          <w:sz w:val="24"/>
          <w:szCs w:val="21"/>
          <w:highlight w:val="none"/>
        </w:rPr>
        <w:t xml:space="preserve">18.    </w:t>
      </w:r>
      <w:r>
        <w:rPr>
          <w:rFonts w:hint="eastAsia" w:ascii="仿宋" w:hAnsi="仿宋" w:eastAsia="仿宋" w:cs="仿宋"/>
          <w:b/>
          <w:color w:val="auto"/>
          <w:sz w:val="24"/>
          <w:szCs w:val="21"/>
          <w:highlight w:val="none"/>
          <w:lang w:eastAsia="zh-CN"/>
        </w:rPr>
        <w:t>响应文件</w:t>
      </w:r>
      <w:r>
        <w:rPr>
          <w:rFonts w:hint="eastAsia" w:ascii="仿宋" w:hAnsi="仿宋" w:eastAsia="仿宋" w:cs="仿宋"/>
          <w:b/>
          <w:color w:val="auto"/>
          <w:sz w:val="24"/>
          <w:szCs w:val="21"/>
          <w:highlight w:val="none"/>
        </w:rPr>
        <w:t>递交截止时间</w:t>
      </w:r>
      <w:bookmarkEnd w:id="318"/>
      <w:bookmarkEnd w:id="319"/>
      <w:bookmarkEnd w:id="320"/>
      <w:bookmarkEnd w:id="321"/>
    </w:p>
    <w:p w14:paraId="1A679219">
      <w:pPr>
        <w:tabs>
          <w:tab w:val="left" w:pos="588"/>
        </w:tabs>
        <w:spacing w:line="360" w:lineRule="auto"/>
        <w:rPr>
          <w:rFonts w:hint="eastAsia" w:ascii="仿宋" w:hAnsi="仿宋" w:eastAsia="仿宋" w:cs="仿宋"/>
          <w:color w:val="auto"/>
          <w:sz w:val="24"/>
          <w:highlight w:val="none"/>
        </w:rPr>
      </w:pPr>
      <w:bookmarkStart w:id="322" w:name="_Toc184043037"/>
      <w:bookmarkStart w:id="323" w:name="_Toc70687164"/>
      <w:bookmarkStart w:id="324" w:name="_Toc385992350"/>
      <w:bookmarkStart w:id="325" w:name="_Toc389620189"/>
      <w:r>
        <w:rPr>
          <w:rFonts w:hint="eastAsia" w:ascii="仿宋" w:hAnsi="仿宋" w:eastAsia="仿宋" w:cs="仿宋"/>
          <w:color w:val="auto"/>
          <w:sz w:val="24"/>
          <w:highlight w:val="none"/>
        </w:rPr>
        <w:t xml:space="preserve">18.1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递交截止时间和地点见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p w14:paraId="0A12A7FF">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18.2   投标人在提交</w:t>
      </w:r>
      <w:r>
        <w:rPr>
          <w:rFonts w:hint="eastAsia" w:ascii="仿宋" w:hAnsi="仿宋" w:eastAsia="仿宋" w:cs="仿宋"/>
          <w:color w:val="auto"/>
          <w:kern w:val="0"/>
          <w:sz w:val="24"/>
          <w:szCs w:val="21"/>
          <w:highlight w:val="none"/>
          <w:lang w:val="en-US" w:eastAsia="zh-CN"/>
        </w:rPr>
        <w:t>响应文件</w:t>
      </w:r>
      <w:r>
        <w:rPr>
          <w:rFonts w:hint="eastAsia" w:ascii="仿宋" w:hAnsi="仿宋" w:eastAsia="仿宋" w:cs="仿宋"/>
          <w:color w:val="auto"/>
          <w:sz w:val="24"/>
          <w:highlight w:val="none"/>
        </w:rPr>
        <w:t>截止时间前，可以对所提交的</w:t>
      </w:r>
      <w:r>
        <w:rPr>
          <w:rFonts w:hint="eastAsia" w:ascii="仿宋" w:hAnsi="仿宋" w:eastAsia="仿宋" w:cs="仿宋"/>
          <w:color w:val="auto"/>
          <w:kern w:val="0"/>
          <w:sz w:val="24"/>
          <w:szCs w:val="21"/>
          <w:highlight w:val="none"/>
          <w:lang w:val="en-US" w:eastAsia="zh-CN"/>
        </w:rPr>
        <w:t>响应文件</w:t>
      </w:r>
      <w:r>
        <w:rPr>
          <w:rFonts w:hint="eastAsia" w:ascii="仿宋" w:hAnsi="仿宋" w:eastAsia="仿宋" w:cs="仿宋"/>
          <w:color w:val="auto"/>
          <w:sz w:val="24"/>
          <w:highlight w:val="none"/>
        </w:rPr>
        <w:t>进行补充、修改或者撤回，并书面通知采购人、采购代理机构。补充、修改的内容作为</w:t>
      </w:r>
      <w:r>
        <w:rPr>
          <w:rFonts w:hint="eastAsia" w:ascii="仿宋" w:hAnsi="仿宋" w:eastAsia="仿宋" w:cs="仿宋"/>
          <w:color w:val="auto"/>
          <w:kern w:val="0"/>
          <w:sz w:val="24"/>
          <w:szCs w:val="21"/>
          <w:highlight w:val="none"/>
          <w:lang w:val="en-US" w:eastAsia="zh-CN"/>
        </w:rPr>
        <w:t>响应文件</w:t>
      </w:r>
      <w:r>
        <w:rPr>
          <w:rFonts w:hint="eastAsia" w:ascii="仿宋" w:hAnsi="仿宋" w:eastAsia="仿宋" w:cs="仿宋"/>
          <w:color w:val="auto"/>
          <w:sz w:val="24"/>
          <w:highlight w:val="none"/>
        </w:rPr>
        <w:t>的组成部分。补充、修改的内容与</w:t>
      </w:r>
      <w:r>
        <w:rPr>
          <w:rFonts w:hint="eastAsia" w:ascii="仿宋" w:hAnsi="仿宋" w:eastAsia="仿宋" w:cs="仿宋"/>
          <w:color w:val="auto"/>
          <w:kern w:val="0"/>
          <w:sz w:val="24"/>
          <w:szCs w:val="21"/>
          <w:highlight w:val="none"/>
          <w:lang w:val="en-US" w:eastAsia="zh-CN"/>
        </w:rPr>
        <w:t>响应文件</w:t>
      </w:r>
      <w:r>
        <w:rPr>
          <w:rFonts w:hint="eastAsia" w:ascii="仿宋" w:hAnsi="仿宋" w:eastAsia="仿宋" w:cs="仿宋"/>
          <w:color w:val="auto"/>
          <w:sz w:val="24"/>
          <w:highlight w:val="none"/>
        </w:rPr>
        <w:t>不一致的，以补充、修改的内容为准。对已提交的电子</w:t>
      </w:r>
      <w:r>
        <w:rPr>
          <w:rFonts w:hint="eastAsia" w:ascii="仿宋" w:hAnsi="仿宋" w:eastAsia="仿宋" w:cs="仿宋"/>
          <w:color w:val="auto"/>
          <w:kern w:val="0"/>
          <w:sz w:val="24"/>
          <w:szCs w:val="21"/>
          <w:highlight w:val="none"/>
          <w:lang w:val="en-US" w:eastAsia="zh-CN"/>
        </w:rPr>
        <w:t>响应文件</w:t>
      </w:r>
      <w:r>
        <w:rPr>
          <w:rFonts w:hint="eastAsia" w:ascii="仿宋" w:hAnsi="仿宋" w:eastAsia="仿宋" w:cs="仿宋"/>
          <w:color w:val="auto"/>
          <w:sz w:val="24"/>
          <w:highlight w:val="none"/>
        </w:rPr>
        <w:t>进行补充、修改的，应先从电子交易平台上撤回旧文件，再重新提交新文件；提交的纸质文件（备案用）应从专用制作软件中直接打印，与电子</w:t>
      </w:r>
      <w:r>
        <w:rPr>
          <w:rFonts w:hint="eastAsia" w:ascii="仿宋" w:hAnsi="仿宋" w:eastAsia="仿宋" w:cs="仿宋"/>
          <w:color w:val="auto"/>
          <w:kern w:val="0"/>
          <w:sz w:val="24"/>
          <w:szCs w:val="21"/>
          <w:highlight w:val="none"/>
          <w:lang w:val="en-US" w:eastAsia="zh-CN"/>
        </w:rPr>
        <w:t>响应文件</w:t>
      </w:r>
      <w:r>
        <w:rPr>
          <w:rFonts w:hint="eastAsia" w:ascii="仿宋" w:hAnsi="仿宋" w:eastAsia="仿宋" w:cs="仿宋"/>
          <w:color w:val="auto"/>
          <w:sz w:val="24"/>
          <w:highlight w:val="none"/>
        </w:rPr>
        <w:t>保持一致，不允许补充和修改。。</w:t>
      </w:r>
    </w:p>
    <w:p w14:paraId="192330D7">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18.3   采购人可以按本须知第7条规定，通知修改</w:t>
      </w:r>
      <w:r>
        <w:rPr>
          <w:rFonts w:hint="eastAsia" w:ascii="仿宋" w:hAnsi="仿宋" w:eastAsia="仿宋" w:cs="仿宋"/>
          <w:color w:val="auto"/>
          <w:sz w:val="24"/>
          <w:highlight w:val="none"/>
          <w:lang w:eastAsia="zh-CN"/>
        </w:rPr>
        <w:t>谈判</w:t>
      </w:r>
      <w:r>
        <w:rPr>
          <w:rFonts w:hint="eastAsia" w:ascii="仿宋" w:hAnsi="仿宋" w:eastAsia="仿宋" w:cs="仿宋"/>
          <w:color w:val="auto"/>
          <w:sz w:val="24"/>
          <w:highlight w:val="none"/>
        </w:rPr>
        <w:t>文件，适当延长</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递交截止时间。在此情况下，采购人和供应商受</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递交截止时间制约的所有权利和义务均应延长至新的截止期。</w:t>
      </w:r>
    </w:p>
    <w:p w14:paraId="0C2BE76F">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lang w:eastAsia="zh-CN"/>
        </w:rPr>
      </w:pPr>
      <w:bookmarkStart w:id="326" w:name="_Toc249525182"/>
      <w:bookmarkStart w:id="327" w:name="_Toc249515301"/>
      <w:bookmarkStart w:id="328" w:name="_Toc7175"/>
      <w:bookmarkStart w:id="329" w:name="_Toc249515413"/>
      <w:r>
        <w:rPr>
          <w:rFonts w:hint="eastAsia" w:ascii="仿宋" w:hAnsi="仿宋" w:eastAsia="仿宋" w:cs="仿宋"/>
          <w:b/>
          <w:color w:val="auto"/>
          <w:sz w:val="24"/>
          <w:szCs w:val="21"/>
          <w:highlight w:val="none"/>
        </w:rPr>
        <w:t>19.    迟交的</w:t>
      </w:r>
      <w:bookmarkEnd w:id="322"/>
      <w:bookmarkEnd w:id="323"/>
      <w:bookmarkEnd w:id="324"/>
      <w:bookmarkEnd w:id="325"/>
      <w:bookmarkEnd w:id="326"/>
      <w:bookmarkEnd w:id="327"/>
      <w:bookmarkEnd w:id="328"/>
      <w:bookmarkEnd w:id="329"/>
      <w:r>
        <w:rPr>
          <w:rFonts w:hint="eastAsia" w:ascii="仿宋" w:hAnsi="仿宋" w:eastAsia="仿宋" w:cs="仿宋"/>
          <w:b/>
          <w:color w:val="auto"/>
          <w:sz w:val="24"/>
          <w:szCs w:val="21"/>
          <w:highlight w:val="none"/>
          <w:lang w:eastAsia="zh-CN"/>
        </w:rPr>
        <w:t>响应文件</w:t>
      </w:r>
    </w:p>
    <w:p w14:paraId="00C57DA1">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19.1   采购人将拒绝接收第18条规定的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递交截止时间后递交的任何</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14:paraId="35D04AE4">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330" w:name="_Toc385992351"/>
      <w:bookmarkStart w:id="331" w:name="_Toc249515414"/>
      <w:bookmarkStart w:id="332" w:name="_Toc249525183"/>
      <w:bookmarkStart w:id="333" w:name="_Toc184043038"/>
      <w:bookmarkStart w:id="334" w:name="_Toc10272"/>
      <w:bookmarkStart w:id="335" w:name="_Toc389620190"/>
      <w:bookmarkStart w:id="336" w:name="_Toc70687165"/>
      <w:bookmarkStart w:id="337" w:name="_Toc249515302"/>
      <w:r>
        <w:rPr>
          <w:rFonts w:hint="eastAsia" w:ascii="仿宋" w:hAnsi="仿宋" w:eastAsia="仿宋" w:cs="仿宋"/>
          <w:b/>
          <w:color w:val="auto"/>
          <w:sz w:val="24"/>
          <w:szCs w:val="21"/>
          <w:highlight w:val="none"/>
        </w:rPr>
        <w:t xml:space="preserve">20.    </w:t>
      </w:r>
      <w:r>
        <w:rPr>
          <w:rFonts w:hint="eastAsia" w:ascii="仿宋" w:hAnsi="仿宋" w:eastAsia="仿宋" w:cs="仿宋"/>
          <w:b/>
          <w:color w:val="auto"/>
          <w:sz w:val="24"/>
          <w:szCs w:val="21"/>
          <w:highlight w:val="none"/>
          <w:lang w:eastAsia="zh-CN"/>
        </w:rPr>
        <w:t>响应文件</w:t>
      </w:r>
      <w:r>
        <w:rPr>
          <w:rFonts w:hint="eastAsia" w:ascii="仿宋" w:hAnsi="仿宋" w:eastAsia="仿宋" w:cs="仿宋"/>
          <w:b/>
          <w:color w:val="auto"/>
          <w:sz w:val="24"/>
          <w:szCs w:val="21"/>
          <w:highlight w:val="none"/>
        </w:rPr>
        <w:t>的修改和撤</w:t>
      </w:r>
      <w:bookmarkEnd w:id="330"/>
      <w:bookmarkEnd w:id="331"/>
      <w:bookmarkEnd w:id="332"/>
      <w:bookmarkEnd w:id="333"/>
      <w:bookmarkEnd w:id="334"/>
      <w:bookmarkEnd w:id="335"/>
      <w:bookmarkEnd w:id="336"/>
      <w:bookmarkEnd w:id="337"/>
      <w:r>
        <w:rPr>
          <w:rFonts w:hint="eastAsia" w:ascii="仿宋" w:hAnsi="仿宋" w:eastAsia="仿宋" w:cs="仿宋"/>
          <w:b/>
          <w:color w:val="auto"/>
          <w:sz w:val="24"/>
          <w:szCs w:val="21"/>
          <w:highlight w:val="none"/>
        </w:rPr>
        <w:t>回</w:t>
      </w:r>
    </w:p>
    <w:p w14:paraId="536159F3">
      <w:pPr>
        <w:keepNext w:val="0"/>
        <w:keepLines w:val="0"/>
        <w:pageBreakBefore w:val="0"/>
        <w:widowControl w:val="0"/>
        <w:tabs>
          <w:tab w:val="left" w:pos="588"/>
        </w:tabs>
        <w:kinsoku/>
        <w:wordWrap/>
        <w:overflowPunct/>
        <w:topLinePunct w:val="0"/>
        <w:autoSpaceDE/>
        <w:autoSpaceDN/>
        <w:bidi w:val="0"/>
        <w:adjustRightInd/>
        <w:snapToGrid/>
        <w:spacing w:line="360" w:lineRule="auto"/>
        <w:ind w:left="735" w:leftChars="35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供应商在提交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后可对其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进行修改或撤回，</w:t>
      </w:r>
      <w:r>
        <w:rPr>
          <w:rFonts w:hint="eastAsia" w:ascii="仿宋" w:hAnsi="仿宋" w:eastAsia="仿宋" w:cs="仿宋"/>
          <w:color w:val="auto"/>
          <w:sz w:val="24"/>
          <w:highlight w:val="none"/>
          <w:lang w:val="en-US" w:eastAsia="zh-CN"/>
        </w:rPr>
        <w:t>相关程序按公共资源交易中心有关规定执行</w:t>
      </w:r>
      <w:r>
        <w:rPr>
          <w:rFonts w:hint="eastAsia" w:ascii="仿宋" w:hAnsi="仿宋" w:eastAsia="仿宋" w:cs="仿宋"/>
          <w:color w:val="auto"/>
          <w:sz w:val="24"/>
          <w:highlight w:val="none"/>
        </w:rPr>
        <w:t>。</w:t>
      </w:r>
    </w:p>
    <w:p w14:paraId="56F42C84">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20.1   供应商对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修改的书面材料或撤回的通知应按第16和17条规定进行编写、密封、标注和递送，并注明“修改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”或“撤回</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”字样。</w:t>
      </w:r>
    </w:p>
    <w:p w14:paraId="6A2959D8">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   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递交截止时间之后，供应商不得对其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做任何修改。</w:t>
      </w:r>
    </w:p>
    <w:p w14:paraId="4EFE50A8">
      <w:pPr>
        <w:keepNext w:val="0"/>
        <w:keepLines w:val="0"/>
        <w:pageBreakBefore w:val="0"/>
        <w:tabs>
          <w:tab w:val="left" w:pos="360"/>
          <w:tab w:val="left" w:pos="502"/>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20.3   供应商不得在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递交截止时间起至</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有效期期满前撤销其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14:paraId="0844EF27">
      <w:pPr>
        <w:pStyle w:val="23"/>
        <w:rPr>
          <w:rFonts w:hint="eastAsia" w:ascii="仿宋" w:hAnsi="仿宋" w:eastAsia="仿宋" w:cs="仿宋"/>
          <w:color w:val="auto"/>
          <w:highlight w:val="none"/>
        </w:rPr>
      </w:pPr>
    </w:p>
    <w:p w14:paraId="387A2CD8">
      <w:pPr>
        <w:pStyle w:val="2"/>
        <w:keepNext/>
        <w:keepLines/>
        <w:pageBreakBefore w:val="0"/>
        <w:widowControl w:val="0"/>
        <w:kinsoku/>
        <w:wordWrap/>
        <w:overflowPunct/>
        <w:topLinePunct w:val="0"/>
        <w:autoSpaceDE/>
        <w:autoSpaceDN/>
        <w:bidi w:val="0"/>
        <w:adjustRightInd w:val="0"/>
        <w:snapToGrid/>
        <w:spacing w:before="20" w:after="20" w:line="400" w:lineRule="exact"/>
        <w:jc w:val="center"/>
        <w:textAlignment w:val="baseline"/>
        <w:rPr>
          <w:rFonts w:hint="eastAsia" w:ascii="仿宋" w:hAnsi="仿宋" w:eastAsia="仿宋" w:cs="仿宋"/>
          <w:color w:val="auto"/>
          <w:sz w:val="28"/>
          <w:szCs w:val="28"/>
          <w:highlight w:val="none"/>
        </w:rPr>
      </w:pPr>
      <w:bookmarkStart w:id="338" w:name="_Hlt491765712"/>
      <w:bookmarkEnd w:id="338"/>
      <w:bookmarkStart w:id="339" w:name="_Hlt497729441"/>
      <w:bookmarkEnd w:id="339"/>
      <w:bookmarkStart w:id="340" w:name="_Toc214357452"/>
      <w:bookmarkStart w:id="341" w:name="_Toc232176277"/>
      <w:bookmarkStart w:id="342" w:name="_Toc232395217"/>
      <w:bookmarkStart w:id="343" w:name="_Toc249515303"/>
      <w:bookmarkStart w:id="344" w:name="_Toc256342148"/>
      <w:bookmarkStart w:id="345" w:name="_Toc249525184"/>
      <w:bookmarkStart w:id="346" w:name="_Toc249515415"/>
      <w:bookmarkStart w:id="347" w:name="_Toc28753"/>
      <w:bookmarkStart w:id="348" w:name="_Toc500747067"/>
      <w:bookmarkStart w:id="349" w:name="_Toc492955420"/>
      <w:bookmarkStart w:id="350" w:name="_Toc500747194"/>
      <w:bookmarkStart w:id="351" w:name="_Toc70687166"/>
      <w:bookmarkStart w:id="352" w:name="_Toc53722845"/>
      <w:bookmarkStart w:id="353" w:name="_Toc177817339"/>
      <w:bookmarkStart w:id="354" w:name="_Toc385992352"/>
      <w:bookmarkStart w:id="355" w:name="_Toc184043039"/>
      <w:bookmarkStart w:id="356" w:name="_Toc176882547"/>
      <w:bookmarkStart w:id="357" w:name="_Toc499711889"/>
      <w:bookmarkStart w:id="358" w:name="_Toc177995478"/>
      <w:bookmarkStart w:id="359" w:name="_Toc503063427"/>
      <w:bookmarkStart w:id="360" w:name="_Toc177189240"/>
      <w:bookmarkStart w:id="361" w:name="_Toc389620191"/>
      <w:bookmarkStart w:id="362" w:name="_Toc500746971"/>
      <w:bookmarkStart w:id="363" w:name="_Toc499711048"/>
      <w:bookmarkStart w:id="364" w:name="_Toc496324584"/>
      <w:r>
        <w:rPr>
          <w:rFonts w:hint="eastAsia" w:ascii="仿宋" w:hAnsi="仿宋" w:eastAsia="仿宋" w:cs="仿宋"/>
          <w:color w:val="auto"/>
          <w:sz w:val="28"/>
          <w:szCs w:val="28"/>
          <w:highlight w:val="none"/>
        </w:rPr>
        <w:t>五、</w:t>
      </w:r>
      <w:bookmarkEnd w:id="340"/>
      <w:bookmarkEnd w:id="341"/>
      <w:bookmarkEnd w:id="342"/>
      <w:r>
        <w:rPr>
          <w:rFonts w:hint="eastAsia" w:ascii="仿宋" w:hAnsi="仿宋" w:eastAsia="仿宋" w:cs="仿宋"/>
          <w:color w:val="auto"/>
          <w:sz w:val="28"/>
          <w:szCs w:val="28"/>
          <w:highlight w:val="none"/>
        </w:rPr>
        <w:t>评审与</w:t>
      </w:r>
      <w:bookmarkEnd w:id="343"/>
      <w:bookmarkEnd w:id="344"/>
      <w:bookmarkEnd w:id="345"/>
      <w:bookmarkEnd w:id="346"/>
      <w:r>
        <w:rPr>
          <w:rFonts w:hint="eastAsia" w:ascii="仿宋" w:hAnsi="仿宋" w:eastAsia="仿宋" w:cs="仿宋"/>
          <w:color w:val="auto"/>
          <w:sz w:val="28"/>
          <w:szCs w:val="28"/>
          <w:highlight w:val="none"/>
        </w:rPr>
        <w:t>谈判</w:t>
      </w:r>
      <w:bookmarkEnd w:id="347"/>
    </w:p>
    <w:p w14:paraId="0F736E36">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21.    谈判小组</w:t>
      </w:r>
    </w:p>
    <w:p w14:paraId="08D4A0D1">
      <w:pPr>
        <w:pStyle w:val="29"/>
        <w:keepNext w:val="0"/>
        <w:keepLines w:val="0"/>
        <w:pageBreakBefore w:val="0"/>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在谈判开始前组建谈判小组，谈判小组由采购人代表及有关专家组成。专家从政府采购评审专家库相关专业中随机抽取。谈判小组组成见</w:t>
      </w:r>
      <w:r>
        <w:rPr>
          <w:rFonts w:hint="eastAsia" w:ascii="仿宋" w:hAnsi="仿宋" w:eastAsia="仿宋" w:cs="仿宋"/>
          <w:b/>
          <w:color w:val="auto"/>
          <w:sz w:val="24"/>
          <w:highlight w:val="none"/>
        </w:rPr>
        <w:t>供应商须知前附表。</w:t>
      </w:r>
    </w:p>
    <w:p w14:paraId="1A770CDF">
      <w:pPr>
        <w:pStyle w:val="29"/>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谈判小组职责</w:t>
      </w:r>
    </w:p>
    <w:p w14:paraId="44BE1FD2">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（1）确认竞争性谈判文件。审阅谈判文件，无修改进行签字确认。有修改，修改内容经采购人确认后，谈判小组以书面形式通知所有供应商。</w:t>
      </w:r>
    </w:p>
    <w:p w14:paraId="6B913AF6">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（2）确定符合要求的供应商参加谈判；</w:t>
      </w:r>
    </w:p>
    <w:p w14:paraId="7F2A5A27">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（3）审查供应商的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并做出评价；</w:t>
      </w:r>
    </w:p>
    <w:p w14:paraId="2155DD05">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（4）要求供应商解释或者澄清其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p>
    <w:p w14:paraId="2F081355">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（5）编写评审报告；</w:t>
      </w:r>
    </w:p>
    <w:p w14:paraId="2F272ABB">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（6）告知采购人、采购代理机构在评审过程中发现的供应商的违法违规行为。</w:t>
      </w:r>
    </w:p>
    <w:p w14:paraId="1949C3F1">
      <w:pPr>
        <w:pStyle w:val="29"/>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   谈判小组义务</w:t>
      </w:r>
    </w:p>
    <w:p w14:paraId="2107BDFA">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（1）遵纪守法、客观、公正、廉洁地履行职责；</w:t>
      </w:r>
    </w:p>
    <w:p w14:paraId="1FDB5684">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（2）根据谈判文件的规定独立进行评审，对个人的评审意见承担法律责任；</w:t>
      </w:r>
    </w:p>
    <w:p w14:paraId="0ECBB479">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（3）参与评审报告的起草；</w:t>
      </w:r>
    </w:p>
    <w:p w14:paraId="2BCFB7E3">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（4）配合采购人、采购代理机构答复供应商提出的质疑；</w:t>
      </w:r>
    </w:p>
    <w:p w14:paraId="07EE8F9C">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（5）配合财政部门的投诉处理和监督检查工作。</w:t>
      </w:r>
    </w:p>
    <w:p w14:paraId="7B8078F3">
      <w:pPr>
        <w:pStyle w:val="29"/>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color w:val="auto"/>
          <w:sz w:val="24"/>
          <w:szCs w:val="24"/>
          <w:highlight w:val="none"/>
        </w:rPr>
      </w:pPr>
      <w:bookmarkStart w:id="365" w:name="_Toc83547667"/>
      <w:r>
        <w:rPr>
          <w:rFonts w:hint="eastAsia" w:ascii="仿宋" w:hAnsi="仿宋" w:eastAsia="仿宋" w:cs="仿宋"/>
          <w:color w:val="auto"/>
          <w:sz w:val="24"/>
          <w:szCs w:val="24"/>
          <w:highlight w:val="none"/>
        </w:rPr>
        <w:t>21.4   谈判小组成员有下列情形之一的，应当回避：</w:t>
      </w:r>
    </w:p>
    <w:p w14:paraId="2514A08F">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（1）参加采购活动前3年内与供应商存在劳动关系；</w:t>
      </w:r>
    </w:p>
    <w:p w14:paraId="5B127226">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（2）参加采购活动前3年内担任供应商的董事、监事；</w:t>
      </w:r>
    </w:p>
    <w:p w14:paraId="0CC1D1CC">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（3）参加采购活动前3年内是供应商的控股股东或者实际控制人；</w:t>
      </w:r>
    </w:p>
    <w:p w14:paraId="30E0B0A9">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（4）与供应商的法定代表人或者负责人有夫妻、直系血亲、三代以内旁系血亲或者近姻亲关系；</w:t>
      </w:r>
    </w:p>
    <w:p w14:paraId="34186B18">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（5）与供应商有其他可能影响政府采购活动公平、公正进行的关系。</w:t>
      </w:r>
    </w:p>
    <w:p w14:paraId="4E628722">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366" w:name="_Toc249515418"/>
      <w:bookmarkStart w:id="367" w:name="_Toc249525187"/>
      <w:bookmarkStart w:id="368" w:name="_Toc249515306"/>
      <w:bookmarkStart w:id="369" w:name="_Toc20608"/>
      <w:r>
        <w:rPr>
          <w:rFonts w:hint="eastAsia" w:ascii="仿宋" w:hAnsi="仿宋" w:eastAsia="仿宋" w:cs="仿宋"/>
          <w:b/>
          <w:color w:val="auto"/>
          <w:sz w:val="24"/>
          <w:szCs w:val="21"/>
          <w:highlight w:val="none"/>
        </w:rPr>
        <w:t>22.    谈判程序</w:t>
      </w:r>
    </w:p>
    <w:p w14:paraId="23B0FEEA">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outlineLvl w:val="9"/>
        <w:rPr>
          <w:rFonts w:hint="eastAsia" w:ascii="仿宋" w:hAnsi="仿宋" w:eastAsia="仿宋" w:cs="仿宋"/>
          <w:b/>
          <w:color w:val="auto"/>
          <w:sz w:val="24"/>
          <w:szCs w:val="21"/>
          <w:highlight w:val="none"/>
        </w:rPr>
      </w:pPr>
      <w:bookmarkStart w:id="370" w:name="_Toc58504507"/>
      <w:r>
        <w:rPr>
          <w:rFonts w:hint="eastAsia" w:ascii="仿宋" w:hAnsi="仿宋" w:eastAsia="仿宋" w:cs="仿宋"/>
          <w:b/>
          <w:color w:val="auto"/>
          <w:sz w:val="24"/>
          <w:szCs w:val="21"/>
          <w:highlight w:val="none"/>
        </w:rPr>
        <w:t>22.1   谈判会议</w:t>
      </w:r>
      <w:bookmarkEnd w:id="370"/>
    </w:p>
    <w:p w14:paraId="23772170">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bookmarkStart w:id="371" w:name="_Toc58504508"/>
      <w:r>
        <w:rPr>
          <w:rFonts w:hint="eastAsia" w:ascii="仿宋" w:hAnsi="仿宋" w:eastAsia="仿宋" w:cs="仿宋"/>
          <w:color w:val="auto"/>
          <w:sz w:val="24"/>
          <w:szCs w:val="24"/>
          <w:highlight w:val="none"/>
        </w:rPr>
        <w:t>（1）在谈判文件规定的时间和地点，由采购代理机构组织谈判工作，供应商须委派代表参加，签名以证明其出席。</w:t>
      </w:r>
      <w:bookmarkEnd w:id="371"/>
    </w:p>
    <w:p w14:paraId="21FEEDEC">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bookmarkStart w:id="372" w:name="_Toc58504509"/>
      <w:r>
        <w:rPr>
          <w:rFonts w:hint="eastAsia" w:ascii="仿宋" w:hAnsi="仿宋" w:eastAsia="仿宋" w:cs="仿宋"/>
          <w:color w:val="auto"/>
          <w:sz w:val="24"/>
          <w:szCs w:val="24"/>
          <w:highlight w:val="none"/>
        </w:rPr>
        <w:t>（2）各供应商或其推荐的代表与采购监督人共同检查</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的密封情况，经检查无误后，签字确认。</w:t>
      </w:r>
      <w:bookmarkEnd w:id="372"/>
    </w:p>
    <w:p w14:paraId="68C52889">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bookmarkStart w:id="373" w:name="_Toc58504510"/>
      <w:r>
        <w:rPr>
          <w:rFonts w:hint="eastAsia" w:ascii="仿宋" w:hAnsi="仿宋" w:eastAsia="仿宋" w:cs="仿宋"/>
          <w:color w:val="auto"/>
          <w:sz w:val="24"/>
          <w:szCs w:val="24"/>
          <w:highlight w:val="none"/>
        </w:rPr>
        <w:t>（3）采购代理机构工作人员按照顺序，将各供应商首次</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的份数等内容公布，无异议后，由供应商法定代表人（或授权代表人）和监督人签字确认。</w:t>
      </w:r>
      <w:bookmarkEnd w:id="373"/>
    </w:p>
    <w:p w14:paraId="4192073E">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outlineLvl w:val="9"/>
        <w:rPr>
          <w:rFonts w:hint="eastAsia" w:ascii="仿宋" w:hAnsi="仿宋" w:eastAsia="仿宋" w:cs="仿宋"/>
          <w:b/>
          <w:color w:val="auto"/>
          <w:sz w:val="24"/>
          <w:szCs w:val="21"/>
          <w:highlight w:val="none"/>
        </w:rPr>
      </w:pPr>
      <w:bookmarkStart w:id="374" w:name="_Toc58504511"/>
      <w:r>
        <w:rPr>
          <w:rFonts w:hint="eastAsia" w:ascii="仿宋" w:hAnsi="仿宋" w:eastAsia="仿宋" w:cs="仿宋"/>
          <w:b/>
          <w:color w:val="auto"/>
          <w:sz w:val="24"/>
          <w:szCs w:val="21"/>
          <w:highlight w:val="none"/>
        </w:rPr>
        <w:t xml:space="preserve">22.2   </w:t>
      </w:r>
      <w:bookmarkEnd w:id="365"/>
      <w:bookmarkEnd w:id="366"/>
      <w:bookmarkEnd w:id="367"/>
      <w:bookmarkEnd w:id="368"/>
      <w:bookmarkEnd w:id="369"/>
      <w:r>
        <w:rPr>
          <w:rFonts w:hint="eastAsia" w:ascii="仿宋" w:hAnsi="仿宋" w:eastAsia="仿宋" w:cs="仿宋"/>
          <w:b/>
          <w:color w:val="auto"/>
          <w:sz w:val="24"/>
          <w:szCs w:val="21"/>
          <w:highlight w:val="none"/>
          <w:lang w:eastAsia="zh-CN"/>
        </w:rPr>
        <w:t>响应文件</w:t>
      </w:r>
      <w:r>
        <w:rPr>
          <w:rFonts w:hint="eastAsia" w:ascii="仿宋" w:hAnsi="仿宋" w:eastAsia="仿宋" w:cs="仿宋"/>
          <w:b/>
          <w:color w:val="auto"/>
          <w:sz w:val="24"/>
          <w:szCs w:val="21"/>
          <w:highlight w:val="none"/>
        </w:rPr>
        <w:t>评审</w:t>
      </w:r>
      <w:bookmarkEnd w:id="374"/>
    </w:p>
    <w:p w14:paraId="60EAFE34">
      <w:pPr>
        <w:keepNext w:val="0"/>
        <w:keepLines w:val="0"/>
        <w:pageBreakBefore w:val="0"/>
        <w:tabs>
          <w:tab w:val="left" w:pos="360"/>
          <w:tab w:val="left" w:pos="588"/>
        </w:tabs>
        <w:kinsoku/>
        <w:wordWrap/>
        <w:overflowPunct/>
        <w:topLinePunct w:val="0"/>
        <w:bidi w:val="0"/>
        <w:adjustRightInd w:val="0"/>
        <w:snapToGrid w:val="0"/>
        <w:spacing w:line="460" w:lineRule="exact"/>
        <w:ind w:left="843" w:leftChars="0" w:hanging="843" w:hangingChars="350"/>
        <w:rPr>
          <w:rFonts w:hint="eastAsia" w:ascii="仿宋" w:hAnsi="仿宋" w:eastAsia="仿宋" w:cs="仿宋"/>
          <w:color w:val="auto"/>
          <w:sz w:val="24"/>
          <w:highlight w:val="none"/>
        </w:rPr>
      </w:pPr>
      <w:bookmarkStart w:id="375" w:name="_Toc83547671"/>
      <w:r>
        <w:rPr>
          <w:rFonts w:hint="eastAsia" w:ascii="仿宋" w:hAnsi="仿宋" w:eastAsia="仿宋" w:cs="仿宋"/>
          <w:b/>
          <w:color w:val="auto"/>
          <w:sz w:val="24"/>
          <w:highlight w:val="none"/>
        </w:rPr>
        <w:t xml:space="preserve">22.2.1 </w:t>
      </w:r>
      <w:r>
        <w:rPr>
          <w:rFonts w:hint="eastAsia" w:ascii="仿宋" w:hAnsi="仿宋" w:eastAsia="仿宋" w:cs="仿宋"/>
          <w:b/>
          <w:color w:val="auto"/>
          <w:sz w:val="24"/>
          <w:highlight w:val="none"/>
          <w:lang w:eastAsia="zh-CN"/>
        </w:rPr>
        <w:t>响应文件</w:t>
      </w:r>
      <w:r>
        <w:rPr>
          <w:rFonts w:hint="eastAsia" w:ascii="仿宋" w:hAnsi="仿宋" w:eastAsia="仿宋" w:cs="仿宋"/>
          <w:b/>
          <w:color w:val="auto"/>
          <w:sz w:val="24"/>
          <w:highlight w:val="none"/>
        </w:rPr>
        <w:t>的资格性审查</w:t>
      </w:r>
      <w:r>
        <w:rPr>
          <w:rFonts w:hint="eastAsia" w:ascii="仿宋" w:hAnsi="仿宋" w:eastAsia="仿宋" w:cs="仿宋"/>
          <w:color w:val="auto"/>
          <w:sz w:val="24"/>
          <w:highlight w:val="none"/>
        </w:rPr>
        <w:t>。依据《政府采购法》第二十三条和谈判文件的规定，</w:t>
      </w:r>
      <w:r>
        <w:rPr>
          <w:rFonts w:hint="eastAsia" w:ascii="仿宋" w:hAnsi="仿宋" w:eastAsia="仿宋" w:cs="仿宋"/>
          <w:b/>
          <w:color w:val="auto"/>
          <w:sz w:val="24"/>
          <w:highlight w:val="none"/>
        </w:rPr>
        <w:t>采购人或采购代理机构</w:t>
      </w:r>
      <w:r>
        <w:rPr>
          <w:rFonts w:hint="eastAsia" w:ascii="仿宋" w:hAnsi="仿宋" w:eastAsia="仿宋" w:cs="仿宋"/>
          <w:color w:val="auto"/>
          <w:sz w:val="24"/>
          <w:highlight w:val="none"/>
        </w:rPr>
        <w:t>负责对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中的资格证明文件、信用查询记录等进行审查，以确认供应商具备相应资格。资格性审查出现下列情况者（但不限于），按无效文件处理：</w:t>
      </w:r>
    </w:p>
    <w:p w14:paraId="5BBE43C3">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（1）供应商资格不符合《中华人民共和国政府采购法》第二十二条的规定和特定资格条件要求的。</w:t>
      </w:r>
    </w:p>
    <w:p w14:paraId="05F69D53">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（2）供应商没有经过正常渠道购买或免费领取谈判文件或供应商的名称与获取谈判文件单位的名称不符。</w:t>
      </w:r>
    </w:p>
    <w:p w14:paraId="6D94726A">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（3）谈判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中未提交法定代表人授权书（法定代表人直接参加谈判未按要求提交其有效身份证）或授权书的合法性或有效性不符合谈判文件规定。</w:t>
      </w:r>
    </w:p>
    <w:p w14:paraId="5D6EDC68">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（4）保证金未提交或未提交至指定账户、或提交保证金不符合谈判文件要求的。</w:t>
      </w:r>
    </w:p>
    <w:p w14:paraId="4DBEB896">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（5）信用查询中列入失信被执行人、重大税收违法失信主体、政府采购严重违法失信行为记录名单及其他不符合《中华人民共和国政府采购法》第二十二条规定条件的供应商，拒绝参与政府采购活动。</w:t>
      </w:r>
    </w:p>
    <w:p w14:paraId="3D9CEE15">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（6）采购人或采购代理机构通过“信用中国”网站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www.creditchina.gov.cn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、中国政府采购网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www.ccgp.gov.cn</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等查询相关主体信用记录，并将查询网页打印、存档备查。</w:t>
      </w:r>
    </w:p>
    <w:p w14:paraId="1E63E643">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（7）查询时间为自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文件发售之日起至资格审查结束之前，此段时间段外，网站信息发生的任何变更均不作为资格审查依据。</w:t>
      </w:r>
    </w:p>
    <w:p w14:paraId="6299C29B">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供应商不良信用记录以采购人或采购代理机构查询结果为准。供应商自行提供的与网站信息不一致的其他证明材料亦不作为资格审查依据。</w:t>
      </w:r>
    </w:p>
    <w:p w14:paraId="51C06CFC">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8）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DF48C26">
      <w:pPr>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0"/>
          <w:szCs w:val="30"/>
          <w:highlight w:val="none"/>
        </w:rPr>
        <w:t>附表一 资格审查表</w:t>
      </w:r>
    </w:p>
    <w:tbl>
      <w:tblPr>
        <w:tblStyle w:val="5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55"/>
        <w:gridCol w:w="4677"/>
        <w:gridCol w:w="1178"/>
      </w:tblGrid>
      <w:tr w14:paraId="2923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52" w:type="dxa"/>
            <w:vAlign w:val="center"/>
          </w:tcPr>
          <w:p w14:paraId="00087C3A">
            <w:pPr>
              <w:snapToGrid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2655" w:type="dxa"/>
            <w:vAlign w:val="center"/>
          </w:tcPr>
          <w:p w14:paraId="320F16AE">
            <w:pPr>
              <w:snapToGrid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评审内容</w:t>
            </w:r>
          </w:p>
        </w:tc>
        <w:tc>
          <w:tcPr>
            <w:tcW w:w="4677" w:type="dxa"/>
            <w:vAlign w:val="center"/>
          </w:tcPr>
          <w:p w14:paraId="4E2954B4">
            <w:pPr>
              <w:snapToGrid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评审合格标准</w:t>
            </w:r>
          </w:p>
        </w:tc>
        <w:tc>
          <w:tcPr>
            <w:tcW w:w="1178" w:type="dxa"/>
            <w:vAlign w:val="center"/>
          </w:tcPr>
          <w:p w14:paraId="16DE1C14">
            <w:pPr>
              <w:snapToGrid w:val="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是否符合要求</w:t>
            </w:r>
          </w:p>
        </w:tc>
      </w:tr>
      <w:tr w14:paraId="2734A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3F102C5">
            <w:pPr>
              <w:snapToGrid w:val="0"/>
              <w:jc w:val="center"/>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1</w:t>
            </w:r>
          </w:p>
        </w:tc>
        <w:tc>
          <w:tcPr>
            <w:tcW w:w="2655" w:type="dxa"/>
            <w:vAlign w:val="center"/>
          </w:tcPr>
          <w:p w14:paraId="18AFA642">
            <w:pPr>
              <w:snapToGrid w:val="0"/>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供应商名称</w:t>
            </w:r>
          </w:p>
        </w:tc>
        <w:tc>
          <w:tcPr>
            <w:tcW w:w="4677" w:type="dxa"/>
            <w:vAlign w:val="center"/>
          </w:tcPr>
          <w:p w14:paraId="2FA77E1D">
            <w:pPr>
              <w:snapToGrid w:val="0"/>
              <w:jc w:val="left"/>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与营业执照一致（符合法定工商变更程序除外）；</w:t>
            </w:r>
          </w:p>
        </w:tc>
        <w:tc>
          <w:tcPr>
            <w:tcW w:w="1178" w:type="dxa"/>
            <w:vAlign w:val="center"/>
          </w:tcPr>
          <w:p w14:paraId="0BEB62D3">
            <w:pPr>
              <w:snapToGrid w:val="0"/>
              <w:jc w:val="center"/>
              <w:rPr>
                <w:rFonts w:hint="eastAsia" w:ascii="仿宋" w:hAnsi="仿宋" w:eastAsia="仿宋" w:cs="仿宋"/>
                <w:b/>
                <w:color w:val="auto"/>
                <w:szCs w:val="21"/>
                <w:highlight w:val="none"/>
              </w:rPr>
            </w:pPr>
          </w:p>
        </w:tc>
      </w:tr>
      <w:tr w14:paraId="71B3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0CFB925">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655" w:type="dxa"/>
            <w:vAlign w:val="center"/>
          </w:tcPr>
          <w:p w14:paraId="6C2FDA4F">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具有独立承担民事责任的能力</w:t>
            </w:r>
          </w:p>
        </w:tc>
        <w:tc>
          <w:tcPr>
            <w:tcW w:w="4677" w:type="dxa"/>
          </w:tcPr>
          <w:p w14:paraId="4A503B76">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提供了有效的法人或者其他组织的营业执照等证明文件，自然人的身份证明</w:t>
            </w:r>
          </w:p>
        </w:tc>
        <w:tc>
          <w:tcPr>
            <w:tcW w:w="1178" w:type="dxa"/>
            <w:vAlign w:val="center"/>
          </w:tcPr>
          <w:p w14:paraId="4F2B496B">
            <w:pPr>
              <w:snapToGrid w:val="0"/>
              <w:jc w:val="center"/>
              <w:rPr>
                <w:rFonts w:hint="eastAsia" w:ascii="仿宋" w:hAnsi="仿宋" w:eastAsia="仿宋" w:cs="仿宋"/>
                <w:color w:val="auto"/>
                <w:szCs w:val="21"/>
                <w:highlight w:val="none"/>
              </w:rPr>
            </w:pPr>
          </w:p>
        </w:tc>
      </w:tr>
      <w:tr w14:paraId="1293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AA84BC4">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655" w:type="dxa"/>
            <w:shd w:val="clear" w:color="auto" w:fill="auto"/>
            <w:vAlign w:val="center"/>
          </w:tcPr>
          <w:p w14:paraId="7E26970A">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具有健全的财务会计制度</w:t>
            </w:r>
          </w:p>
        </w:tc>
        <w:tc>
          <w:tcPr>
            <w:tcW w:w="4677" w:type="dxa"/>
            <w:shd w:val="clear" w:color="auto" w:fill="auto"/>
          </w:tcPr>
          <w:p w14:paraId="1B4BF99F">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提供</w:t>
            </w:r>
            <w:r>
              <w:rPr>
                <w:rFonts w:hint="eastAsia" w:ascii="仿宋" w:hAnsi="仿宋" w:eastAsia="仿宋" w:cs="仿宋"/>
                <w:color w:val="auto"/>
                <w:szCs w:val="21"/>
                <w:highlight w:val="none"/>
                <w:lang w:val="en-US" w:eastAsia="zh-CN"/>
              </w:rPr>
              <w:t>2022或</w:t>
            </w:r>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年度经审计的财务报告</w:t>
            </w:r>
            <w:r>
              <w:rPr>
                <w:rFonts w:hint="eastAsia" w:ascii="仿宋" w:hAnsi="仿宋" w:eastAsia="仿宋" w:cs="仿宋"/>
                <w:color w:val="auto"/>
                <w:szCs w:val="21"/>
                <w:highlight w:val="none"/>
                <w:lang w:val="en-US" w:eastAsia="zh-CN"/>
              </w:rPr>
              <w:t>或2024</w:t>
            </w:r>
            <w:r>
              <w:rPr>
                <w:rFonts w:hint="eastAsia" w:ascii="仿宋" w:hAnsi="仿宋" w:eastAsia="仿宋" w:cs="仿宋"/>
                <w:color w:val="auto"/>
                <w:szCs w:val="21"/>
                <w:highlight w:val="none"/>
              </w:rPr>
              <w:t>年度基本开户银行出具的资信证明</w:t>
            </w:r>
          </w:p>
        </w:tc>
        <w:tc>
          <w:tcPr>
            <w:tcW w:w="1178" w:type="dxa"/>
            <w:vAlign w:val="center"/>
          </w:tcPr>
          <w:p w14:paraId="1292CABD">
            <w:pPr>
              <w:snapToGrid w:val="0"/>
              <w:jc w:val="center"/>
              <w:rPr>
                <w:rFonts w:hint="eastAsia" w:ascii="仿宋" w:hAnsi="仿宋" w:eastAsia="仿宋" w:cs="仿宋"/>
                <w:color w:val="auto"/>
                <w:szCs w:val="21"/>
                <w:highlight w:val="none"/>
              </w:rPr>
            </w:pPr>
          </w:p>
        </w:tc>
      </w:tr>
      <w:tr w14:paraId="47A8A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C15451F">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655" w:type="dxa"/>
            <w:shd w:val="clear" w:color="auto" w:fill="auto"/>
            <w:vAlign w:val="center"/>
          </w:tcPr>
          <w:p w14:paraId="6C9C8B35">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具有履行合同所必需的设备和专业技术能力</w:t>
            </w:r>
          </w:p>
        </w:tc>
        <w:tc>
          <w:tcPr>
            <w:tcW w:w="4677" w:type="dxa"/>
            <w:shd w:val="clear" w:color="auto" w:fill="auto"/>
          </w:tcPr>
          <w:p w14:paraId="7D948E51">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提供了可充分满足履行合同所需设备和专业技术能力的证明材料或承诺</w:t>
            </w:r>
          </w:p>
        </w:tc>
        <w:tc>
          <w:tcPr>
            <w:tcW w:w="1178" w:type="dxa"/>
            <w:vAlign w:val="center"/>
          </w:tcPr>
          <w:p w14:paraId="31318045">
            <w:pPr>
              <w:snapToGrid w:val="0"/>
              <w:jc w:val="center"/>
              <w:rPr>
                <w:rFonts w:hint="eastAsia" w:ascii="仿宋" w:hAnsi="仿宋" w:eastAsia="仿宋" w:cs="仿宋"/>
                <w:color w:val="auto"/>
                <w:szCs w:val="21"/>
                <w:highlight w:val="none"/>
              </w:rPr>
            </w:pPr>
          </w:p>
        </w:tc>
      </w:tr>
      <w:tr w14:paraId="4726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46EFCD9">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655" w:type="dxa"/>
            <w:vAlign w:val="center"/>
          </w:tcPr>
          <w:p w14:paraId="03AE1381">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有依法缴纳税收和社会保障资金的良好记录</w:t>
            </w:r>
          </w:p>
        </w:tc>
        <w:tc>
          <w:tcPr>
            <w:tcW w:w="4677" w:type="dxa"/>
          </w:tcPr>
          <w:p w14:paraId="3B0F0B50">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 提供</w:t>
            </w:r>
            <w:r>
              <w:rPr>
                <w:rFonts w:hint="eastAsia" w:ascii="仿宋" w:hAnsi="仿宋" w:eastAsia="仿宋" w:cs="仿宋"/>
                <w:color w:val="auto"/>
                <w:szCs w:val="21"/>
                <w:highlight w:val="none"/>
                <w:lang w:val="en-US" w:eastAsia="zh-CN"/>
              </w:rPr>
              <w:t>2024年度任意一个月</w:t>
            </w:r>
            <w:r>
              <w:rPr>
                <w:rFonts w:hint="eastAsia" w:ascii="仿宋" w:hAnsi="仿宋" w:eastAsia="仿宋" w:cs="仿宋"/>
                <w:color w:val="auto"/>
                <w:szCs w:val="21"/>
                <w:highlight w:val="none"/>
              </w:rPr>
              <w:t>的</w:t>
            </w:r>
            <w:r>
              <w:rPr>
                <w:rFonts w:hint="eastAsia" w:ascii="仿宋" w:hAnsi="仿宋" w:eastAsia="仿宋" w:cs="仿宋"/>
                <w:color w:val="auto"/>
                <w:szCs w:val="21"/>
                <w:highlight w:val="none"/>
                <w:lang w:val="en-US" w:eastAsia="zh-CN"/>
              </w:rPr>
              <w:t>纳税</w:t>
            </w:r>
            <w:r>
              <w:rPr>
                <w:rFonts w:hint="eastAsia" w:ascii="仿宋" w:hAnsi="仿宋" w:eastAsia="仿宋" w:cs="仿宋"/>
                <w:color w:val="auto"/>
                <w:szCs w:val="21"/>
                <w:highlight w:val="none"/>
              </w:rPr>
              <w:t>凭证（银行出具的缴税凭证或税务机关出具的证明的复印件，并加盖本单位公章）或免税证明（复印件加盖公章）。</w:t>
            </w:r>
          </w:p>
          <w:p w14:paraId="2199EB35">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 提供</w:t>
            </w:r>
            <w:r>
              <w:rPr>
                <w:rFonts w:hint="eastAsia" w:ascii="仿宋" w:hAnsi="仿宋" w:eastAsia="仿宋" w:cs="仿宋"/>
                <w:color w:val="auto"/>
                <w:szCs w:val="21"/>
                <w:highlight w:val="none"/>
                <w:lang w:val="en-US" w:eastAsia="zh-CN"/>
              </w:rPr>
              <w:t>2024年度任意一个月</w:t>
            </w:r>
            <w:r>
              <w:rPr>
                <w:rFonts w:hint="eastAsia" w:ascii="仿宋" w:hAnsi="仿宋" w:eastAsia="仿宋" w:cs="仿宋"/>
                <w:color w:val="auto"/>
                <w:szCs w:val="21"/>
                <w:highlight w:val="none"/>
              </w:rPr>
              <w:t>社会保障资金缴纳记录（专用收据或社会保险缴纳清单）或免缴纳证明（复印件加盖公章）</w:t>
            </w:r>
          </w:p>
        </w:tc>
        <w:tc>
          <w:tcPr>
            <w:tcW w:w="1178" w:type="dxa"/>
            <w:vAlign w:val="center"/>
          </w:tcPr>
          <w:p w14:paraId="6CA24386">
            <w:pPr>
              <w:snapToGrid w:val="0"/>
              <w:jc w:val="center"/>
              <w:rPr>
                <w:rFonts w:hint="eastAsia" w:ascii="仿宋" w:hAnsi="仿宋" w:eastAsia="仿宋" w:cs="仿宋"/>
                <w:color w:val="auto"/>
                <w:szCs w:val="21"/>
                <w:highlight w:val="none"/>
              </w:rPr>
            </w:pPr>
          </w:p>
        </w:tc>
      </w:tr>
      <w:tr w14:paraId="7CAF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1DE3F13">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655" w:type="dxa"/>
            <w:vAlign w:val="center"/>
          </w:tcPr>
          <w:p w14:paraId="736076CE">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参加政府采购活动前三年内，在经营活动中没有重大违法记录</w:t>
            </w:r>
          </w:p>
        </w:tc>
        <w:tc>
          <w:tcPr>
            <w:tcW w:w="4677" w:type="dxa"/>
            <w:vAlign w:val="center"/>
          </w:tcPr>
          <w:p w14:paraId="11942350">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提供了有效的参加政府采购活动前3年内在经营活动中没有重大违法记录的书面声明</w:t>
            </w:r>
          </w:p>
        </w:tc>
        <w:tc>
          <w:tcPr>
            <w:tcW w:w="1178" w:type="dxa"/>
            <w:vAlign w:val="center"/>
          </w:tcPr>
          <w:p w14:paraId="1C0D9C3F">
            <w:pPr>
              <w:snapToGrid w:val="0"/>
              <w:jc w:val="center"/>
              <w:rPr>
                <w:rFonts w:hint="eastAsia" w:ascii="仿宋" w:hAnsi="仿宋" w:eastAsia="仿宋" w:cs="仿宋"/>
                <w:color w:val="auto"/>
                <w:szCs w:val="21"/>
                <w:highlight w:val="none"/>
              </w:rPr>
            </w:pPr>
          </w:p>
        </w:tc>
      </w:tr>
      <w:tr w14:paraId="11CED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A8636DC">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2655" w:type="dxa"/>
            <w:vAlign w:val="center"/>
          </w:tcPr>
          <w:p w14:paraId="33C1E26B">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法律、行政法规规定的其他条件</w:t>
            </w:r>
          </w:p>
        </w:tc>
        <w:tc>
          <w:tcPr>
            <w:tcW w:w="4677" w:type="dxa"/>
            <w:vAlign w:val="center"/>
          </w:tcPr>
          <w:p w14:paraId="71AE1BD6">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不存在违反法律、法规的情况</w:t>
            </w:r>
          </w:p>
        </w:tc>
        <w:tc>
          <w:tcPr>
            <w:tcW w:w="1178" w:type="dxa"/>
            <w:vAlign w:val="center"/>
          </w:tcPr>
          <w:p w14:paraId="34440D19">
            <w:pPr>
              <w:snapToGrid w:val="0"/>
              <w:ind w:left="425"/>
              <w:jc w:val="center"/>
              <w:rPr>
                <w:rFonts w:hint="eastAsia" w:ascii="仿宋" w:hAnsi="仿宋" w:eastAsia="仿宋" w:cs="仿宋"/>
                <w:color w:val="auto"/>
                <w:szCs w:val="21"/>
                <w:highlight w:val="none"/>
              </w:rPr>
            </w:pPr>
          </w:p>
        </w:tc>
      </w:tr>
      <w:tr w14:paraId="0872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2FC29A4">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2655" w:type="dxa"/>
            <w:vAlign w:val="center"/>
          </w:tcPr>
          <w:p w14:paraId="3D712871">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“信用中国”网站和中国政府采购网（www.ccgp.gov.cn）查询记录</w:t>
            </w:r>
          </w:p>
        </w:tc>
        <w:tc>
          <w:tcPr>
            <w:tcW w:w="4677" w:type="dxa"/>
          </w:tcPr>
          <w:p w14:paraId="6F165582">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未被“信用中国”网站（</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"http://www.creditchina.gov.cn）中列入失信被执行人和/" </w:instrText>
            </w:r>
            <w:r>
              <w:rPr>
                <w:rFonts w:hint="eastAsia" w:ascii="仿宋" w:hAnsi="仿宋" w:eastAsia="仿宋" w:cs="仿宋"/>
                <w:color w:val="auto"/>
                <w:highlight w:val="none"/>
              </w:rPr>
              <w:fldChar w:fldCharType="separate"/>
            </w:r>
            <w:r>
              <w:rPr>
                <w:rFonts w:hint="eastAsia" w:ascii="仿宋" w:hAnsi="仿宋" w:eastAsia="仿宋" w:cs="仿宋"/>
                <w:color w:val="auto"/>
                <w:szCs w:val="21"/>
                <w:highlight w:val="none"/>
              </w:rPr>
              <w:t>www.creditchina.gov.cn）列入失信被执行人和/</w:t>
            </w:r>
            <w:r>
              <w:rPr>
                <w:rFonts w:hint="eastAsia" w:ascii="仿宋" w:hAnsi="仿宋" w:eastAsia="仿宋" w:cs="仿宋"/>
                <w:color w:val="auto"/>
                <w:szCs w:val="21"/>
                <w:highlight w:val="none"/>
              </w:rPr>
              <w:fldChar w:fldCharType="end"/>
            </w:r>
            <w:r>
              <w:rPr>
                <w:rFonts w:hint="eastAsia" w:ascii="仿宋" w:hAnsi="仿宋" w:eastAsia="仿宋" w:cs="仿宋"/>
                <w:color w:val="auto"/>
                <w:szCs w:val="21"/>
                <w:highlight w:val="none"/>
              </w:rPr>
              <w:t>或重大税收违法失信主体，未被中国政府采购网（www.ccgp.gov.cn）列入政府采购严重违法失信行为记录名单中被财政部门禁止参加政府采购活动的供应商（处罚决定规定的时间和地域范围内）</w:t>
            </w:r>
          </w:p>
        </w:tc>
        <w:tc>
          <w:tcPr>
            <w:tcW w:w="1178" w:type="dxa"/>
            <w:vAlign w:val="center"/>
          </w:tcPr>
          <w:p w14:paraId="7681483E">
            <w:pPr>
              <w:snapToGrid w:val="0"/>
              <w:ind w:left="425"/>
              <w:jc w:val="center"/>
              <w:rPr>
                <w:rFonts w:hint="eastAsia" w:ascii="仿宋" w:hAnsi="仿宋" w:eastAsia="仿宋" w:cs="仿宋"/>
                <w:color w:val="auto"/>
                <w:szCs w:val="21"/>
                <w:highlight w:val="none"/>
              </w:rPr>
            </w:pPr>
          </w:p>
        </w:tc>
      </w:tr>
      <w:tr w14:paraId="0A26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041F7EA">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2655" w:type="dxa"/>
            <w:vAlign w:val="center"/>
          </w:tcPr>
          <w:p w14:paraId="4357D677">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单位负责人为同一人或者存在控股、管理关系的不同单位，不得同时参加本项目的</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w:t>
            </w:r>
          </w:p>
        </w:tc>
        <w:tc>
          <w:tcPr>
            <w:tcW w:w="4677" w:type="dxa"/>
            <w:vAlign w:val="center"/>
          </w:tcPr>
          <w:p w14:paraId="4F4F35EE">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提供了法人代表、控股股东、控股企业及管理、被管理单位情况声明且各供应商之间不存在单位负责人为同一人或者存在控股、管理关系情形。</w:t>
            </w:r>
          </w:p>
        </w:tc>
        <w:tc>
          <w:tcPr>
            <w:tcW w:w="1178" w:type="dxa"/>
            <w:vAlign w:val="center"/>
          </w:tcPr>
          <w:p w14:paraId="5C9026C3">
            <w:pPr>
              <w:snapToGrid w:val="0"/>
              <w:ind w:left="425"/>
              <w:jc w:val="center"/>
              <w:rPr>
                <w:rFonts w:hint="eastAsia" w:ascii="仿宋" w:hAnsi="仿宋" w:eastAsia="仿宋" w:cs="仿宋"/>
                <w:color w:val="auto"/>
                <w:szCs w:val="21"/>
                <w:highlight w:val="none"/>
              </w:rPr>
            </w:pPr>
          </w:p>
        </w:tc>
      </w:tr>
      <w:tr w14:paraId="1562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5D83D9D">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2655" w:type="dxa"/>
            <w:vAlign w:val="center"/>
          </w:tcPr>
          <w:p w14:paraId="7FF16F14">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为本项目提供整体设计、规范编制或者项目管理、监理、检测等服务的供应商，不得再参加本项目</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w:t>
            </w:r>
          </w:p>
        </w:tc>
        <w:tc>
          <w:tcPr>
            <w:tcW w:w="4677" w:type="dxa"/>
            <w:vAlign w:val="center"/>
          </w:tcPr>
          <w:p w14:paraId="2163CFDD">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提供了供应商未为本项目提供整体设计、规范编制或者项目管理、监理、检测等服务的声明。</w:t>
            </w:r>
          </w:p>
        </w:tc>
        <w:tc>
          <w:tcPr>
            <w:tcW w:w="1178" w:type="dxa"/>
            <w:vAlign w:val="center"/>
          </w:tcPr>
          <w:p w14:paraId="14E98DA8">
            <w:pPr>
              <w:snapToGrid w:val="0"/>
              <w:ind w:left="425"/>
              <w:jc w:val="center"/>
              <w:rPr>
                <w:rFonts w:hint="eastAsia" w:ascii="仿宋" w:hAnsi="仿宋" w:eastAsia="仿宋" w:cs="仿宋"/>
                <w:color w:val="auto"/>
                <w:szCs w:val="21"/>
                <w:highlight w:val="none"/>
              </w:rPr>
            </w:pPr>
          </w:p>
        </w:tc>
      </w:tr>
      <w:tr w14:paraId="1D1A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35ABD0F9">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2655" w:type="dxa"/>
            <w:vAlign w:val="center"/>
          </w:tcPr>
          <w:p w14:paraId="4E531481">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非</w:t>
            </w:r>
            <w:r>
              <w:rPr>
                <w:rFonts w:hint="eastAsia" w:ascii="仿宋" w:hAnsi="仿宋" w:eastAsia="仿宋" w:cs="仿宋"/>
                <w:color w:val="auto"/>
                <w:szCs w:val="21"/>
                <w:highlight w:val="none"/>
              </w:rPr>
              <w:t>联合体</w:t>
            </w:r>
          </w:p>
        </w:tc>
        <w:tc>
          <w:tcPr>
            <w:tcW w:w="4677" w:type="dxa"/>
          </w:tcPr>
          <w:p w14:paraId="42A0B695">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提供非联合体承诺书</w:t>
            </w:r>
            <w:r>
              <w:rPr>
                <w:rFonts w:hint="eastAsia" w:ascii="仿宋" w:hAnsi="仿宋" w:eastAsia="仿宋" w:cs="仿宋"/>
                <w:color w:val="auto"/>
                <w:szCs w:val="21"/>
                <w:highlight w:val="none"/>
              </w:rPr>
              <w:t>。</w:t>
            </w:r>
          </w:p>
        </w:tc>
        <w:tc>
          <w:tcPr>
            <w:tcW w:w="1178" w:type="dxa"/>
            <w:vAlign w:val="center"/>
          </w:tcPr>
          <w:p w14:paraId="5223BB2D">
            <w:pPr>
              <w:snapToGrid w:val="0"/>
              <w:ind w:left="425"/>
              <w:jc w:val="center"/>
              <w:rPr>
                <w:rFonts w:hint="eastAsia" w:ascii="仿宋" w:hAnsi="仿宋" w:eastAsia="仿宋" w:cs="仿宋"/>
                <w:color w:val="auto"/>
                <w:szCs w:val="21"/>
                <w:highlight w:val="none"/>
              </w:rPr>
            </w:pPr>
          </w:p>
        </w:tc>
      </w:tr>
      <w:tr w14:paraId="68AB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52" w:type="dxa"/>
            <w:vMerge w:val="restart"/>
            <w:vAlign w:val="center"/>
          </w:tcPr>
          <w:p w14:paraId="3AA18C32">
            <w:pPr>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2655" w:type="dxa"/>
            <w:vMerge w:val="restart"/>
            <w:vAlign w:val="center"/>
          </w:tcPr>
          <w:p w14:paraId="133248DB">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供应商特定资格条件</w:t>
            </w:r>
          </w:p>
        </w:tc>
        <w:tc>
          <w:tcPr>
            <w:tcW w:w="4677" w:type="dxa"/>
            <w:vAlign w:val="center"/>
          </w:tcPr>
          <w:p w14:paraId="7F73E521">
            <w:pPr>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按照采购公告规定的方式获取了</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文件；</w:t>
            </w:r>
          </w:p>
        </w:tc>
        <w:tc>
          <w:tcPr>
            <w:tcW w:w="1178" w:type="dxa"/>
            <w:vMerge w:val="restart"/>
            <w:vAlign w:val="center"/>
          </w:tcPr>
          <w:p w14:paraId="205B2622">
            <w:pPr>
              <w:snapToGrid w:val="0"/>
              <w:ind w:left="425"/>
              <w:jc w:val="center"/>
              <w:rPr>
                <w:rFonts w:hint="eastAsia" w:ascii="仿宋" w:hAnsi="仿宋" w:eastAsia="仿宋" w:cs="仿宋"/>
                <w:color w:val="auto"/>
                <w:szCs w:val="21"/>
                <w:highlight w:val="none"/>
              </w:rPr>
            </w:pPr>
          </w:p>
        </w:tc>
      </w:tr>
      <w:tr w14:paraId="27D1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52" w:type="dxa"/>
            <w:vMerge w:val="continue"/>
            <w:vAlign w:val="center"/>
          </w:tcPr>
          <w:p w14:paraId="6F9B8974">
            <w:pPr>
              <w:snapToGrid w:val="0"/>
              <w:jc w:val="center"/>
              <w:rPr>
                <w:rFonts w:hint="eastAsia" w:ascii="仿宋" w:hAnsi="仿宋" w:eastAsia="仿宋" w:cs="仿宋"/>
                <w:color w:val="auto"/>
                <w:szCs w:val="21"/>
                <w:highlight w:val="none"/>
              </w:rPr>
            </w:pPr>
          </w:p>
        </w:tc>
        <w:tc>
          <w:tcPr>
            <w:tcW w:w="2655" w:type="dxa"/>
            <w:vMerge w:val="continue"/>
            <w:vAlign w:val="center"/>
          </w:tcPr>
          <w:p w14:paraId="772DEB80">
            <w:pPr>
              <w:snapToGrid w:val="0"/>
              <w:jc w:val="left"/>
              <w:rPr>
                <w:rFonts w:hint="eastAsia" w:ascii="仿宋" w:hAnsi="仿宋" w:eastAsia="仿宋" w:cs="仿宋"/>
                <w:color w:val="auto"/>
                <w:szCs w:val="21"/>
                <w:highlight w:val="none"/>
              </w:rPr>
            </w:pPr>
          </w:p>
        </w:tc>
        <w:tc>
          <w:tcPr>
            <w:tcW w:w="4677" w:type="dxa"/>
            <w:vAlign w:val="center"/>
          </w:tcPr>
          <w:p w14:paraId="749613C1">
            <w:pPr>
              <w:snapToGrid w:val="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供应商若为制造商，提供所投产品的医疗器械生产许可证；供应商若为代理商，提供所投产品的医疗器械经营许可证或二类医疗器械经营备案证（投标产品须在其经营范围内）</w:t>
            </w:r>
          </w:p>
        </w:tc>
        <w:tc>
          <w:tcPr>
            <w:tcW w:w="1178" w:type="dxa"/>
            <w:vMerge w:val="continue"/>
            <w:vAlign w:val="center"/>
          </w:tcPr>
          <w:p w14:paraId="368CD631">
            <w:pPr>
              <w:snapToGrid w:val="0"/>
              <w:ind w:left="425"/>
              <w:jc w:val="center"/>
              <w:rPr>
                <w:rFonts w:hint="eastAsia" w:ascii="仿宋" w:hAnsi="仿宋" w:eastAsia="仿宋" w:cs="仿宋"/>
                <w:color w:val="auto"/>
                <w:szCs w:val="21"/>
                <w:highlight w:val="none"/>
              </w:rPr>
            </w:pPr>
          </w:p>
        </w:tc>
      </w:tr>
      <w:tr w14:paraId="5422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52" w:type="dxa"/>
            <w:vMerge w:val="continue"/>
            <w:vAlign w:val="center"/>
          </w:tcPr>
          <w:p w14:paraId="6DF02B99">
            <w:pPr>
              <w:snapToGrid w:val="0"/>
              <w:jc w:val="center"/>
              <w:rPr>
                <w:rFonts w:hint="eastAsia" w:ascii="仿宋" w:hAnsi="仿宋" w:eastAsia="仿宋" w:cs="仿宋"/>
                <w:color w:val="auto"/>
                <w:szCs w:val="21"/>
                <w:highlight w:val="none"/>
              </w:rPr>
            </w:pPr>
          </w:p>
        </w:tc>
        <w:tc>
          <w:tcPr>
            <w:tcW w:w="2655" w:type="dxa"/>
            <w:vMerge w:val="continue"/>
            <w:vAlign w:val="center"/>
          </w:tcPr>
          <w:p w14:paraId="1279A704">
            <w:pPr>
              <w:snapToGrid w:val="0"/>
              <w:jc w:val="left"/>
              <w:rPr>
                <w:rFonts w:hint="eastAsia" w:ascii="仿宋" w:hAnsi="仿宋" w:eastAsia="仿宋" w:cs="仿宋"/>
                <w:color w:val="auto"/>
                <w:szCs w:val="21"/>
                <w:highlight w:val="none"/>
              </w:rPr>
            </w:pPr>
          </w:p>
        </w:tc>
        <w:tc>
          <w:tcPr>
            <w:tcW w:w="4677" w:type="dxa"/>
            <w:vAlign w:val="center"/>
          </w:tcPr>
          <w:p w14:paraId="66E239E3">
            <w:pPr>
              <w:snapToGrid w:val="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投标产品若属于医疗器械管理的须提供医疗器械注册证</w:t>
            </w:r>
          </w:p>
        </w:tc>
        <w:tc>
          <w:tcPr>
            <w:tcW w:w="1178" w:type="dxa"/>
            <w:vMerge w:val="continue"/>
            <w:vAlign w:val="center"/>
          </w:tcPr>
          <w:p w14:paraId="093CCCEE">
            <w:pPr>
              <w:snapToGrid w:val="0"/>
              <w:ind w:left="425"/>
              <w:jc w:val="center"/>
              <w:rPr>
                <w:rFonts w:hint="eastAsia" w:ascii="仿宋" w:hAnsi="仿宋" w:eastAsia="仿宋" w:cs="仿宋"/>
                <w:color w:val="auto"/>
                <w:szCs w:val="21"/>
                <w:highlight w:val="none"/>
              </w:rPr>
            </w:pPr>
          </w:p>
        </w:tc>
      </w:tr>
      <w:tr w14:paraId="76E7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52" w:type="dxa"/>
            <w:vMerge w:val="continue"/>
            <w:vAlign w:val="center"/>
          </w:tcPr>
          <w:p w14:paraId="294A457E">
            <w:pPr>
              <w:snapToGrid w:val="0"/>
              <w:jc w:val="center"/>
              <w:rPr>
                <w:rFonts w:hint="eastAsia" w:ascii="仿宋" w:hAnsi="仿宋" w:eastAsia="仿宋" w:cs="仿宋"/>
                <w:color w:val="auto"/>
                <w:szCs w:val="21"/>
                <w:highlight w:val="none"/>
              </w:rPr>
            </w:pPr>
          </w:p>
        </w:tc>
        <w:tc>
          <w:tcPr>
            <w:tcW w:w="2655" w:type="dxa"/>
            <w:vMerge w:val="continue"/>
            <w:vAlign w:val="center"/>
          </w:tcPr>
          <w:p w14:paraId="08B40BA2">
            <w:pPr>
              <w:snapToGrid w:val="0"/>
              <w:jc w:val="left"/>
              <w:rPr>
                <w:rFonts w:hint="eastAsia" w:ascii="仿宋" w:hAnsi="仿宋" w:eastAsia="仿宋" w:cs="仿宋"/>
                <w:color w:val="auto"/>
                <w:szCs w:val="21"/>
                <w:highlight w:val="none"/>
              </w:rPr>
            </w:pPr>
          </w:p>
        </w:tc>
        <w:tc>
          <w:tcPr>
            <w:tcW w:w="4677" w:type="dxa"/>
          </w:tcPr>
          <w:p w14:paraId="195E87F5">
            <w:pPr>
              <w:snapToGrid w:val="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法定代表人直接参加</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的，须出具法人身份证，并与营业执照上信息一致。法定代表人授权代表参加</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的，须出具法定代表人授权书</w:t>
            </w:r>
          </w:p>
        </w:tc>
        <w:tc>
          <w:tcPr>
            <w:tcW w:w="1178" w:type="dxa"/>
            <w:vMerge w:val="continue"/>
            <w:vAlign w:val="center"/>
          </w:tcPr>
          <w:p w14:paraId="0E34A850">
            <w:pPr>
              <w:snapToGrid w:val="0"/>
              <w:ind w:left="425"/>
              <w:jc w:val="center"/>
              <w:rPr>
                <w:rFonts w:hint="eastAsia" w:ascii="仿宋" w:hAnsi="仿宋" w:eastAsia="仿宋" w:cs="仿宋"/>
                <w:color w:val="auto"/>
                <w:szCs w:val="21"/>
                <w:highlight w:val="none"/>
              </w:rPr>
            </w:pPr>
          </w:p>
        </w:tc>
      </w:tr>
      <w:tr w14:paraId="1A74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vAlign w:val="center"/>
          </w:tcPr>
          <w:p w14:paraId="1841FCDA">
            <w:pPr>
              <w:snapToGrid w:val="0"/>
              <w:jc w:val="center"/>
              <w:rPr>
                <w:rFonts w:hint="eastAsia" w:ascii="仿宋" w:hAnsi="仿宋" w:eastAsia="仿宋" w:cs="仿宋"/>
                <w:color w:val="auto"/>
                <w:szCs w:val="21"/>
                <w:highlight w:val="none"/>
              </w:rPr>
            </w:pPr>
          </w:p>
        </w:tc>
        <w:tc>
          <w:tcPr>
            <w:tcW w:w="2655" w:type="dxa"/>
            <w:vAlign w:val="center"/>
          </w:tcPr>
          <w:p w14:paraId="4BFA0417">
            <w:pPr>
              <w:snapToGrid w:val="0"/>
              <w:ind w:left="425"/>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结论</w:t>
            </w:r>
          </w:p>
        </w:tc>
        <w:tc>
          <w:tcPr>
            <w:tcW w:w="4677" w:type="dxa"/>
          </w:tcPr>
          <w:p w14:paraId="0B44EDDA">
            <w:pPr>
              <w:snapToGrid w:val="0"/>
              <w:jc w:val="center"/>
              <w:rPr>
                <w:rFonts w:hint="eastAsia" w:ascii="仿宋" w:hAnsi="仿宋" w:eastAsia="仿宋" w:cs="仿宋"/>
                <w:color w:val="auto"/>
                <w:szCs w:val="21"/>
                <w:highlight w:val="none"/>
              </w:rPr>
            </w:pPr>
          </w:p>
        </w:tc>
        <w:tc>
          <w:tcPr>
            <w:tcW w:w="1178" w:type="dxa"/>
            <w:vAlign w:val="center"/>
          </w:tcPr>
          <w:p w14:paraId="2481D3B7">
            <w:pPr>
              <w:snapToGrid w:val="0"/>
              <w:ind w:left="425"/>
              <w:jc w:val="center"/>
              <w:rPr>
                <w:rFonts w:hint="eastAsia" w:ascii="仿宋" w:hAnsi="仿宋" w:eastAsia="仿宋" w:cs="仿宋"/>
                <w:color w:val="auto"/>
                <w:szCs w:val="21"/>
                <w:highlight w:val="none"/>
              </w:rPr>
            </w:pPr>
          </w:p>
        </w:tc>
      </w:tr>
    </w:tbl>
    <w:p w14:paraId="3AE7C5CE">
      <w:pPr>
        <w:spacing w:line="0" w:lineRule="atLeast"/>
        <w:ind w:left="425"/>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注：符合要求用“√”表示，不符合用“×”表示。有一项不符合要求，结论为不合格。</w:t>
      </w:r>
    </w:p>
    <w:p w14:paraId="2E0F1893">
      <w:pPr>
        <w:rPr>
          <w:rFonts w:hint="eastAsia" w:ascii="仿宋" w:hAnsi="仿宋" w:eastAsia="仿宋" w:cs="仿宋"/>
          <w:b/>
          <w:color w:val="auto"/>
          <w:sz w:val="24"/>
          <w:highlight w:val="none"/>
        </w:rPr>
      </w:pPr>
    </w:p>
    <w:p w14:paraId="71ED6678">
      <w:pPr>
        <w:pStyle w:val="23"/>
        <w:keepNext w:val="0"/>
        <w:keepLines w:val="0"/>
        <w:pageBreakBefore w:val="0"/>
        <w:kinsoku/>
        <w:wordWrap/>
        <w:overflowPunct/>
        <w:topLinePunct w:val="0"/>
        <w:bidi w:val="0"/>
        <w:adjustRightInd w:val="0"/>
        <w:snapToGrid w:val="0"/>
        <w:spacing w:line="460" w:lineRule="exact"/>
        <w:ind w:left="843" w:leftChars="0" w:hanging="843" w:hangingChars="350"/>
        <w:rPr>
          <w:rFonts w:hint="eastAsia" w:ascii="仿宋" w:hAnsi="仿宋" w:eastAsia="仿宋" w:cs="仿宋"/>
          <w:color w:val="auto"/>
          <w:sz w:val="24"/>
          <w:highlight w:val="none"/>
        </w:rPr>
      </w:pPr>
      <w:r>
        <w:rPr>
          <w:rFonts w:hint="eastAsia" w:ascii="仿宋" w:hAnsi="仿宋" w:eastAsia="仿宋" w:cs="仿宋"/>
          <w:b/>
          <w:color w:val="auto"/>
          <w:sz w:val="24"/>
          <w:highlight w:val="none"/>
        </w:rPr>
        <w:t>22.2.2 谈判</w:t>
      </w:r>
      <w:r>
        <w:rPr>
          <w:rFonts w:hint="eastAsia" w:ascii="仿宋" w:hAnsi="仿宋" w:eastAsia="仿宋" w:cs="仿宋"/>
          <w:b/>
          <w:color w:val="auto"/>
          <w:sz w:val="24"/>
          <w:highlight w:val="none"/>
          <w:lang w:eastAsia="zh-CN"/>
        </w:rPr>
        <w:t>响应文件</w:t>
      </w:r>
      <w:r>
        <w:rPr>
          <w:rFonts w:hint="eastAsia" w:ascii="仿宋" w:hAnsi="仿宋" w:eastAsia="仿宋" w:cs="仿宋"/>
          <w:b/>
          <w:color w:val="auto"/>
          <w:sz w:val="24"/>
          <w:highlight w:val="none"/>
          <w:lang w:val="en-US" w:eastAsia="zh-CN"/>
        </w:rPr>
        <w:t>符合性审查（</w:t>
      </w:r>
      <w:r>
        <w:rPr>
          <w:rFonts w:hint="eastAsia" w:ascii="仿宋" w:hAnsi="仿宋" w:eastAsia="仿宋" w:cs="仿宋"/>
          <w:b/>
          <w:color w:val="auto"/>
          <w:sz w:val="24"/>
          <w:highlight w:val="none"/>
        </w:rPr>
        <w:t>有效性、完整性和响应程度</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：谈判小组</w:t>
      </w:r>
      <w:r>
        <w:rPr>
          <w:rFonts w:hint="eastAsia" w:ascii="仿宋" w:hAnsi="仿宋" w:eastAsia="仿宋" w:cs="仿宋"/>
          <w:color w:val="auto"/>
          <w:sz w:val="24"/>
          <w:highlight w:val="none"/>
        </w:rPr>
        <w:t>依据谈判文件的规定，对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的有效性、完整性和响应性进行审查，以确定是否满足谈判文件要求，出现下列情况者（但不限于），按无效文件处理。</w:t>
      </w:r>
    </w:p>
    <w:p w14:paraId="5AD12F25">
      <w:pPr>
        <w:pStyle w:val="23"/>
        <w:ind w:left="840" w:leftChars="400"/>
        <w:rPr>
          <w:rFonts w:hint="eastAsia" w:ascii="仿宋" w:hAnsi="仿宋" w:eastAsia="仿宋" w:cs="仿宋"/>
          <w:color w:val="auto"/>
          <w:sz w:val="24"/>
          <w:highlight w:val="none"/>
        </w:rPr>
      </w:pPr>
      <w:bookmarkStart w:id="376" w:name="_Toc58504512"/>
      <w:r>
        <w:rPr>
          <w:rFonts w:hint="eastAsia" w:ascii="仿宋" w:hAnsi="仿宋" w:eastAsia="仿宋" w:cs="仿宋"/>
          <w:color w:val="auto"/>
          <w:sz w:val="24"/>
          <w:highlight w:val="none"/>
        </w:rPr>
        <w:t>（1）供应商未按谈判文件要求加盖单位公章；</w:t>
      </w:r>
    </w:p>
    <w:p w14:paraId="4312341A">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（2）谈判响应文件未按谈判文件要求法定代表人或其授权代表签字；</w:t>
      </w:r>
    </w:p>
    <w:p w14:paraId="2C0B861E">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（3）无有效期或有效期达不到谈判文件的要求；</w:t>
      </w:r>
    </w:p>
    <w:p w14:paraId="68150CF7">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（4）供应商首次谈判报价出现选择性报价；</w:t>
      </w:r>
    </w:p>
    <w:p w14:paraId="1139C1A8">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（5）首次谈判报价超出采购预算；</w:t>
      </w:r>
    </w:p>
    <w:p w14:paraId="75F61D20">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（6）响应文件中对合同草案条款附加了采购人难以接受的条件；</w:t>
      </w:r>
    </w:p>
    <w:p w14:paraId="1426176D">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（7）谈判内容出现漏项或数量与要求不符，出现重大负偏差；</w:t>
      </w:r>
    </w:p>
    <w:p w14:paraId="2E14E65A">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（8）响应文件中技术指标达不到采购要求，降低了产品档次或影响产品性能、功能；</w:t>
      </w:r>
    </w:p>
    <w:p w14:paraId="334CE22C">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（9）响应报价与市场价偏离较大，低于成本，形成不正当竞争；</w:t>
      </w:r>
    </w:p>
    <w:p w14:paraId="419AE0BC">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（10）供应商提供虚假证明，开具虚假资质，出现虚假应答或故意隐瞒行为；</w:t>
      </w:r>
    </w:p>
    <w:p w14:paraId="33A2D695">
      <w:pPr>
        <w:pStyle w:val="23"/>
        <w:ind w:left="840" w:left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（11）未按文件要求缴纳谈判保证金</w:t>
      </w:r>
      <w:r>
        <w:rPr>
          <w:rFonts w:hint="eastAsia" w:ascii="仿宋" w:hAnsi="仿宋" w:eastAsia="仿宋" w:cs="仿宋"/>
          <w:color w:val="auto"/>
          <w:sz w:val="24"/>
          <w:highlight w:val="none"/>
          <w:lang w:eastAsia="zh-CN"/>
        </w:rPr>
        <w:t>；</w:t>
      </w:r>
    </w:p>
    <w:p w14:paraId="3A3788F6">
      <w:pPr>
        <w:pStyle w:val="23"/>
        <w:ind w:left="840" w:left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lang w:eastAsia="zh-CN"/>
        </w:rPr>
        <w:t>）如供应商为提供服务所伴随的货物为政府强制采购的产品，供应商所投产品应属于品目清单的强制采购部分。供应商应提供有效期内的认证证书或相关证明，否则其响应文件将被认定为无效；</w:t>
      </w:r>
    </w:p>
    <w:p w14:paraId="1D9A9F24">
      <w:pPr>
        <w:pStyle w:val="23"/>
        <w:ind w:left="840" w:leftChars="4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lang w:eastAsia="zh-CN"/>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41C43FC4">
      <w:pPr>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4"/>
          <w:szCs w:val="21"/>
          <w:highlight w:val="none"/>
        </w:rPr>
        <w:br w:type="page"/>
      </w:r>
      <w:r>
        <w:rPr>
          <w:rFonts w:hint="eastAsia" w:ascii="仿宋" w:hAnsi="仿宋" w:eastAsia="仿宋" w:cs="仿宋"/>
          <w:b/>
          <w:color w:val="auto"/>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14:paraId="4586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43A9B063">
            <w:pPr>
              <w:tabs>
                <w:tab w:val="left" w:pos="1260"/>
                <w:tab w:val="left" w:pos="1620"/>
              </w:tabs>
              <w:adjustRightInd w:val="0"/>
              <w:snapToGrid w:val="0"/>
              <w:jc w:val="center"/>
              <w:textAlignment w:val="baseline"/>
              <w:rPr>
                <w:rFonts w:hint="eastAsia" w:ascii="仿宋" w:hAnsi="仿宋" w:eastAsia="仿宋" w:cs="仿宋"/>
                <w:b/>
                <w:caps/>
                <w:color w:val="auto"/>
                <w:szCs w:val="21"/>
                <w:highlight w:val="none"/>
              </w:rPr>
            </w:pPr>
            <w:r>
              <w:rPr>
                <w:rFonts w:hint="eastAsia" w:ascii="仿宋" w:hAnsi="仿宋" w:eastAsia="仿宋" w:cs="仿宋"/>
                <w:b/>
                <w:caps/>
                <w:color w:val="auto"/>
                <w:szCs w:val="21"/>
                <w:highlight w:val="none"/>
              </w:rPr>
              <w:t>序号</w:t>
            </w:r>
          </w:p>
        </w:tc>
        <w:tc>
          <w:tcPr>
            <w:tcW w:w="1723" w:type="dxa"/>
            <w:vAlign w:val="center"/>
          </w:tcPr>
          <w:p w14:paraId="76D3A075">
            <w:pPr>
              <w:tabs>
                <w:tab w:val="left" w:pos="1260"/>
                <w:tab w:val="left" w:pos="1620"/>
              </w:tabs>
              <w:adjustRightInd w:val="0"/>
              <w:snapToGrid w:val="0"/>
              <w:jc w:val="center"/>
              <w:textAlignment w:val="baseline"/>
              <w:rPr>
                <w:rFonts w:hint="eastAsia" w:ascii="仿宋" w:hAnsi="仿宋" w:eastAsia="仿宋" w:cs="仿宋"/>
                <w:b/>
                <w:caps/>
                <w:color w:val="auto"/>
                <w:szCs w:val="21"/>
                <w:highlight w:val="none"/>
              </w:rPr>
            </w:pPr>
            <w:r>
              <w:rPr>
                <w:rFonts w:hint="eastAsia" w:ascii="仿宋" w:hAnsi="仿宋" w:eastAsia="仿宋" w:cs="仿宋"/>
                <w:b/>
                <w:caps/>
                <w:color w:val="auto"/>
                <w:szCs w:val="21"/>
                <w:highlight w:val="none"/>
              </w:rPr>
              <w:t>评审项目</w:t>
            </w:r>
          </w:p>
        </w:tc>
        <w:tc>
          <w:tcPr>
            <w:tcW w:w="5401" w:type="dxa"/>
            <w:vAlign w:val="center"/>
          </w:tcPr>
          <w:p w14:paraId="149CB0DA">
            <w:pPr>
              <w:tabs>
                <w:tab w:val="left" w:pos="1260"/>
                <w:tab w:val="left" w:pos="1620"/>
              </w:tabs>
              <w:adjustRightInd w:val="0"/>
              <w:snapToGrid w:val="0"/>
              <w:jc w:val="center"/>
              <w:textAlignment w:val="baseline"/>
              <w:rPr>
                <w:rFonts w:hint="eastAsia" w:ascii="仿宋" w:hAnsi="仿宋" w:eastAsia="仿宋" w:cs="仿宋"/>
                <w:b/>
                <w:caps/>
                <w:color w:val="auto"/>
                <w:szCs w:val="21"/>
                <w:highlight w:val="none"/>
              </w:rPr>
            </w:pPr>
            <w:r>
              <w:rPr>
                <w:rFonts w:hint="eastAsia" w:ascii="仿宋" w:hAnsi="仿宋" w:eastAsia="仿宋" w:cs="仿宋"/>
                <w:b/>
                <w:caps/>
                <w:color w:val="auto"/>
                <w:szCs w:val="21"/>
                <w:highlight w:val="none"/>
              </w:rPr>
              <w:t>评审标准</w:t>
            </w:r>
          </w:p>
        </w:tc>
        <w:tc>
          <w:tcPr>
            <w:tcW w:w="1313" w:type="dxa"/>
            <w:vAlign w:val="center"/>
          </w:tcPr>
          <w:p w14:paraId="7BE54EA5">
            <w:pPr>
              <w:tabs>
                <w:tab w:val="left" w:pos="1260"/>
                <w:tab w:val="left" w:pos="1620"/>
              </w:tabs>
              <w:adjustRightInd w:val="0"/>
              <w:snapToGrid w:val="0"/>
              <w:jc w:val="center"/>
              <w:textAlignment w:val="baseline"/>
              <w:rPr>
                <w:rFonts w:hint="eastAsia" w:ascii="仿宋" w:hAnsi="仿宋" w:eastAsia="仿宋" w:cs="仿宋"/>
                <w:b/>
                <w:caps/>
                <w:color w:val="auto"/>
                <w:szCs w:val="21"/>
                <w:highlight w:val="none"/>
              </w:rPr>
            </w:pPr>
            <w:r>
              <w:rPr>
                <w:rFonts w:hint="eastAsia" w:ascii="仿宋" w:hAnsi="仿宋" w:eastAsia="仿宋" w:cs="仿宋"/>
                <w:b/>
                <w:caps/>
                <w:color w:val="auto"/>
                <w:szCs w:val="21"/>
                <w:highlight w:val="none"/>
              </w:rPr>
              <w:t>评审结论</w:t>
            </w:r>
          </w:p>
          <w:p w14:paraId="127020E2">
            <w:pPr>
              <w:tabs>
                <w:tab w:val="left" w:pos="1260"/>
                <w:tab w:val="left" w:pos="1620"/>
              </w:tabs>
              <w:adjustRightInd w:val="0"/>
              <w:snapToGrid w:val="0"/>
              <w:jc w:val="center"/>
              <w:textAlignment w:val="baseline"/>
              <w:rPr>
                <w:rFonts w:hint="eastAsia" w:ascii="仿宋" w:hAnsi="仿宋" w:eastAsia="仿宋" w:cs="仿宋"/>
                <w:b/>
                <w:caps/>
                <w:color w:val="auto"/>
                <w:szCs w:val="21"/>
                <w:highlight w:val="none"/>
              </w:rPr>
            </w:pPr>
            <w:r>
              <w:rPr>
                <w:rFonts w:hint="eastAsia" w:ascii="仿宋" w:hAnsi="仿宋" w:eastAsia="仿宋" w:cs="仿宋"/>
                <w:b/>
                <w:caps/>
                <w:color w:val="auto"/>
                <w:szCs w:val="21"/>
                <w:highlight w:val="none"/>
              </w:rPr>
              <w:t>（</w:t>
            </w:r>
            <w:r>
              <w:rPr>
                <w:rFonts w:hint="eastAsia" w:ascii="仿宋" w:hAnsi="仿宋" w:eastAsia="仿宋" w:cs="仿宋"/>
                <w:color w:val="auto"/>
                <w:szCs w:val="21"/>
                <w:highlight w:val="none"/>
              </w:rPr>
              <w:t>○</w:t>
            </w:r>
            <w:r>
              <w:rPr>
                <w:rFonts w:hint="eastAsia" w:ascii="仿宋" w:hAnsi="仿宋" w:eastAsia="仿宋" w:cs="仿宋"/>
                <w:b/>
                <w:caps/>
                <w:color w:val="auto"/>
                <w:szCs w:val="21"/>
                <w:highlight w:val="none"/>
              </w:rPr>
              <w:t>/</w:t>
            </w:r>
            <w:r>
              <w:rPr>
                <w:rFonts w:hint="eastAsia" w:ascii="仿宋" w:hAnsi="仿宋" w:eastAsia="仿宋" w:cs="仿宋"/>
                <w:color w:val="auto"/>
                <w:szCs w:val="21"/>
                <w:highlight w:val="none"/>
              </w:rPr>
              <w:t>×</w:t>
            </w:r>
            <w:r>
              <w:rPr>
                <w:rFonts w:hint="eastAsia" w:ascii="仿宋" w:hAnsi="仿宋" w:eastAsia="仿宋" w:cs="仿宋"/>
                <w:b/>
                <w:caps/>
                <w:color w:val="auto"/>
                <w:szCs w:val="21"/>
                <w:highlight w:val="none"/>
              </w:rPr>
              <w:t>）</w:t>
            </w:r>
          </w:p>
        </w:tc>
      </w:tr>
      <w:tr w14:paraId="2A2D2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3F8DD957">
            <w:pPr>
              <w:numPr>
                <w:ilvl w:val="0"/>
                <w:numId w:val="7"/>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346D6122">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响应文件签署盖章</w:t>
            </w:r>
          </w:p>
        </w:tc>
        <w:tc>
          <w:tcPr>
            <w:tcW w:w="5401" w:type="dxa"/>
            <w:vAlign w:val="center"/>
          </w:tcPr>
          <w:p w14:paraId="3D3AADFF">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按</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文件格式要求加盖了供应商公章和有法定代表人或其授权代表签字或加盖人名章。</w:t>
            </w:r>
          </w:p>
        </w:tc>
        <w:tc>
          <w:tcPr>
            <w:tcW w:w="1313" w:type="dxa"/>
            <w:vAlign w:val="center"/>
          </w:tcPr>
          <w:p w14:paraId="73611ED0">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6AB7A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730EFDC8">
            <w:pPr>
              <w:numPr>
                <w:ilvl w:val="0"/>
                <w:numId w:val="7"/>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632470EF">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w:t>
            </w:r>
          </w:p>
        </w:tc>
        <w:tc>
          <w:tcPr>
            <w:tcW w:w="5401" w:type="dxa"/>
            <w:vAlign w:val="center"/>
          </w:tcPr>
          <w:p w14:paraId="031C3EE4">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供应商报价是固定价且未超过预算金额（</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文件有最高限价的，报价未超过最高限价）；</w:t>
            </w:r>
          </w:p>
        </w:tc>
        <w:tc>
          <w:tcPr>
            <w:tcW w:w="1313" w:type="dxa"/>
            <w:vAlign w:val="center"/>
          </w:tcPr>
          <w:p w14:paraId="5AB69682">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24D1CE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56DA744">
            <w:pPr>
              <w:numPr>
                <w:ilvl w:val="0"/>
                <w:numId w:val="7"/>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470FF4EC">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附加条件</w:t>
            </w:r>
          </w:p>
        </w:tc>
        <w:tc>
          <w:tcPr>
            <w:tcW w:w="5401" w:type="dxa"/>
            <w:vAlign w:val="center"/>
          </w:tcPr>
          <w:p w14:paraId="25AD9C18">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响应文件不含有采购人不能接受的附加条件；</w:t>
            </w:r>
          </w:p>
        </w:tc>
        <w:tc>
          <w:tcPr>
            <w:tcW w:w="1313" w:type="dxa"/>
            <w:vAlign w:val="center"/>
          </w:tcPr>
          <w:p w14:paraId="1B381BB3">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1675F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7" w:hRule="atLeast"/>
          <w:jc w:val="center"/>
        </w:trPr>
        <w:tc>
          <w:tcPr>
            <w:tcW w:w="841" w:type="dxa"/>
            <w:vAlign w:val="center"/>
          </w:tcPr>
          <w:p w14:paraId="49DF0AAF">
            <w:pPr>
              <w:numPr>
                <w:ilvl w:val="0"/>
                <w:numId w:val="7"/>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23762A98">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公平竞争</w:t>
            </w:r>
          </w:p>
        </w:tc>
        <w:tc>
          <w:tcPr>
            <w:tcW w:w="5401" w:type="dxa"/>
            <w:vAlign w:val="center"/>
          </w:tcPr>
          <w:p w14:paraId="1FCC9C67">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遵循公平竞争的原则，没有弄虚作假、恶意串通或妨碍其他供应商的竞争行为，损害采购人或者其他供应商的合法权益；</w:t>
            </w:r>
          </w:p>
          <w:p w14:paraId="513478C0">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弄虚作假、相互串通的情形见附注</w:t>
            </w:r>
          </w:p>
        </w:tc>
        <w:tc>
          <w:tcPr>
            <w:tcW w:w="1313" w:type="dxa"/>
            <w:vAlign w:val="center"/>
          </w:tcPr>
          <w:p w14:paraId="760A77DF">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33698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47" w:hRule="atLeast"/>
          <w:jc w:val="center"/>
        </w:trPr>
        <w:tc>
          <w:tcPr>
            <w:tcW w:w="841" w:type="dxa"/>
            <w:vAlign w:val="center"/>
          </w:tcPr>
          <w:p w14:paraId="6BED6101">
            <w:pPr>
              <w:numPr>
                <w:ilvl w:val="0"/>
                <w:numId w:val="7"/>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68EC4680">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其他无效情形</w:t>
            </w:r>
          </w:p>
        </w:tc>
        <w:tc>
          <w:tcPr>
            <w:tcW w:w="5401" w:type="dxa"/>
            <w:vAlign w:val="center"/>
          </w:tcPr>
          <w:p w14:paraId="640E55D0">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无法律、法规和</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文件规定的其他无效情形；</w:t>
            </w:r>
          </w:p>
        </w:tc>
        <w:tc>
          <w:tcPr>
            <w:tcW w:w="1313" w:type="dxa"/>
            <w:vAlign w:val="center"/>
          </w:tcPr>
          <w:p w14:paraId="2C2C440A">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63186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D9EA381">
            <w:pPr>
              <w:numPr>
                <w:ilvl w:val="0"/>
                <w:numId w:val="8"/>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5C59F4FC">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响应文件有效期</w:t>
            </w:r>
          </w:p>
        </w:tc>
        <w:tc>
          <w:tcPr>
            <w:tcW w:w="5401" w:type="dxa"/>
            <w:vAlign w:val="center"/>
          </w:tcPr>
          <w:p w14:paraId="70FB7BEE">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有效期满足</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文件要求的；</w:t>
            </w:r>
          </w:p>
        </w:tc>
        <w:tc>
          <w:tcPr>
            <w:tcW w:w="1313" w:type="dxa"/>
            <w:vAlign w:val="center"/>
          </w:tcPr>
          <w:p w14:paraId="6D6CE2B1">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0945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762C9AF0">
            <w:pPr>
              <w:numPr>
                <w:ilvl w:val="0"/>
                <w:numId w:val="8"/>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37F56504">
            <w:pPr>
              <w:tabs>
                <w:tab w:val="left" w:pos="1260"/>
                <w:tab w:val="left" w:pos="1620"/>
              </w:tabs>
              <w:adjustRightInd w:val="0"/>
              <w:snapToGrid w:val="0"/>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备选方案</w:t>
            </w:r>
          </w:p>
        </w:tc>
        <w:tc>
          <w:tcPr>
            <w:tcW w:w="5401" w:type="dxa"/>
            <w:vAlign w:val="center"/>
          </w:tcPr>
          <w:p w14:paraId="166E350A">
            <w:pPr>
              <w:tabs>
                <w:tab w:val="left" w:pos="1260"/>
                <w:tab w:val="left" w:pos="1620"/>
              </w:tabs>
              <w:adjustRightInd w:val="0"/>
              <w:snapToGrid w:val="0"/>
              <w:textAlignment w:val="baseline"/>
              <w:rPr>
                <w:rFonts w:hint="eastAsia" w:ascii="仿宋" w:hAnsi="仿宋" w:eastAsia="仿宋" w:cs="仿宋"/>
                <w:strike/>
                <w:color w:val="auto"/>
                <w:kern w:val="2"/>
                <w:sz w:val="21"/>
                <w:szCs w:val="21"/>
                <w:highlight w:val="none"/>
                <w:lang w:val="en-US" w:eastAsia="zh-CN" w:bidi="ar-SA"/>
              </w:rPr>
            </w:pPr>
            <w:r>
              <w:rPr>
                <w:rFonts w:hint="eastAsia" w:ascii="仿宋" w:hAnsi="仿宋" w:eastAsia="仿宋" w:cs="仿宋"/>
                <w:color w:val="auto"/>
                <w:szCs w:val="21"/>
                <w:highlight w:val="none"/>
              </w:rPr>
              <w:t>供应商不得提交两份或者多份内容不同的响应文件，或者在同一份响应文件中对同一</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项目有两个或者多个报价；</w:t>
            </w:r>
          </w:p>
        </w:tc>
        <w:tc>
          <w:tcPr>
            <w:tcW w:w="1313" w:type="dxa"/>
            <w:vAlign w:val="center"/>
          </w:tcPr>
          <w:p w14:paraId="496142D1">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16FEA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841" w:type="dxa"/>
            <w:vAlign w:val="center"/>
          </w:tcPr>
          <w:p w14:paraId="0B7CD54C">
            <w:pPr>
              <w:numPr>
                <w:ilvl w:val="0"/>
                <w:numId w:val="8"/>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1F5B0C3F">
            <w:pPr>
              <w:tabs>
                <w:tab w:val="left" w:pos="1260"/>
                <w:tab w:val="left" w:pos="1620"/>
              </w:tabs>
              <w:adjustRightInd w:val="0"/>
              <w:snapToGrid w:val="0"/>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响应文件内容</w:t>
            </w:r>
          </w:p>
        </w:tc>
        <w:tc>
          <w:tcPr>
            <w:tcW w:w="5401" w:type="dxa"/>
            <w:vAlign w:val="center"/>
          </w:tcPr>
          <w:p w14:paraId="64919FBC">
            <w:pPr>
              <w:tabs>
                <w:tab w:val="left" w:pos="1260"/>
                <w:tab w:val="left" w:pos="1620"/>
              </w:tabs>
              <w:adjustRightInd w:val="0"/>
              <w:snapToGrid w:val="0"/>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供应商提供的服务无实质性遗漏</w:t>
            </w:r>
          </w:p>
        </w:tc>
        <w:tc>
          <w:tcPr>
            <w:tcW w:w="1313" w:type="dxa"/>
            <w:vAlign w:val="center"/>
          </w:tcPr>
          <w:p w14:paraId="6FF8D942">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3199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5" w:hRule="atLeast"/>
          <w:jc w:val="center"/>
        </w:trPr>
        <w:tc>
          <w:tcPr>
            <w:tcW w:w="841" w:type="dxa"/>
            <w:vAlign w:val="center"/>
          </w:tcPr>
          <w:p w14:paraId="3DD59B73">
            <w:pPr>
              <w:numPr>
                <w:ilvl w:val="0"/>
                <w:numId w:val="8"/>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26DE2BFE">
            <w:pPr>
              <w:tabs>
                <w:tab w:val="left" w:pos="1260"/>
                <w:tab w:val="left" w:pos="1620"/>
              </w:tabs>
              <w:adjustRightInd w:val="0"/>
              <w:snapToGrid w:val="0"/>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技术响应</w:t>
            </w:r>
          </w:p>
        </w:tc>
        <w:tc>
          <w:tcPr>
            <w:tcW w:w="5401" w:type="dxa"/>
            <w:shd w:val="clear" w:color="auto" w:fill="auto"/>
            <w:vAlign w:val="center"/>
          </w:tcPr>
          <w:p w14:paraId="08FF12A2">
            <w:pPr>
              <w:tabs>
                <w:tab w:val="left" w:pos="1260"/>
                <w:tab w:val="left" w:pos="1620"/>
              </w:tabs>
              <w:adjustRightInd w:val="0"/>
              <w:snapToGrid w:val="0"/>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符合“采购需求”要求，无重大偏差</w:t>
            </w:r>
          </w:p>
        </w:tc>
        <w:tc>
          <w:tcPr>
            <w:tcW w:w="1313" w:type="dxa"/>
            <w:vAlign w:val="center"/>
          </w:tcPr>
          <w:p w14:paraId="40F48252">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24BDE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2A92FBD6">
            <w:pPr>
              <w:numPr>
                <w:ilvl w:val="0"/>
                <w:numId w:val="8"/>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782955A3">
            <w:pPr>
              <w:tabs>
                <w:tab w:val="left" w:pos="1260"/>
                <w:tab w:val="left" w:pos="1620"/>
              </w:tabs>
              <w:adjustRightInd w:val="0"/>
              <w:snapToGrid w:val="0"/>
              <w:textAlignment w:val="baseline"/>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交货期及交货地点</w:t>
            </w:r>
          </w:p>
        </w:tc>
        <w:tc>
          <w:tcPr>
            <w:tcW w:w="5401" w:type="dxa"/>
            <w:shd w:val="clear" w:color="auto" w:fill="auto"/>
            <w:vAlign w:val="center"/>
          </w:tcPr>
          <w:p w14:paraId="10252CF9">
            <w:pPr>
              <w:tabs>
                <w:tab w:val="left" w:pos="1260"/>
                <w:tab w:val="left" w:pos="1620"/>
              </w:tabs>
              <w:adjustRightInd w:val="0"/>
              <w:snapToGrid w:val="0"/>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满足</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文件要求；</w:t>
            </w:r>
          </w:p>
        </w:tc>
        <w:tc>
          <w:tcPr>
            <w:tcW w:w="1313" w:type="dxa"/>
            <w:vAlign w:val="center"/>
          </w:tcPr>
          <w:p w14:paraId="101BE475">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2D373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4C5D6F1E">
            <w:pPr>
              <w:numPr>
                <w:ilvl w:val="0"/>
                <w:numId w:val="8"/>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421613BA">
            <w:pPr>
              <w:tabs>
                <w:tab w:val="left" w:pos="1260"/>
                <w:tab w:val="left" w:pos="1620"/>
              </w:tabs>
              <w:adjustRightInd w:val="0"/>
              <w:snapToGrid w:val="0"/>
              <w:textAlignment w:val="baseline"/>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质保期</w:t>
            </w:r>
          </w:p>
        </w:tc>
        <w:tc>
          <w:tcPr>
            <w:tcW w:w="5401" w:type="dxa"/>
            <w:shd w:val="clear" w:color="auto" w:fill="auto"/>
            <w:vAlign w:val="center"/>
          </w:tcPr>
          <w:p w14:paraId="02DF77BC">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color w:val="auto"/>
                <w:szCs w:val="21"/>
                <w:highlight w:val="none"/>
              </w:rPr>
              <w:t>满足</w:t>
            </w:r>
            <w:r>
              <w:rPr>
                <w:rFonts w:hint="eastAsia" w:ascii="仿宋" w:hAnsi="仿宋" w:eastAsia="仿宋" w:cs="仿宋"/>
                <w:color w:val="auto"/>
                <w:szCs w:val="21"/>
                <w:highlight w:val="none"/>
                <w:lang w:val="en-US" w:eastAsia="zh-CN"/>
              </w:rPr>
              <w:t>谈判</w:t>
            </w:r>
            <w:r>
              <w:rPr>
                <w:rFonts w:hint="eastAsia" w:ascii="仿宋" w:hAnsi="仿宋" w:eastAsia="仿宋" w:cs="仿宋"/>
                <w:color w:val="auto"/>
                <w:szCs w:val="21"/>
                <w:highlight w:val="none"/>
              </w:rPr>
              <w:t>文件要求；</w:t>
            </w:r>
          </w:p>
        </w:tc>
        <w:tc>
          <w:tcPr>
            <w:tcW w:w="1313" w:type="dxa"/>
            <w:vAlign w:val="center"/>
          </w:tcPr>
          <w:p w14:paraId="6251BE6D">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06EAD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1563F01B">
            <w:pPr>
              <w:numPr>
                <w:ilvl w:val="0"/>
                <w:numId w:val="8"/>
              </w:num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723" w:type="dxa"/>
            <w:vAlign w:val="center"/>
          </w:tcPr>
          <w:p w14:paraId="0715C7B1">
            <w:pPr>
              <w:tabs>
                <w:tab w:val="left" w:pos="1260"/>
                <w:tab w:val="left" w:pos="1620"/>
              </w:tabs>
              <w:adjustRightInd w:val="0"/>
              <w:snapToGrid w:val="0"/>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付款方式</w:t>
            </w:r>
          </w:p>
        </w:tc>
        <w:tc>
          <w:tcPr>
            <w:tcW w:w="5401" w:type="dxa"/>
            <w:vAlign w:val="center"/>
          </w:tcPr>
          <w:p w14:paraId="5E1D91DF">
            <w:pPr>
              <w:tabs>
                <w:tab w:val="left" w:pos="1260"/>
                <w:tab w:val="left" w:pos="1620"/>
              </w:tabs>
              <w:adjustRightInd w:val="0"/>
              <w:snapToGrid w:val="0"/>
              <w:textAlignment w:val="baseline"/>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rPr>
              <w:t>付款方式为实质性条款，不允许偏离，供应商须完全响应；</w:t>
            </w:r>
          </w:p>
        </w:tc>
        <w:tc>
          <w:tcPr>
            <w:tcW w:w="1313" w:type="dxa"/>
            <w:vAlign w:val="center"/>
          </w:tcPr>
          <w:p w14:paraId="7DC7E094">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r w14:paraId="4A698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14:paraId="2B13D0B6">
            <w:pPr>
              <w:tabs>
                <w:tab w:val="left" w:pos="1260"/>
                <w:tab w:val="left" w:pos="1620"/>
              </w:tabs>
              <w:adjustRightInd w:val="0"/>
              <w:snapToGrid w:val="0"/>
              <w:textAlignment w:val="baseline"/>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结论（通过或未通过）</w:t>
            </w:r>
          </w:p>
        </w:tc>
        <w:tc>
          <w:tcPr>
            <w:tcW w:w="5401" w:type="dxa"/>
            <w:vAlign w:val="center"/>
          </w:tcPr>
          <w:p w14:paraId="64BEB3A4">
            <w:pPr>
              <w:tabs>
                <w:tab w:val="left" w:pos="1260"/>
                <w:tab w:val="left" w:pos="1620"/>
              </w:tabs>
              <w:adjustRightInd w:val="0"/>
              <w:snapToGrid w:val="0"/>
              <w:textAlignment w:val="baseline"/>
              <w:rPr>
                <w:rFonts w:hint="eastAsia" w:ascii="仿宋" w:hAnsi="仿宋" w:eastAsia="仿宋" w:cs="仿宋"/>
                <w:color w:val="auto"/>
                <w:szCs w:val="21"/>
                <w:highlight w:val="none"/>
              </w:rPr>
            </w:pPr>
          </w:p>
        </w:tc>
        <w:tc>
          <w:tcPr>
            <w:tcW w:w="1313" w:type="dxa"/>
            <w:vAlign w:val="center"/>
          </w:tcPr>
          <w:p w14:paraId="7386EFAC">
            <w:pPr>
              <w:tabs>
                <w:tab w:val="left" w:pos="1260"/>
                <w:tab w:val="left" w:pos="1620"/>
              </w:tabs>
              <w:adjustRightInd w:val="0"/>
              <w:snapToGrid w:val="0"/>
              <w:textAlignment w:val="baseline"/>
              <w:rPr>
                <w:rFonts w:hint="eastAsia" w:ascii="仿宋" w:hAnsi="仿宋" w:eastAsia="仿宋" w:cs="仿宋"/>
                <w:color w:val="auto"/>
                <w:szCs w:val="21"/>
                <w:highlight w:val="none"/>
              </w:rPr>
            </w:pPr>
          </w:p>
        </w:tc>
      </w:tr>
    </w:tbl>
    <w:p w14:paraId="4C3BE22D">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注：1、符合</w:t>
      </w:r>
      <w:r>
        <w:rPr>
          <w:rFonts w:hint="eastAsia" w:ascii="仿宋" w:hAnsi="仿宋" w:eastAsia="仿宋" w:cs="仿宋"/>
          <w:bCs/>
          <w:color w:val="auto"/>
          <w:szCs w:val="21"/>
          <w:highlight w:val="none"/>
          <w:lang w:val="en-US" w:eastAsia="zh-CN"/>
        </w:rPr>
        <w:t>谈判</w:t>
      </w:r>
      <w:r>
        <w:rPr>
          <w:rFonts w:hint="eastAsia" w:ascii="仿宋" w:hAnsi="仿宋" w:eastAsia="仿宋" w:cs="仿宋"/>
          <w:bCs/>
          <w:color w:val="auto"/>
          <w:szCs w:val="21"/>
          <w:highlight w:val="none"/>
        </w:rPr>
        <w:t>文件要求用“√”表示，不符合用“×”表示。有一项不符合要求，结论为不合格。</w:t>
      </w:r>
    </w:p>
    <w:p w14:paraId="601755B8">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2、有下列情形之一的，视为供应商相互串通：</w:t>
      </w:r>
    </w:p>
    <w:p w14:paraId="4485224C">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（1）不同供应商的响应文件由同一单位或者个人编制；</w:t>
      </w:r>
    </w:p>
    <w:p w14:paraId="7CF42ACC">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（2）不同供应商委托同一单位或者个人办理参与</w:t>
      </w:r>
      <w:r>
        <w:rPr>
          <w:rFonts w:hint="eastAsia" w:ascii="仿宋" w:hAnsi="仿宋" w:eastAsia="仿宋" w:cs="仿宋"/>
          <w:bCs/>
          <w:color w:val="auto"/>
          <w:szCs w:val="21"/>
          <w:highlight w:val="none"/>
          <w:lang w:val="en-US" w:eastAsia="zh-CN"/>
        </w:rPr>
        <w:t>谈判</w:t>
      </w:r>
      <w:r>
        <w:rPr>
          <w:rFonts w:hint="eastAsia" w:ascii="仿宋" w:hAnsi="仿宋" w:eastAsia="仿宋" w:cs="仿宋"/>
          <w:bCs/>
          <w:color w:val="auto"/>
          <w:szCs w:val="21"/>
          <w:highlight w:val="none"/>
        </w:rPr>
        <w:t>事宜；</w:t>
      </w:r>
    </w:p>
    <w:p w14:paraId="49442D36">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（3）不同供应商的响应文件载明的项目管理成员或者联系人员为同一人；</w:t>
      </w:r>
    </w:p>
    <w:p w14:paraId="6DDC1D86">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（4）不同供应商的响应文件异常一致或者报价呈规律性差异；</w:t>
      </w:r>
    </w:p>
    <w:p w14:paraId="3EB790C6">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（5）不同供应商的响应文件相互混装；</w:t>
      </w:r>
    </w:p>
    <w:p w14:paraId="3A0DA4AC">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（6）不同供应商的</w:t>
      </w:r>
      <w:r>
        <w:rPr>
          <w:rFonts w:hint="eastAsia" w:ascii="仿宋" w:hAnsi="仿宋" w:eastAsia="仿宋" w:cs="仿宋"/>
          <w:bCs/>
          <w:color w:val="auto"/>
          <w:szCs w:val="21"/>
          <w:highlight w:val="none"/>
          <w:lang w:val="en-US" w:eastAsia="zh-CN"/>
        </w:rPr>
        <w:t>谈判</w:t>
      </w:r>
      <w:r>
        <w:rPr>
          <w:rFonts w:hint="eastAsia" w:ascii="仿宋" w:hAnsi="仿宋" w:eastAsia="仿宋" w:cs="仿宋"/>
          <w:bCs/>
          <w:color w:val="auto"/>
          <w:szCs w:val="21"/>
          <w:highlight w:val="none"/>
        </w:rPr>
        <w:t>保证金从同一单位或者个人的账户转出。</w:t>
      </w:r>
    </w:p>
    <w:p w14:paraId="7BD64FEF">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3、有下列情形之一的，属于提供虚假材料谋取成交的行为：</w:t>
      </w:r>
    </w:p>
    <w:p w14:paraId="4B4FBAD6">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（1）使用伪造、变造的许可证件；</w:t>
      </w:r>
    </w:p>
    <w:p w14:paraId="327F3CD1">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（2）提供虚假的财务状况或者业绩；</w:t>
      </w:r>
    </w:p>
    <w:p w14:paraId="7B824A9C">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（3）提供虚假的项目负责人或者主要技术人员简历、劳动关系证明；</w:t>
      </w:r>
    </w:p>
    <w:p w14:paraId="22C9906F">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（4）提供虚假的信用状况；</w:t>
      </w:r>
    </w:p>
    <w:p w14:paraId="3B177F96">
      <w:pPr>
        <w:tabs>
          <w:tab w:val="left" w:pos="1260"/>
          <w:tab w:val="left" w:pos="1620"/>
        </w:tabs>
        <w:adjustRightInd w:val="0"/>
        <w:spacing w:line="360" w:lineRule="auto"/>
        <w:jc w:val="left"/>
        <w:textAlignment w:val="baseline"/>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（5）其他弄虚作假的行为。</w:t>
      </w:r>
    </w:p>
    <w:p w14:paraId="6C90E20E">
      <w:pPr>
        <w:rPr>
          <w:rFonts w:hint="eastAsia" w:ascii="仿宋" w:hAnsi="仿宋" w:eastAsia="仿宋" w:cs="仿宋"/>
          <w:b/>
          <w:color w:val="auto"/>
          <w:sz w:val="24"/>
          <w:szCs w:val="21"/>
          <w:highlight w:val="none"/>
        </w:rPr>
      </w:pPr>
    </w:p>
    <w:p w14:paraId="4EDA04F9">
      <w:pPr>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br w:type="page"/>
      </w:r>
    </w:p>
    <w:p w14:paraId="27A254A9">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23.    谈判</w:t>
      </w:r>
      <w:bookmarkEnd w:id="376"/>
    </w:p>
    <w:p w14:paraId="51684C02">
      <w:pPr>
        <w:pStyle w:val="23"/>
        <w:ind w:left="840" w:hanging="840" w:hangingChars="350"/>
        <w:rPr>
          <w:rFonts w:hint="eastAsia" w:ascii="仿宋" w:hAnsi="仿宋" w:eastAsia="仿宋" w:cs="仿宋"/>
          <w:color w:val="auto"/>
          <w:sz w:val="24"/>
          <w:highlight w:val="none"/>
        </w:rPr>
      </w:pPr>
      <w:bookmarkStart w:id="377" w:name="_Toc58504513"/>
      <w:r>
        <w:rPr>
          <w:rFonts w:hint="eastAsia" w:ascii="仿宋" w:hAnsi="仿宋" w:eastAsia="仿宋" w:cs="仿宋"/>
          <w:color w:val="auto"/>
          <w:sz w:val="24"/>
          <w:highlight w:val="none"/>
        </w:rPr>
        <w:t>23.3.1 谈判小组集中与各供应商分别进行谈判，并给所有参加谈判供应商平等的谈判机会。</w:t>
      </w:r>
      <w:bookmarkEnd w:id="377"/>
    </w:p>
    <w:p w14:paraId="2E59CACD">
      <w:pPr>
        <w:pStyle w:val="23"/>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65EAF12B">
      <w:pPr>
        <w:pStyle w:val="23"/>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14:paraId="21B7C6D0">
      <w:pPr>
        <w:pStyle w:val="23"/>
        <w:rPr>
          <w:rFonts w:hint="eastAsia" w:ascii="仿宋" w:hAnsi="仿宋" w:eastAsia="仿宋" w:cs="仿宋"/>
          <w:color w:val="auto"/>
          <w:sz w:val="24"/>
          <w:highlight w:val="none"/>
        </w:rPr>
      </w:pPr>
      <w:r>
        <w:rPr>
          <w:rFonts w:hint="eastAsia" w:ascii="仿宋" w:hAnsi="仿宋" w:eastAsia="仿宋" w:cs="仿宋"/>
          <w:color w:val="auto"/>
          <w:sz w:val="24"/>
          <w:highlight w:val="none"/>
        </w:rPr>
        <w:t>23.3.4 如出现下述情形之一的，视为供应商主动退出谈判，其响应将被拒绝：</w:t>
      </w:r>
    </w:p>
    <w:p w14:paraId="6790B2F5">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（1）供应商未按要求确认谈判小组确定的本项目最终技术需求的；</w:t>
      </w:r>
    </w:p>
    <w:p w14:paraId="38485928">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（2）最后报价未实质性响应谈判小组确定的本项目最终技术需求的，或附有采购人无法接受的条件的。</w:t>
      </w:r>
    </w:p>
    <w:p w14:paraId="475CB1FA">
      <w:pPr>
        <w:pStyle w:val="23"/>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23.4   最后报价</w:t>
      </w:r>
    </w:p>
    <w:p w14:paraId="594D8FF0">
      <w:pPr>
        <w:pStyle w:val="23"/>
        <w:keepNext w:val="0"/>
        <w:keepLines w:val="0"/>
        <w:pageBreakBefore w:val="0"/>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23.4.1 谈判结束后，有效响应供应商不少于3家。谈判小组要求供应商在规定时间内提交最后报价，最后报价是供应商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的有效组成部分。</w:t>
      </w:r>
    </w:p>
    <w:p w14:paraId="1FA2FF3B">
      <w:pPr>
        <w:pStyle w:val="23"/>
        <w:keepNext w:val="0"/>
        <w:keepLines w:val="0"/>
        <w:pageBreakBefore w:val="0"/>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23.4.2 最后报价应按附件中报价的格式内容填写，并且同时提交最后响应报价表、最后报价明细表、最后节能、环境标志产品明细表等内容。各供应商在提交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时，应对最后报价加盖供应商红色公章，且由法定代表人（或授权代表人）签字。</w:t>
      </w:r>
    </w:p>
    <w:bookmarkEnd w:id="375"/>
    <w:p w14:paraId="151424D9">
      <w:pPr>
        <w:pStyle w:val="4"/>
        <w:tabs>
          <w:tab w:val="left" w:pos="360"/>
        </w:tabs>
        <w:rPr>
          <w:rFonts w:hint="eastAsia" w:ascii="仿宋" w:hAnsi="仿宋" w:eastAsia="仿宋" w:cs="仿宋"/>
          <w:b/>
          <w:bCs/>
          <w:color w:val="auto"/>
          <w:sz w:val="24"/>
          <w:szCs w:val="21"/>
          <w:highlight w:val="none"/>
        </w:rPr>
      </w:pPr>
      <w:bookmarkStart w:id="378" w:name="_Toc150774646"/>
      <w:bookmarkStart w:id="379" w:name="_Ref467307010"/>
      <w:bookmarkStart w:id="380" w:name="_Toc151193644"/>
      <w:bookmarkStart w:id="381" w:name="_Toc164229387"/>
      <w:bookmarkStart w:id="382" w:name="_Toc150480784"/>
      <w:bookmarkStart w:id="383" w:name="_Toc249515310"/>
      <w:bookmarkStart w:id="384" w:name="_Toc150774751"/>
      <w:bookmarkStart w:id="385" w:name="_Toc151190173"/>
      <w:bookmarkStart w:id="386" w:name="_Toc142311048"/>
      <w:bookmarkStart w:id="387" w:name="_Toc164351640"/>
      <w:bookmarkStart w:id="388" w:name="_Toc127151747"/>
      <w:bookmarkStart w:id="389" w:name="_Toc151193860"/>
      <w:bookmarkStart w:id="390" w:name="_Toc249515422"/>
      <w:bookmarkStart w:id="391" w:name="_Toc195842911"/>
      <w:bookmarkStart w:id="392" w:name="_Toc150509297"/>
      <w:bookmarkStart w:id="393" w:name="_Toc127161460"/>
      <w:bookmarkStart w:id="394" w:name="_Toc520356170"/>
      <w:bookmarkStart w:id="395" w:name="_Toc164229241"/>
      <w:bookmarkStart w:id="396" w:name="_Toc164608815"/>
      <w:bookmarkStart w:id="397" w:name="_Toc13753"/>
      <w:bookmarkStart w:id="398" w:name="_Toc149720839"/>
      <w:bookmarkStart w:id="399" w:name="_Toc151193934"/>
      <w:bookmarkStart w:id="400" w:name="_Toc151193716"/>
      <w:bookmarkStart w:id="401" w:name="_Toc164608660"/>
      <w:bookmarkStart w:id="402" w:name="_Toc249525191"/>
      <w:bookmarkStart w:id="403" w:name="_Toc127151546"/>
      <w:bookmarkStart w:id="404" w:name="_Toc151193788"/>
      <w:r>
        <w:rPr>
          <w:rFonts w:hint="eastAsia" w:ascii="仿宋" w:hAnsi="仿宋" w:eastAsia="仿宋" w:cs="仿宋"/>
          <w:b/>
          <w:bCs/>
          <w:color w:val="auto"/>
          <w:sz w:val="24"/>
          <w:szCs w:val="21"/>
          <w:highlight w:val="none"/>
        </w:rPr>
        <w:t>24.    评审办法及</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hint="eastAsia" w:ascii="仿宋" w:hAnsi="仿宋" w:eastAsia="仿宋" w:cs="仿宋"/>
          <w:b/>
          <w:bCs/>
          <w:color w:val="auto"/>
          <w:sz w:val="24"/>
          <w:szCs w:val="21"/>
          <w:highlight w:val="none"/>
        </w:rPr>
        <w:t>落实政府采购政策</w:t>
      </w:r>
    </w:p>
    <w:p w14:paraId="65B73A8E">
      <w:pPr>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24.1   谈判小组按照谈判文件规定的评审方法和标准，对审查合格的文件进行商务和技术评审，比较和评价。</w:t>
      </w:r>
    </w:p>
    <w:p w14:paraId="76BCE887">
      <w:pPr>
        <w:pStyle w:val="68"/>
        <w:tabs>
          <w:tab w:val="left" w:pos="360"/>
          <w:tab w:val="left" w:pos="502"/>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24.2   评审办法：比照最低评标价法，在质量和服务均能满足谈判文件实质性响应要求的供应商中，按照最后报价由低到高的顺序提出3名以上成交候选人，并编写评审报告。</w:t>
      </w:r>
    </w:p>
    <w:p w14:paraId="56F4AC6F">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24.3   若项目未专门面向中小企业采购，对小微型企业、监狱企业、残疾人福利性单位产品的价格给予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i w:val="0"/>
          <w:iCs w:val="0"/>
          <w:color w:val="auto"/>
          <w:sz w:val="22"/>
          <w:szCs w:val="28"/>
          <w:highlight w:val="none"/>
          <w:u w:val="single"/>
        </w:rPr>
        <w:t>10%</w:t>
      </w:r>
      <w:r>
        <w:rPr>
          <w:rFonts w:hint="eastAsia" w:ascii="仿宋" w:hAnsi="仿宋" w:eastAsia="仿宋" w:cs="仿宋"/>
          <w:i/>
          <w:iCs/>
          <w:color w:val="auto"/>
          <w:highlight w:val="none"/>
          <w:u w:val="single"/>
          <w:lang w:val="en-US" w:eastAsia="zh-CN"/>
        </w:rPr>
        <w:t xml:space="preserve">  </w:t>
      </w:r>
      <w:r>
        <w:rPr>
          <w:rFonts w:hint="eastAsia" w:ascii="仿宋" w:hAnsi="仿宋" w:eastAsia="仿宋" w:cs="仿宋"/>
          <w:color w:val="auto"/>
          <w:sz w:val="24"/>
          <w:highlight w:val="none"/>
        </w:rPr>
        <w:t>的扣除，用扣除后的价格参与评审。若项目专门面向中小企业采购，则不再进行价格扣除。</w:t>
      </w:r>
    </w:p>
    <w:p w14:paraId="511E410D">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民政部</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中国残疾人联合会关于促进残疾人就业政府采购政策的通知》（财库〔2017〕141号）文件规定，并提供《残疾人福利性单位声明函》。</w:t>
      </w:r>
    </w:p>
    <w:p w14:paraId="35CE1907">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（2）对于同时属于小微企业、监狱企业或残疾人福利性单位的，不重复进行价格扣除。</w:t>
      </w:r>
    </w:p>
    <w:p w14:paraId="3C2BE7FE">
      <w:pPr>
        <w:pStyle w:val="23"/>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（3）如允许与小微企业组成联合体或向其分包的，且合同额占总金额30%以上的，给予</w:t>
      </w:r>
      <w:r>
        <w:rPr>
          <w:rFonts w:hint="eastAsia" w:ascii="仿宋" w:hAnsi="仿宋" w:eastAsia="仿宋" w:cs="仿宋"/>
          <w:i/>
          <w:iCs/>
          <w:color w:val="auto"/>
          <w:sz w:val="24"/>
          <w:highlight w:val="none"/>
          <w:u w:val="single"/>
        </w:rPr>
        <w:t>4%（工程为1%）</w:t>
      </w:r>
      <w:r>
        <w:rPr>
          <w:rFonts w:hint="eastAsia" w:ascii="仿宋" w:hAnsi="仿宋" w:eastAsia="仿宋" w:cs="仿宋"/>
          <w:color w:val="auto"/>
          <w:sz w:val="24"/>
          <w:highlight w:val="none"/>
        </w:rPr>
        <w:t>的扣除。联合体各方均为小型、微型企业和监狱企业的，联合体视同为小型、微型企业和监狱企业。</w:t>
      </w:r>
    </w:p>
    <w:p w14:paraId="3A8EC5E3">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24.4   谈判产品为节能、环境标志产品，符合谈判文件要求的，可优先采购，价格扣除百分比计算公式为：节能、环境标志产品清单中的产品价格占谈判响应总价的</w:t>
      </w:r>
      <w:r>
        <w:rPr>
          <w:rFonts w:hint="eastAsia" w:ascii="仿宋" w:hAnsi="仿宋" w:eastAsia="仿宋" w:cs="仿宋"/>
          <w:b/>
          <w:color w:val="auto"/>
          <w:sz w:val="24"/>
          <w:highlight w:val="none"/>
        </w:rPr>
        <w:t>百分比×5%</w:t>
      </w:r>
      <w:r>
        <w:rPr>
          <w:rFonts w:hint="eastAsia" w:ascii="仿宋" w:hAnsi="仿宋" w:eastAsia="仿宋" w:cs="仿宋"/>
          <w:color w:val="auto"/>
          <w:sz w:val="24"/>
          <w:highlight w:val="none"/>
        </w:rPr>
        <w:t>，用扣除后的价格参与评审。</w:t>
      </w:r>
    </w:p>
    <w:p w14:paraId="3A371FA3">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1DA32EA2">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（2）以在有效期之内的，国家确定的认证机构出具的节能产品、环境标志产品认证证书为依据，复印件须加盖供应商公章，否则不予扣除。</w:t>
      </w:r>
    </w:p>
    <w:p w14:paraId="3804B821">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（3）供应商在响应文件中对所响应产品为节能、环境标志品目清单中的产品，在谈判报价时必须对此类产品单独分项报价，未提供节能、环境标志产品计分明细表不予扣除。 </w:t>
      </w:r>
    </w:p>
    <w:p w14:paraId="12ADBD20">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（4）若节能、环境标志清单内的产品仅是构成响应产品的部件、组件或零件的，则该产品不享受鼓励优惠政策。</w:t>
      </w:r>
    </w:p>
    <w:p w14:paraId="48949513">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（5）同一包内的节能、环境标志产品部分计分只对属于清单内的非强制类产品进行计分，强制类产品不给予扣除。 </w:t>
      </w:r>
    </w:p>
    <w:p w14:paraId="2C9CB744">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（6）节能、环境标志产品不重复扣除；同时列入国家级清单和省级清单的产品不重复扣除。</w:t>
      </w:r>
    </w:p>
    <w:p w14:paraId="36C8D702">
      <w:pPr>
        <w:tabs>
          <w:tab w:val="left" w:pos="588"/>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24.5   响应文件出现下列情况之一者，谈判小组在评审过程中按以下原则修正：</w:t>
      </w:r>
    </w:p>
    <w:p w14:paraId="65E33568">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（1）大写金额与小写金额不一致的，以大写金额为准；</w:t>
      </w:r>
    </w:p>
    <w:p w14:paraId="1C599739">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（2）总价金额与按单价汇总金额不一致的，以单价金额计算结果为准；</w:t>
      </w:r>
    </w:p>
    <w:p w14:paraId="12FED2F6">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（3）单价金额小数点有明显错位的，应以总价为准，并修改单价；</w:t>
      </w:r>
    </w:p>
    <w:p w14:paraId="2D836962">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（4）对不同文字文本响应文件的解释发生异议的，以中文文本为准；</w:t>
      </w:r>
    </w:p>
    <w:p w14:paraId="3E3A71B9">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（5）文字与图表不一致的，以文字为准；</w:t>
      </w:r>
    </w:p>
    <w:p w14:paraId="334430B6">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（6）正本与副本不一致的，以正本为准；</w:t>
      </w:r>
    </w:p>
    <w:p w14:paraId="0CE9D4E8">
      <w:pPr>
        <w:tabs>
          <w:tab w:val="left" w:pos="588"/>
        </w:tabs>
        <w:spacing w:line="360" w:lineRule="auto"/>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（7）响应文件的文字叙述与制造厂商的产品样本/检测报告不符时，以产品样本/检测报告为准。</w:t>
      </w:r>
    </w:p>
    <w:p w14:paraId="6848CD65">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14:paraId="16D41F80">
      <w:pPr>
        <w:pStyle w:val="2"/>
        <w:keepNext/>
        <w:keepLines/>
        <w:pageBreakBefore w:val="0"/>
        <w:widowControl w:val="0"/>
        <w:kinsoku/>
        <w:wordWrap/>
        <w:overflowPunct/>
        <w:topLinePunct w:val="0"/>
        <w:autoSpaceDE/>
        <w:autoSpaceDN/>
        <w:bidi w:val="0"/>
        <w:adjustRightInd w:val="0"/>
        <w:snapToGrid/>
        <w:spacing w:before="20" w:after="20" w:line="400" w:lineRule="exact"/>
        <w:jc w:val="center"/>
        <w:textAlignment w:val="baseline"/>
        <w:rPr>
          <w:rFonts w:hint="eastAsia" w:ascii="仿宋" w:hAnsi="仿宋" w:eastAsia="仿宋" w:cs="仿宋"/>
          <w:color w:val="auto"/>
          <w:sz w:val="28"/>
          <w:szCs w:val="28"/>
          <w:highlight w:val="none"/>
        </w:rPr>
      </w:pPr>
      <w:bookmarkStart w:id="405" w:name="_Hlt491765714"/>
      <w:bookmarkEnd w:id="405"/>
      <w:bookmarkStart w:id="406" w:name="_Hlt497729446"/>
      <w:bookmarkEnd w:id="406"/>
      <w:bookmarkStart w:id="407" w:name="_Toc249515311"/>
      <w:bookmarkStart w:id="408" w:name="_Toc249515423"/>
      <w:bookmarkStart w:id="409" w:name="_Toc20496"/>
      <w:bookmarkStart w:id="410" w:name="_Toc232176278"/>
      <w:bookmarkStart w:id="411" w:name="_Toc232395218"/>
      <w:bookmarkStart w:id="412" w:name="_Toc249525192"/>
      <w:bookmarkStart w:id="413" w:name="_Toc256342149"/>
      <w:bookmarkStart w:id="414" w:name="_Toc500747068"/>
      <w:bookmarkStart w:id="415" w:name="_Toc177817340"/>
      <w:bookmarkStart w:id="416" w:name="_Toc496324585"/>
      <w:bookmarkStart w:id="417" w:name="_Toc500746972"/>
      <w:bookmarkStart w:id="418" w:name="_Toc499711890"/>
      <w:bookmarkStart w:id="419" w:name="_Toc499711049"/>
      <w:bookmarkStart w:id="420" w:name="_Toc177995479"/>
      <w:bookmarkStart w:id="421" w:name="_Toc177189241"/>
      <w:bookmarkStart w:id="422" w:name="_Toc492955421"/>
      <w:bookmarkStart w:id="423" w:name="_Toc503063428"/>
      <w:bookmarkStart w:id="424" w:name="_Toc385992360"/>
      <w:bookmarkStart w:id="425" w:name="_Toc184043047"/>
      <w:bookmarkStart w:id="426" w:name="_Toc53722846"/>
      <w:bookmarkStart w:id="427" w:name="_Toc70687174"/>
      <w:bookmarkStart w:id="428" w:name="_Toc500747195"/>
      <w:bookmarkStart w:id="429" w:name="_Toc389620199"/>
      <w:bookmarkStart w:id="430" w:name="_Toc176882548"/>
      <w:r>
        <w:rPr>
          <w:rFonts w:hint="eastAsia" w:ascii="仿宋" w:hAnsi="仿宋" w:eastAsia="仿宋" w:cs="仿宋"/>
          <w:color w:val="auto"/>
          <w:sz w:val="28"/>
          <w:szCs w:val="28"/>
          <w:highlight w:val="none"/>
        </w:rPr>
        <w:t>六、确定成交单位、授予合同</w:t>
      </w:r>
      <w:bookmarkEnd w:id="407"/>
      <w:bookmarkEnd w:id="408"/>
      <w:bookmarkEnd w:id="409"/>
      <w:bookmarkEnd w:id="410"/>
      <w:bookmarkEnd w:id="411"/>
      <w:bookmarkEnd w:id="412"/>
      <w:bookmarkEnd w:id="413"/>
    </w:p>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14:paraId="3FCE81AB">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431" w:name="_Toc27151"/>
      <w:bookmarkStart w:id="432" w:name="_Toc389620200"/>
      <w:bookmarkStart w:id="433" w:name="_Toc385992361"/>
      <w:bookmarkStart w:id="434" w:name="_Toc249515424"/>
      <w:bookmarkStart w:id="435" w:name="_Toc184043048"/>
      <w:bookmarkStart w:id="436" w:name="_Toc249525193"/>
      <w:bookmarkStart w:id="437" w:name="_Toc70687175"/>
      <w:bookmarkStart w:id="438" w:name="_Toc249515312"/>
      <w:r>
        <w:rPr>
          <w:rFonts w:hint="eastAsia" w:ascii="仿宋" w:hAnsi="仿宋" w:eastAsia="仿宋" w:cs="仿宋"/>
          <w:b/>
          <w:color w:val="auto"/>
          <w:sz w:val="24"/>
          <w:szCs w:val="21"/>
          <w:highlight w:val="none"/>
        </w:rPr>
        <w:t>25.    确定成交</w:t>
      </w:r>
      <w:bookmarkEnd w:id="431"/>
      <w:bookmarkEnd w:id="432"/>
      <w:bookmarkEnd w:id="433"/>
      <w:bookmarkEnd w:id="434"/>
      <w:bookmarkEnd w:id="435"/>
      <w:bookmarkEnd w:id="436"/>
      <w:bookmarkEnd w:id="437"/>
      <w:bookmarkEnd w:id="438"/>
      <w:r>
        <w:rPr>
          <w:rFonts w:hint="eastAsia" w:ascii="仿宋" w:hAnsi="仿宋" w:eastAsia="仿宋" w:cs="仿宋"/>
          <w:b/>
          <w:color w:val="auto"/>
          <w:sz w:val="24"/>
          <w:szCs w:val="21"/>
          <w:highlight w:val="none"/>
        </w:rPr>
        <w:t>单位</w:t>
      </w:r>
    </w:p>
    <w:p w14:paraId="554D0A88">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25.1   采购代理机构应在评审结束后两个工作日内，将评审报告送采购人。</w:t>
      </w:r>
    </w:p>
    <w:p w14:paraId="2E3B5B71">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25.2   采购人在收到评审报告后五个工作日内，根据评审报告对评审过程及结果进行严格审核后确定成交供应商，复函采购代理机构。</w:t>
      </w:r>
    </w:p>
    <w:p w14:paraId="31D851E4">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6182FECB">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25.4   采购代理机构将评审过程及成交供应商情况书面报监督机构备案。</w:t>
      </w:r>
      <w:bookmarkStart w:id="439" w:name="_Toc389620203"/>
      <w:bookmarkStart w:id="440" w:name="_Toc385992364"/>
    </w:p>
    <w:bookmarkEnd w:id="439"/>
    <w:bookmarkEnd w:id="440"/>
    <w:p w14:paraId="477A9C61">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441" w:name="_Toc385992365"/>
      <w:bookmarkStart w:id="442" w:name="_Toc389620204"/>
      <w:r>
        <w:rPr>
          <w:rFonts w:hint="eastAsia" w:ascii="仿宋" w:hAnsi="仿宋" w:eastAsia="仿宋" w:cs="仿宋"/>
          <w:b/>
          <w:color w:val="auto"/>
          <w:sz w:val="24"/>
          <w:szCs w:val="21"/>
          <w:highlight w:val="none"/>
        </w:rPr>
        <w:t>26.    合同</w:t>
      </w:r>
    </w:p>
    <w:p w14:paraId="08EDEF23">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26.1   自成交通知书发出后三十日内，按照谈判文件和成交供应商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的约定，采购人与成交供应商洽谈合同条款，并签订合同。谈判文件及成交供应商的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均作为合同的组成部分。</w:t>
      </w:r>
    </w:p>
    <w:p w14:paraId="2B9BB6CA">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03FFDC1F">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highlight w:val="none"/>
        </w:rPr>
      </w:pPr>
      <w:r>
        <w:rPr>
          <w:rFonts w:hint="eastAsia" w:ascii="仿宋" w:hAnsi="仿宋" w:eastAsia="仿宋" w:cs="仿宋"/>
          <w:color w:val="auto"/>
          <w:sz w:val="24"/>
          <w:highlight w:val="none"/>
        </w:rPr>
        <w:t>26.3   成交供应商签订合同后，持合同原件到采购代理机构，或采购代理机构根据陕西省政府采购网合同备案结果办理保证金退还手续。</w:t>
      </w:r>
    </w:p>
    <w:p w14:paraId="3F486F27">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27.    询问与质疑</w:t>
      </w:r>
    </w:p>
    <w:p w14:paraId="03D53461">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27.1   供应商对政府采购活动事项有疑问的，可以向采购人提出询问。</w:t>
      </w:r>
    </w:p>
    <w:p w14:paraId="1FEF0A8A">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27.2   供应商认为采购文件、采购过程和中标、成交结果使自己的权益受到损害的，可以在知道或者应知其权益受到损害之日起七个工作日内，以书面形式向采购人提出质疑。</w:t>
      </w:r>
    </w:p>
    <w:p w14:paraId="209BC621">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27.3   质疑供应商在法定质疑期内须一次性提出针对同一采购程序环节的质疑。</w:t>
      </w:r>
    </w:p>
    <w:p w14:paraId="638798C5">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27.4   供应商提出质疑应当提交质疑函和必要的证明材料。质疑函应当包括下列内容：</w:t>
      </w:r>
    </w:p>
    <w:p w14:paraId="4979A17A">
      <w:pPr>
        <w:pStyle w:val="68"/>
        <w:keepNext w:val="0"/>
        <w:keepLines w:val="0"/>
        <w:pageBreakBefore w:val="0"/>
        <w:widowControl w:val="0"/>
        <w:numPr>
          <w:ilvl w:val="0"/>
          <w:numId w:val="9"/>
        </w:numPr>
        <w:tabs>
          <w:tab w:val="left" w:pos="588"/>
        </w:tabs>
        <w:kinsoku/>
        <w:wordWrap/>
        <w:overflowPunct/>
        <w:topLinePunct w:val="0"/>
        <w:autoSpaceDE/>
        <w:autoSpaceDN/>
        <w:bidi w:val="0"/>
        <w:adjustRightInd w:val="0"/>
        <w:snapToGrid w:val="0"/>
        <w:spacing w:line="460" w:lineRule="exact"/>
        <w:ind w:left="0" w:leftChars="0" w:firstLine="840" w:firstLineChars="35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供应商的姓名或者名称、地址、邮编、联系人及联系电话；</w:t>
      </w:r>
    </w:p>
    <w:p w14:paraId="282E2AD3">
      <w:pPr>
        <w:pStyle w:val="68"/>
        <w:keepNext w:val="0"/>
        <w:keepLines w:val="0"/>
        <w:pageBreakBefore w:val="0"/>
        <w:widowControl w:val="0"/>
        <w:numPr>
          <w:ilvl w:val="0"/>
          <w:numId w:val="9"/>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质疑项目的名称、编号；</w:t>
      </w:r>
    </w:p>
    <w:p w14:paraId="28F38166">
      <w:pPr>
        <w:pStyle w:val="68"/>
        <w:keepNext w:val="0"/>
        <w:keepLines w:val="0"/>
        <w:pageBreakBefore w:val="0"/>
        <w:widowControl w:val="0"/>
        <w:numPr>
          <w:ilvl w:val="0"/>
          <w:numId w:val="9"/>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具体、明确的质疑事项和与质疑事项相关的请求；</w:t>
      </w:r>
    </w:p>
    <w:p w14:paraId="2362CDC0">
      <w:pPr>
        <w:pStyle w:val="68"/>
        <w:keepNext w:val="0"/>
        <w:keepLines w:val="0"/>
        <w:pageBreakBefore w:val="0"/>
        <w:widowControl w:val="0"/>
        <w:numPr>
          <w:ilvl w:val="0"/>
          <w:numId w:val="9"/>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p>
    <w:p w14:paraId="2F2EEC9E">
      <w:pPr>
        <w:pStyle w:val="68"/>
        <w:keepNext w:val="0"/>
        <w:keepLines w:val="0"/>
        <w:pageBreakBefore w:val="0"/>
        <w:widowControl w:val="0"/>
        <w:numPr>
          <w:ilvl w:val="0"/>
          <w:numId w:val="9"/>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必要的法律依据；</w:t>
      </w:r>
    </w:p>
    <w:p w14:paraId="344AF60E">
      <w:pPr>
        <w:pStyle w:val="68"/>
        <w:keepNext w:val="0"/>
        <w:keepLines w:val="0"/>
        <w:pageBreakBefore w:val="0"/>
        <w:widowControl w:val="0"/>
        <w:numPr>
          <w:ilvl w:val="0"/>
          <w:numId w:val="9"/>
        </w:numPr>
        <w:tabs>
          <w:tab w:val="left" w:pos="588"/>
        </w:tabs>
        <w:kinsoku/>
        <w:wordWrap/>
        <w:overflowPunct/>
        <w:topLinePunct w:val="0"/>
        <w:autoSpaceDE/>
        <w:autoSpaceDN/>
        <w:bidi w:val="0"/>
        <w:adjustRightInd w:val="0"/>
        <w:snapToGrid w:val="0"/>
        <w:spacing w:line="460" w:lineRule="exact"/>
        <w:ind w:left="0" w:leftChars="0" w:firstLine="840" w:firstLineChars="3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提出质疑的日期。</w:t>
      </w:r>
    </w:p>
    <w:bookmarkEnd w:id="441"/>
    <w:bookmarkEnd w:id="442"/>
    <w:p w14:paraId="3BA622ED">
      <w:pPr>
        <w:pStyle w:val="68"/>
        <w:tabs>
          <w:tab w:val="left" w:pos="588"/>
        </w:tabs>
        <w:spacing w:line="360" w:lineRule="auto"/>
        <w:ind w:left="838" w:leftChars="399" w:firstLine="0" w:firstLineChars="0"/>
        <w:rPr>
          <w:rFonts w:hint="eastAsia" w:ascii="仿宋" w:hAnsi="仿宋" w:eastAsia="仿宋" w:cs="仿宋"/>
          <w:color w:val="auto"/>
          <w:sz w:val="24"/>
          <w:highlight w:val="none"/>
        </w:rPr>
      </w:pPr>
      <w:bookmarkStart w:id="443" w:name="_Toc25547"/>
      <w:r>
        <w:rPr>
          <w:rFonts w:hint="eastAsia" w:ascii="仿宋" w:hAnsi="仿宋" w:eastAsia="仿宋" w:cs="仿宋"/>
          <w:color w:val="auto"/>
          <w:sz w:val="24"/>
          <w:highlight w:val="none"/>
        </w:rPr>
        <w:t>供应商为自然人的，应当由本人签字；供应商为法人或者其他组织的，应当由法定代表人或</w:t>
      </w:r>
      <w:r>
        <w:rPr>
          <w:rFonts w:hint="eastAsia" w:ascii="仿宋" w:hAnsi="仿宋" w:eastAsia="仿宋" w:cs="仿宋"/>
          <w:color w:val="auto"/>
          <w:sz w:val="24"/>
          <w:highlight w:val="none"/>
          <w:lang w:val="en-US" w:eastAsia="zh-CN"/>
        </w:rPr>
        <w:t>主要</w:t>
      </w:r>
      <w:r>
        <w:rPr>
          <w:rFonts w:hint="eastAsia" w:ascii="仿宋" w:hAnsi="仿宋" w:eastAsia="仿宋" w:cs="仿宋"/>
          <w:color w:val="auto"/>
          <w:sz w:val="24"/>
          <w:highlight w:val="none"/>
        </w:rPr>
        <w:t>负责人签字或盖章，并加盖公章。供应商可以委托代理人进行质疑和投诉</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其授权委托书应当载明代理人的姓名或者名称、代理事项、具体权限、期限和相关事项。</w:t>
      </w:r>
    </w:p>
    <w:p w14:paraId="0D690880">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27.5   符合要求的质疑，采购代理机构将予以受理并答复。联系人：综合办公室，联系电话：029-85235014。</w:t>
      </w:r>
    </w:p>
    <w:p w14:paraId="7CED4DC1">
      <w:pPr>
        <w:tabs>
          <w:tab w:val="left" w:pos="588"/>
        </w:tabs>
        <w:spacing w:line="360" w:lineRule="auto"/>
        <w:ind w:left="84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27.6   供应商进行虚假和恶意质疑的，采购代理机构将提供相关资料报监督机构，按其情况进行相应处理。</w:t>
      </w:r>
    </w:p>
    <w:p w14:paraId="0BA82A29">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28.    履约保证金</w:t>
      </w:r>
    </w:p>
    <w:p w14:paraId="55672C75">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28.1   履约保证金金额见</w:t>
      </w:r>
      <w:r>
        <w:rPr>
          <w:rFonts w:hint="eastAsia" w:ascii="仿宋" w:hAnsi="仿宋" w:eastAsia="仿宋" w:cs="仿宋"/>
          <w:b/>
          <w:color w:val="auto"/>
          <w:sz w:val="24"/>
          <w:highlight w:val="none"/>
        </w:rPr>
        <w:t>供应商须知前附表</w:t>
      </w:r>
      <w:r>
        <w:rPr>
          <w:rFonts w:hint="eastAsia" w:ascii="仿宋" w:hAnsi="仿宋" w:eastAsia="仿宋" w:cs="仿宋"/>
          <w:color w:val="auto"/>
          <w:sz w:val="24"/>
          <w:highlight w:val="none"/>
        </w:rPr>
        <w:t>。</w:t>
      </w:r>
    </w:p>
    <w:p w14:paraId="1EE9B75E">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28.2   履约保证金缴纳时间：合同签订前必须交纳至（采购人）。</w:t>
      </w:r>
    </w:p>
    <w:p w14:paraId="42796B77">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28.3   履约保证金缴纳形式：成交供应商应当以支票、汇票、本票、保函（格式见附件2）等非现金形式缴纳。</w:t>
      </w:r>
    </w:p>
    <w:p w14:paraId="31A0EE7A">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28.4   履约保证金收取单位名称：</w:t>
      </w:r>
      <w:r>
        <w:rPr>
          <w:rFonts w:hint="eastAsia" w:ascii="仿宋" w:hAnsi="仿宋" w:eastAsia="仿宋" w:cs="仿宋"/>
          <w:color w:val="auto"/>
          <w:sz w:val="24"/>
          <w:highlight w:val="none"/>
          <w:lang w:val="en-US" w:eastAsia="zh-CN"/>
        </w:rPr>
        <w:t>/</w:t>
      </w:r>
    </w:p>
    <w:p w14:paraId="0FDC6B5F">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28.5   履约保证金退还的方式、时间、条件：</w:t>
      </w:r>
      <w:r>
        <w:rPr>
          <w:rFonts w:hint="eastAsia" w:ascii="仿宋" w:hAnsi="仿宋" w:eastAsia="仿宋" w:cs="仿宋"/>
          <w:color w:val="auto"/>
          <w:sz w:val="24"/>
          <w:highlight w:val="none"/>
          <w:lang w:val="en-US" w:eastAsia="zh-CN"/>
        </w:rPr>
        <w:t>/</w:t>
      </w:r>
    </w:p>
    <w:p w14:paraId="5E178869">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28.6   履约保证金不予退还的情况：</w:t>
      </w:r>
      <w:r>
        <w:rPr>
          <w:rFonts w:hint="eastAsia" w:ascii="仿宋" w:hAnsi="仿宋" w:eastAsia="仿宋" w:cs="仿宋"/>
          <w:color w:val="auto"/>
          <w:sz w:val="24"/>
          <w:highlight w:val="none"/>
          <w:lang w:val="en-US" w:eastAsia="zh-CN"/>
        </w:rPr>
        <w:t>/</w:t>
      </w:r>
    </w:p>
    <w:p w14:paraId="4D9B62CD">
      <w:pPr>
        <w:keepNext w:val="0"/>
        <w:keepLines w:val="0"/>
        <w:pageBreakBefore w:val="0"/>
        <w:tabs>
          <w:tab w:val="left" w:pos="360"/>
          <w:tab w:val="left" w:pos="588"/>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28.7   逾期退还履约保证金的违约责任：</w:t>
      </w:r>
      <w:r>
        <w:rPr>
          <w:rFonts w:hint="eastAsia" w:ascii="仿宋" w:hAnsi="仿宋" w:eastAsia="仿宋" w:cs="仿宋"/>
          <w:color w:val="auto"/>
          <w:sz w:val="24"/>
          <w:highlight w:val="none"/>
          <w:lang w:val="en-US" w:eastAsia="zh-CN"/>
        </w:rPr>
        <w:t>/</w:t>
      </w:r>
    </w:p>
    <w:p w14:paraId="232AD246">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29.    成交服务费</w:t>
      </w:r>
      <w:bookmarkEnd w:id="443"/>
    </w:p>
    <w:p w14:paraId="56A3275B">
      <w:pPr>
        <w:keepNext w:val="0"/>
        <w:keepLines w:val="0"/>
        <w:pageBreakBefore w:val="0"/>
        <w:tabs>
          <w:tab w:val="left" w:pos="360"/>
          <w:tab w:val="left" w:pos="588"/>
        </w:tabs>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29.1   成交供应商在领取成交通知书前，须向采购代理机构支付代理服务费，代理服务费由采购人与采购代理机构约定：</w:t>
      </w:r>
      <w:r>
        <w:rPr>
          <w:rFonts w:hint="eastAsia" w:ascii="仿宋" w:hAnsi="仿宋" w:eastAsia="仿宋" w:cs="仿宋"/>
          <w:color w:val="auto"/>
          <w:sz w:val="24"/>
          <w:szCs w:val="24"/>
          <w:highlight w:val="none"/>
          <w:lang w:val="en-US" w:eastAsia="zh-CN"/>
        </w:rPr>
        <w:t>代理服务费参照《国家计委关于印发&lt;招标代理服务收费管理暂行办法&gt;的通知》（计价格[2002]1980号）规定标准按采购包收取。不足5000元的采购包，代理服务费按5000元收取。</w:t>
      </w:r>
    </w:p>
    <w:p w14:paraId="6EA764BD">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29.2   成交单位的代理服务费交纳信息</w:t>
      </w:r>
    </w:p>
    <w:p w14:paraId="49C015F4">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银行户名：陕西省采购招标有限责任公司</w:t>
      </w:r>
    </w:p>
    <w:p w14:paraId="5E556FBC">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开户银行：中国光大银行西安友谊路支行</w:t>
      </w:r>
    </w:p>
    <w:p w14:paraId="3734E934">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号：78560188000095264</w:t>
      </w:r>
    </w:p>
    <w:p w14:paraId="0BC7F923">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财务部</w:t>
      </w:r>
      <w:r>
        <w:rPr>
          <w:rFonts w:hint="eastAsia" w:ascii="仿宋" w:hAnsi="仿宋" w:eastAsia="仿宋" w:cs="仿宋"/>
          <w:color w:val="auto"/>
          <w:sz w:val="24"/>
          <w:szCs w:val="24"/>
          <w:highlight w:val="none"/>
        </w:rPr>
        <w:t xml:space="preserve">   联系电话：029-85263975</w:t>
      </w:r>
    </w:p>
    <w:p w14:paraId="243E7FE5">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29.3   成交服务费已包含在供应商的响应报价中，不在单独列项。</w:t>
      </w:r>
    </w:p>
    <w:p w14:paraId="1DCC66EF">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bookmarkStart w:id="444" w:name="_Toc1585"/>
      <w:r>
        <w:rPr>
          <w:rFonts w:hint="eastAsia" w:ascii="仿宋" w:hAnsi="仿宋" w:eastAsia="仿宋" w:cs="仿宋"/>
          <w:b/>
          <w:color w:val="auto"/>
          <w:sz w:val="24"/>
          <w:szCs w:val="21"/>
          <w:highlight w:val="none"/>
          <w:lang w:val="en-US" w:eastAsia="zh-CN"/>
        </w:rPr>
        <w:t xml:space="preserve">30. </w:t>
      </w:r>
      <w:r>
        <w:rPr>
          <w:rFonts w:hint="eastAsia" w:ascii="仿宋" w:hAnsi="仿宋" w:eastAsia="仿宋" w:cs="仿宋"/>
          <w:b/>
          <w:color w:val="auto"/>
          <w:sz w:val="24"/>
          <w:szCs w:val="21"/>
          <w:highlight w:val="none"/>
        </w:rPr>
        <w:t xml:space="preserve"> </w:t>
      </w:r>
      <w:r>
        <w:rPr>
          <w:rFonts w:hint="eastAsia" w:ascii="仿宋" w:hAnsi="仿宋" w:eastAsia="仿宋" w:cs="仿宋"/>
          <w:b/>
          <w:color w:val="auto"/>
          <w:sz w:val="24"/>
          <w:szCs w:val="21"/>
          <w:highlight w:val="none"/>
          <w:lang w:val="en-US" w:eastAsia="zh-CN"/>
        </w:rPr>
        <w:t xml:space="preserve"> </w:t>
      </w:r>
      <w:r>
        <w:rPr>
          <w:rFonts w:hint="eastAsia" w:ascii="仿宋" w:hAnsi="仿宋" w:eastAsia="仿宋" w:cs="仿宋"/>
          <w:b/>
          <w:color w:val="auto"/>
          <w:sz w:val="24"/>
          <w:szCs w:val="21"/>
          <w:highlight w:val="none"/>
        </w:rPr>
        <w:t xml:space="preserve"> 采购人追加采购数量的权力</w:t>
      </w:r>
      <w:bookmarkEnd w:id="444"/>
    </w:p>
    <w:p w14:paraId="0E34882F">
      <w:pPr>
        <w:pStyle w:val="29"/>
        <w:keepNext w:val="0"/>
        <w:keepLines w:val="0"/>
        <w:pageBreakBefore w:val="0"/>
        <w:kinsoku/>
        <w:wordWrap/>
        <w:overflowPunct/>
        <w:topLinePunct w:val="0"/>
        <w:bidi w:val="0"/>
        <w:adjustRightInd w:val="0"/>
        <w:snapToGrid w:val="0"/>
        <w:spacing w:line="460" w:lineRule="exact"/>
        <w:ind w:left="718" w:leftChars="342" w:firstLine="0" w:firstLineChars="0"/>
        <w:rPr>
          <w:rFonts w:hint="eastAsia" w:ascii="仿宋" w:hAnsi="仿宋" w:eastAsia="仿宋" w:cs="仿宋"/>
          <w:color w:val="auto"/>
          <w:sz w:val="24"/>
          <w:szCs w:val="24"/>
          <w:highlight w:val="none"/>
        </w:rPr>
      </w:pPr>
      <w:bookmarkStart w:id="445" w:name="_Toc385992366"/>
      <w:bookmarkStart w:id="446" w:name="_Toc389620205"/>
      <w:r>
        <w:rPr>
          <w:rFonts w:hint="eastAsia" w:ascii="仿宋" w:hAnsi="仿宋" w:eastAsia="仿宋" w:cs="仿宋"/>
          <w:color w:val="auto"/>
          <w:sz w:val="24"/>
          <w:szCs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634D1C65">
      <w:pPr>
        <w:pStyle w:val="7"/>
        <w:keepNext w:val="0"/>
        <w:keepLines w:val="0"/>
        <w:pageBreakBefore w:val="0"/>
        <w:widowControl w:val="0"/>
        <w:tabs>
          <w:tab w:val="left" w:pos="588"/>
        </w:tabs>
        <w:kinsoku/>
        <w:wordWrap/>
        <w:overflowPunct/>
        <w:topLinePunct w:val="0"/>
        <w:autoSpaceDE/>
        <w:autoSpaceDN/>
        <w:bidi w:val="0"/>
        <w:adjustRightInd w:val="0"/>
        <w:snapToGrid w:val="0"/>
        <w:spacing w:beforeAutospacing="0" w:afterAutospacing="0" w:line="460" w:lineRule="exact"/>
        <w:ind w:left="0" w:leftChars="0"/>
        <w:textAlignment w:val="baseline"/>
        <w:outlineLvl w:val="3"/>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lang w:val="en-US" w:eastAsia="zh-CN"/>
        </w:rPr>
        <w:t xml:space="preserve">31. </w:t>
      </w:r>
      <w:r>
        <w:rPr>
          <w:rFonts w:hint="eastAsia" w:ascii="仿宋" w:hAnsi="仿宋" w:eastAsia="仿宋" w:cs="仿宋"/>
          <w:b/>
          <w:color w:val="auto"/>
          <w:sz w:val="24"/>
          <w:szCs w:val="21"/>
          <w:highlight w:val="none"/>
        </w:rPr>
        <w:t xml:space="preserve">   其他情况</w:t>
      </w:r>
    </w:p>
    <w:p w14:paraId="1CE83106">
      <w:pPr>
        <w:pStyle w:val="23"/>
        <w:keepNext w:val="0"/>
        <w:keepLines w:val="0"/>
        <w:pageBreakBefore w:val="0"/>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31.1   谈判截止时间结束后，递交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或者经评审的实质性响应谈判文件的供应商不足三家，采购代理机构应当终止竞争性谈判活动，发布项目终止公告并说明原因，重新开展采购活动。</w:t>
      </w:r>
    </w:p>
    <w:p w14:paraId="5692364A">
      <w:pPr>
        <w:pStyle w:val="23"/>
        <w:keepNext w:val="0"/>
        <w:keepLines w:val="0"/>
        <w:pageBreakBefore w:val="0"/>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31.2   连续两次进行竞争性谈判活动，因符合谈判要求供应商不足3家，经请示政府采购管理部门同意后，可继续进行竞争性谈判活动。 </w:t>
      </w:r>
    </w:p>
    <w:p w14:paraId="130DDAD0">
      <w:pPr>
        <w:pStyle w:val="23"/>
        <w:keepNext w:val="0"/>
        <w:keepLines w:val="0"/>
        <w:pageBreakBefore w:val="0"/>
        <w:kinsoku/>
        <w:wordWrap/>
        <w:overflowPunct/>
        <w:topLinePunct w:val="0"/>
        <w:bidi w:val="0"/>
        <w:adjustRightInd w:val="0"/>
        <w:snapToGrid w:val="0"/>
        <w:spacing w:line="460" w:lineRule="exact"/>
        <w:ind w:left="840" w:leftChars="0"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31.3   政府采购信用担保</w:t>
      </w:r>
    </w:p>
    <w:p w14:paraId="6F946C19">
      <w:pPr>
        <w:pStyle w:val="23"/>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31.3.1 供应商递交的履约担保函应符合本谈判文件的规定。</w:t>
      </w:r>
    </w:p>
    <w:p w14:paraId="2DF0CFB3">
      <w:pPr>
        <w:spacing w:line="360" w:lineRule="auto"/>
        <w:ind w:left="850" w:hanging="849" w:hangingChars="354"/>
        <w:rPr>
          <w:rFonts w:hint="eastAsia" w:ascii="仿宋" w:hAnsi="仿宋" w:eastAsia="仿宋" w:cs="仿宋"/>
          <w:color w:val="auto"/>
          <w:sz w:val="24"/>
          <w:highlight w:val="none"/>
        </w:rPr>
      </w:pPr>
      <w:r>
        <w:rPr>
          <w:rFonts w:hint="eastAsia" w:ascii="仿宋" w:hAnsi="仿宋" w:eastAsia="仿宋" w:cs="仿宋"/>
          <w:color w:val="auto"/>
          <w:sz w:val="24"/>
          <w:highlight w:val="none"/>
        </w:rPr>
        <w:t>31.3.2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07CE6ABE">
      <w:pPr>
        <w:pStyle w:val="23"/>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6258F4F9">
      <w:pPr>
        <w:pStyle w:val="23"/>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5891FB61">
      <w:pPr>
        <w:pStyle w:val="23"/>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4DE622AD">
      <w:pPr>
        <w:pStyle w:val="23"/>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09E96918">
      <w:pPr>
        <w:pStyle w:val="23"/>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0AB55080">
      <w:pPr>
        <w:pStyle w:val="23"/>
        <w:tabs>
          <w:tab w:val="left" w:pos="567"/>
        </w:tabs>
        <w:ind w:left="840" w:left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业务流程简图如下：</w:t>
      </w:r>
    </w:p>
    <w:p w14:paraId="66FEB71A">
      <w:pPr>
        <w:pStyle w:val="23"/>
        <w:keepNext w:val="0"/>
        <w:keepLines w:val="0"/>
        <w:pageBreakBefore w:val="0"/>
        <w:tabs>
          <w:tab w:val="left" w:pos="567"/>
        </w:tabs>
        <w:kinsoku/>
        <w:wordWrap/>
        <w:overflowPunct/>
        <w:topLinePunct w:val="0"/>
        <w:bidi w:val="0"/>
        <w:adjustRightInd w:val="0"/>
        <w:snapToGrid w:val="0"/>
        <w:spacing w:line="240" w:lineRule="auto"/>
        <w:ind w:left="0" w:leftChars="0"/>
        <w:jc w:val="cente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114300" distR="11430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5756275" cy="3310255"/>
                    </a:xfrm>
                    <a:prstGeom prst="rect">
                      <a:avLst/>
                    </a:prstGeom>
                    <a:noFill/>
                    <a:ln>
                      <a:noFill/>
                    </a:ln>
                  </pic:spPr>
                </pic:pic>
              </a:graphicData>
            </a:graphic>
          </wp:inline>
        </w:drawing>
      </w:r>
    </w:p>
    <w:p w14:paraId="718EF44E">
      <w:pPr>
        <w:pStyle w:val="23"/>
        <w:keepNext w:val="0"/>
        <w:keepLines w:val="0"/>
        <w:pageBreakBefore w:val="0"/>
        <w:kinsoku/>
        <w:wordWrap/>
        <w:overflowPunct/>
        <w:topLinePunct w:val="0"/>
        <w:bidi w:val="0"/>
        <w:adjustRightInd w:val="0"/>
        <w:snapToGrid w:val="0"/>
        <w:spacing w:line="240" w:lineRule="auto"/>
        <w:ind w:left="735" w:leftChars="0" w:hanging="735" w:hangingChars="350"/>
        <w:jc w:val="center"/>
        <w:rPr>
          <w:rFonts w:hint="eastAsia" w:ascii="仿宋" w:hAnsi="仿宋" w:eastAsia="仿宋" w:cs="仿宋"/>
          <w:color w:val="auto"/>
          <w:sz w:val="24"/>
          <w:highlight w:val="none"/>
        </w:rPr>
      </w:pPr>
      <w:r>
        <w:rPr>
          <w:rFonts w:hint="eastAsia" w:ascii="仿宋" w:hAnsi="仿宋" w:eastAsia="仿宋" w:cs="仿宋"/>
          <w:color w:val="auto"/>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758815" cy="3242310"/>
                    </a:xfrm>
                    <a:prstGeom prst="rect">
                      <a:avLst/>
                    </a:prstGeom>
                    <a:noFill/>
                    <a:ln>
                      <a:noFill/>
                    </a:ln>
                  </pic:spPr>
                </pic:pic>
              </a:graphicData>
            </a:graphic>
          </wp:inline>
        </w:drawing>
      </w:r>
    </w:p>
    <w:p w14:paraId="40A2B7E7">
      <w:pPr>
        <w:pStyle w:val="23"/>
        <w:keepNext w:val="0"/>
        <w:keepLines w:val="0"/>
        <w:pageBreakBefore w:val="0"/>
        <w:tabs>
          <w:tab w:val="left" w:pos="567"/>
        </w:tabs>
        <w:kinsoku/>
        <w:wordWrap/>
        <w:overflowPunct/>
        <w:topLinePunct w:val="0"/>
        <w:bidi w:val="0"/>
        <w:adjustRightInd w:val="0"/>
        <w:snapToGrid w:val="0"/>
        <w:spacing w:line="460" w:lineRule="exact"/>
        <w:ind w:left="0" w:leftChars="0" w:firstLine="720" w:firstLineChars="300"/>
        <w:rPr>
          <w:rFonts w:hint="eastAsia" w:ascii="仿宋" w:hAnsi="仿宋" w:eastAsia="仿宋" w:cs="仿宋"/>
          <w:color w:val="auto"/>
          <w:sz w:val="24"/>
          <w:szCs w:val="32"/>
          <w:highlight w:val="none"/>
        </w:rPr>
      </w:pPr>
      <w:r>
        <w:rPr>
          <w:rFonts w:hint="eastAsia" w:ascii="仿宋" w:hAnsi="仿宋" w:eastAsia="仿宋" w:cs="仿宋"/>
          <w:color w:val="auto"/>
          <w:sz w:val="24"/>
          <w:szCs w:val="32"/>
          <w:highlight w:val="none"/>
        </w:rPr>
        <w:t>省级政府采购项目贷款银行信息：</w:t>
      </w:r>
    </w:p>
    <w:p w14:paraId="7EB17097">
      <w:pPr>
        <w:keepNext w:val="0"/>
        <w:keepLines w:val="0"/>
        <w:pageBreakBefore w:val="0"/>
        <w:kinsoku/>
        <w:wordWrap/>
        <w:overflowPunct/>
        <w:topLinePunct w:val="0"/>
        <w:bidi w:val="0"/>
        <w:adjustRightInd w:val="0"/>
        <w:snapToGrid w:val="0"/>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一、陕西建行（E政通）</w:t>
      </w:r>
    </w:p>
    <w:p w14:paraId="07D5AA1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陕西省分行营业部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西安市南广济街38号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白玉皓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13201603166</w:t>
      </w:r>
    </w:p>
    <w:p w14:paraId="7224612E">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西安莲湖路支行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西安市莲湖路35号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冲</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17702902131</w:t>
      </w:r>
    </w:p>
    <w:p w14:paraId="1581E55A">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西安市雁塔南路2216号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樊理君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18691568151</w:t>
      </w:r>
    </w:p>
    <w:p w14:paraId="1484907C">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西安高新区支行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西安市高新路42号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卞斯超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15191075651</w:t>
      </w:r>
    </w:p>
    <w:p w14:paraId="2E710BAB">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西安经开区支行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西安市未央路125号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惠  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17792256100</w:t>
      </w:r>
    </w:p>
    <w:p w14:paraId="0177814C">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西安南大街支行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西安市南大街15号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乔  鉴</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18089136919</w:t>
      </w:r>
    </w:p>
    <w:p w14:paraId="050FC6FF">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西安和平路支行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西安市和平路101号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  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18691816821</w:t>
      </w:r>
    </w:p>
    <w:p w14:paraId="3DA65136">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西安市兴庆路61号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13892880386</w:t>
      </w:r>
    </w:p>
    <w:p w14:paraId="67D1B6CC">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西安市南新街29号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朱子君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18629286269</w:t>
      </w:r>
    </w:p>
    <w:p w14:paraId="7E3B0B99">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西安长安区支行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西安市长安区青年街2号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王淑芸</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13572289603</w:t>
      </w:r>
    </w:p>
    <w:p w14:paraId="610DE3BE">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咸阳市西兰路4号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邰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13299079906</w:t>
      </w:r>
    </w:p>
    <w:p w14:paraId="35A831DA">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宝鸡市红旗路36号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18629019817</w:t>
      </w:r>
    </w:p>
    <w:p w14:paraId="7AD8E359">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铜川市新区正阳路与长虹路十字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张小波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18691932636</w:t>
      </w:r>
    </w:p>
    <w:p w14:paraId="57CD7D42">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榆林市高新技术产业园区创业大厦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张君君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15991929275</w:t>
      </w:r>
    </w:p>
    <w:p w14:paraId="619C95CD">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延安市宝塔区中心街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陈进佃</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15609110557</w:t>
      </w:r>
    </w:p>
    <w:p w14:paraId="44815C60">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汉中市石灰巷21号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王晨旭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15319375850</w:t>
      </w:r>
    </w:p>
    <w:p w14:paraId="54BAB2E5">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安康市育才路102号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张少帅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13165762680</w:t>
      </w:r>
    </w:p>
    <w:p w14:paraId="68BF0087">
      <w:pPr>
        <w:keepNext w:val="0"/>
        <w:keepLines w:val="0"/>
        <w:pageBreakBefore w:val="0"/>
        <w:kinsoku/>
        <w:wordWrap/>
        <w:overflowPunct/>
        <w:topLinePunct w:val="0"/>
        <w:bidi w:val="0"/>
        <w:adjustRightInd w:val="0"/>
        <w:snapToGrid w:val="0"/>
        <w:spacing w:line="460" w:lineRule="exact"/>
        <w:ind w:left="0" w:leftChars="0" w:firstLine="42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商洛市名人街广电大楼下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17809267188</w:t>
      </w:r>
    </w:p>
    <w:p w14:paraId="35820D97">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二、北京银行（政府订单贷）</w:t>
      </w:r>
    </w:p>
    <w:p w14:paraId="28CC9AD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刘晓伟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029-61828763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18066630518</w:t>
      </w:r>
    </w:p>
    <w:p w14:paraId="11D2FB1D">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西安高新开发区支行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梁凡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029-61828531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18681945597</w:t>
      </w:r>
    </w:p>
    <w:p w14:paraId="3C1E4918">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西安曲江文创支行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蒋超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029-65667366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15891737329</w:t>
      </w:r>
    </w:p>
    <w:p w14:paraId="79051159">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西安经济技术开发区支行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孟庆龙</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029-61828272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13991990373</w:t>
      </w:r>
    </w:p>
    <w:p w14:paraId="290A46B2">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西安长缨路支行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范凯</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029-68717760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13991315609</w:t>
      </w:r>
    </w:p>
    <w:p w14:paraId="16930A15">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长安区西长安街支行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陈明</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029-85724301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18149209660</w:t>
      </w:r>
    </w:p>
    <w:p w14:paraId="20615C2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泾渭工业园支行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杨奕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029-68213773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15934802021</w:t>
      </w:r>
    </w:p>
    <w:p w14:paraId="0FAB838F">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北客站科技支行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周洁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副行长</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029-61828129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18629518636</w:t>
      </w:r>
    </w:p>
    <w:p w14:paraId="2AA25B69">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解放路支行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王莉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行长助理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029-61828185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15802966196</w:t>
      </w:r>
    </w:p>
    <w:p w14:paraId="0556386A">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            奥宝森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室经理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0911-8076038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15592925222</w:t>
      </w:r>
    </w:p>
    <w:p w14:paraId="7917F00B">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三、工商银行（政采贷）</w:t>
      </w:r>
    </w:p>
    <w:p w14:paraId="058511ED">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0912-6183827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15353386777</w:t>
      </w:r>
    </w:p>
    <w:p w14:paraId="009A9065">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郭进</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0917-3238282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18991749262</w:t>
      </w:r>
    </w:p>
    <w:p w14:paraId="2F3E27B5">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安康分行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郑婕</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0915-3236275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15667856663</w:t>
      </w:r>
    </w:p>
    <w:p w14:paraId="3D438E70">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铜川分行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彭东东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0919-2151878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17392898832</w:t>
      </w:r>
    </w:p>
    <w:p w14:paraId="582C9B6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党莹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0911-2380826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15291142933</w:t>
      </w:r>
    </w:p>
    <w:p w14:paraId="1F0B48C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杨薇薇</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部门副经理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0916-2606773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18591607453</w:t>
      </w:r>
    </w:p>
    <w:p w14:paraId="0BCEF822">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09132095066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15229730006</w:t>
      </w:r>
    </w:p>
    <w:p w14:paraId="11C13AA8">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袁霖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029-33259370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18591006506</w:t>
      </w:r>
    </w:p>
    <w:p w14:paraId="69328CC0">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经理助理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18691410305</w:t>
      </w:r>
    </w:p>
    <w:p w14:paraId="75E97567">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商洛分行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余勇博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0914-2310908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18092802280</w:t>
      </w:r>
    </w:p>
    <w:p w14:paraId="6238B2F0">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巩越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029-87609419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18629450680</w:t>
      </w:r>
    </w:p>
    <w:p w14:paraId="13B53773">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四、中信银行 （政采e贷）</w:t>
      </w:r>
    </w:p>
    <w:p w14:paraId="0A09DFBF">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西安市朱雀大街中段1号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曹晓聪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13759957407</w:t>
      </w:r>
    </w:p>
    <w:p w14:paraId="4F16D17C">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秦皇中路绿苑大厦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杭群</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13992016859</w:t>
      </w:r>
    </w:p>
    <w:p w14:paraId="5710833D">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宝鸡市高新大道50号财富大厦B座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王尧</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13636762976</w:t>
      </w:r>
    </w:p>
    <w:p w14:paraId="04ACF9FE">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渭南市朝阳大街中段信达广场世纪明珠大厦</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18191815559</w:t>
      </w:r>
    </w:p>
    <w:p w14:paraId="3273B99B">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榆林市高新区长兴路248号中信银行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刘洪巍</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13636885556</w:t>
      </w:r>
    </w:p>
    <w:p w14:paraId="5807752D">
      <w:pPr>
        <w:keepNext w:val="0"/>
        <w:keepLines w:val="0"/>
        <w:pageBreakBefore w:val="0"/>
        <w:kinsoku/>
        <w:wordWrap/>
        <w:overflowPunct/>
        <w:topLinePunct w:val="0"/>
        <w:bidi w:val="0"/>
        <w:adjustRightInd w:val="0"/>
        <w:snapToGrid w:val="0"/>
        <w:spacing w:line="460" w:lineRule="exact"/>
        <w:ind w:left="1260" w:leftChars="200" w:hanging="840" w:hangingChars="4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汉中分行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汉中市汉台区西二环路与劳动西路东南汉中滨江•公园壹号（产业孵化区）3B号楼</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陈真</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18509165068</w:t>
      </w:r>
    </w:p>
    <w:p w14:paraId="1679084B">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五、中国光大银行（阳光政采贷）</w:t>
      </w:r>
    </w:p>
    <w:p w14:paraId="3D98E256">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欢</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0917-3451055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18329677163</w:t>
      </w:r>
    </w:p>
    <w:p w14:paraId="02DF857B">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尚云鹏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0912-3548019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18690473126</w:t>
      </w:r>
    </w:p>
    <w:p w14:paraId="49169B73">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汪昊田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0911-8011831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13509115500</w:t>
      </w:r>
    </w:p>
    <w:p w14:paraId="36C973D2">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侯 佳</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32100021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15229500088</w:t>
      </w:r>
    </w:p>
    <w:p w14:paraId="1F36E2B3">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营销一部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87236311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13772031109</w:t>
      </w:r>
    </w:p>
    <w:p w14:paraId="4C33AA63">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营销二部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朱翰辰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87236201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17791788078</w:t>
      </w:r>
    </w:p>
    <w:p w14:paraId="4C00B9BE">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营业部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张翔琮</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87236306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18829235568</w:t>
      </w:r>
    </w:p>
    <w:p w14:paraId="3F3D826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张曼玉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88247071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18009298787</w:t>
      </w:r>
    </w:p>
    <w:p w14:paraId="616BEF67">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明德门支行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85350770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13991249430</w:t>
      </w:r>
    </w:p>
    <w:p w14:paraId="206FB829">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东大街支行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87438914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15029673754</w:t>
      </w:r>
    </w:p>
    <w:p w14:paraId="3E0D7918">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经济开发区支行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陆家俊</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86525176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18629303397</w:t>
      </w:r>
    </w:p>
    <w:p w14:paraId="1A38637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凤城九路支行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宋 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89155022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18966911622</w:t>
      </w:r>
    </w:p>
    <w:p w14:paraId="74A51889">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兴庆路支行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司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83290033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18629251819</w:t>
      </w:r>
    </w:p>
    <w:p w14:paraId="2B7BF3F0">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长乐西路支行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82566208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15877390201</w:t>
      </w:r>
    </w:p>
    <w:p w14:paraId="77E268BC">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友谊路支行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贠程敏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88422067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18792795210</w:t>
      </w:r>
    </w:p>
    <w:p w14:paraId="4170759A">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边家村支行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85251673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15309223048</w:t>
      </w:r>
    </w:p>
    <w:p w14:paraId="78E5E8EC">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北关支行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菅新培</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86248203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18092169361</w:t>
      </w:r>
    </w:p>
    <w:p w14:paraId="542AA466">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南郊支行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程 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85265234</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13772491661</w:t>
      </w:r>
    </w:p>
    <w:p w14:paraId="34FF8DD5">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西关正街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 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89548109</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13772337373</w:t>
      </w:r>
    </w:p>
    <w:p w14:paraId="20B033E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丈八东路支行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杨筱凡</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81026910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15129044185</w:t>
      </w:r>
    </w:p>
    <w:p w14:paraId="5B0BDB7B">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雁塔路支行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闫梓闶</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82222501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18691561524</w:t>
      </w:r>
    </w:p>
    <w:p w14:paraId="0CCDF9D7">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唐延路支行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尉二宝</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88329478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13991930150</w:t>
      </w:r>
    </w:p>
    <w:p w14:paraId="05710AD4">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枫林绿洲支行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杨 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87302120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13609199490</w:t>
      </w:r>
    </w:p>
    <w:p w14:paraId="33F96AE2">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南关正街支行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85230722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18066610983</w:t>
      </w:r>
    </w:p>
    <w:p w14:paraId="7D5BB385">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南二环支行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 超</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88362861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18192080396</w:t>
      </w:r>
    </w:p>
    <w:p w14:paraId="469D8533">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曲江支行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田 鹏</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81205890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13991937977</w:t>
      </w:r>
    </w:p>
    <w:p w14:paraId="4F026A3D">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太白路支行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马振林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68912880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15353736656</w:t>
      </w:r>
    </w:p>
    <w:p w14:paraId="24ACCC12">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明光路支行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刘二渭</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81623506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13201793405</w:t>
      </w:r>
    </w:p>
    <w:p w14:paraId="512144F9">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凤城二路支行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洋</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86680267</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13720423343</w:t>
      </w:r>
    </w:p>
    <w:p w14:paraId="6325513F">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昆明路支行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 洁</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84592506</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13991821278</w:t>
      </w:r>
    </w:p>
    <w:p w14:paraId="03DE0255">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丈八北路支行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 浩</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81875192</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15667087662</w:t>
      </w:r>
    </w:p>
    <w:p w14:paraId="456B320B">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新城支行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余振东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87251680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18066617238</w:t>
      </w:r>
    </w:p>
    <w:p w14:paraId="03E8E164">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六、浦发银行 （政采e贷）</w:t>
      </w:r>
    </w:p>
    <w:p w14:paraId="576AF69D">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吴晨雨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029-63603803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15991724645</w:t>
      </w:r>
    </w:p>
    <w:p w14:paraId="32ACA238">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陈福全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029-63603441</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17782511994</w:t>
      </w:r>
    </w:p>
    <w:p w14:paraId="70FC1D07">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韩瑾</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029-63603443</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18202909790</w:t>
      </w:r>
    </w:p>
    <w:p w14:paraId="6E59B640">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李瑞雪</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客户经理</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029-63603445</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18220862398</w:t>
      </w:r>
    </w:p>
    <w:p w14:paraId="17BBB70D">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陈晓晓</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0912-2216068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15691269965</w:t>
      </w:r>
    </w:p>
    <w:p w14:paraId="0C02BB36">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榆林分行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郭小东</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0912-2216008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15291820586</w:t>
      </w:r>
    </w:p>
    <w:p w14:paraId="246DE1A2">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张一岚</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0917-8662919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18690008816</w:t>
      </w:r>
    </w:p>
    <w:p w14:paraId="514D6AD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宝鸡分行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朱强</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 xml:space="preserve">0917-8662926 </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13909176381</w:t>
      </w:r>
    </w:p>
    <w:p w14:paraId="4FD84A9A">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渭南分行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王晓峰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0913-3357080</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13992363166</w:t>
      </w:r>
    </w:p>
    <w:p w14:paraId="5D6ABFAC">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咸阳分行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薛晗</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公司业务部</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029-32083788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15109226216</w:t>
      </w:r>
    </w:p>
    <w:p w14:paraId="4A7D0A68">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七、兴业银行（政采贷）</w:t>
      </w:r>
    </w:p>
    <w:p w14:paraId="5B96960D">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朱靖</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总监</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029-87482998</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13363979983</w:t>
      </w:r>
    </w:p>
    <w:p w14:paraId="4AC45526">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八、中国民生银行（政采贷）</w:t>
      </w:r>
    </w:p>
    <w:p w14:paraId="5456622C">
      <w:pPr>
        <w:keepNext w:val="0"/>
        <w:keepLines w:val="0"/>
        <w:pageBreakBefore w:val="0"/>
        <w:kinsoku/>
        <w:wordWrap/>
        <w:overflowPunct/>
        <w:topLinePunct w:val="0"/>
        <w:bidi w:val="0"/>
        <w:adjustRightInd w:val="0"/>
        <w:snapToGrid w:val="0"/>
        <w:spacing w:line="460" w:lineRule="exact"/>
        <w:ind w:left="2310" w:leftChars="200" w:hanging="1890" w:hangingChars="9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民生银行西安分行  联系人：陈经理 联系电话：61815275 /18821669199</w:t>
      </w:r>
    </w:p>
    <w:p w14:paraId="655A314C">
      <w:pPr>
        <w:keepNext w:val="0"/>
        <w:keepLines w:val="0"/>
        <w:pageBreakBefore w:val="0"/>
        <w:kinsoku/>
        <w:wordWrap/>
        <w:overflowPunct/>
        <w:topLinePunct w:val="0"/>
        <w:bidi w:val="0"/>
        <w:adjustRightInd w:val="0"/>
        <w:snapToGrid w:val="0"/>
        <w:spacing w:line="460" w:lineRule="exact"/>
        <w:ind w:left="2310" w:leftChars="1100"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联系人：王经理 联系电话：61815280 /18591953690 </w:t>
      </w:r>
    </w:p>
    <w:p w14:paraId="3C88DF48">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九、浙商银行 （政采贷）</w:t>
      </w:r>
    </w:p>
    <w:p w14:paraId="58857981">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西安分行</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西安市雁塔区科技路259号</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曹金辉</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18710993980</w:t>
      </w:r>
    </w:p>
    <w:p w14:paraId="31FFE251">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 招商银行（政采贷） </w:t>
      </w:r>
    </w:p>
    <w:p w14:paraId="3A49143C">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招商银行西安分行   联系人：任瑾；85438988</w:t>
      </w:r>
    </w:p>
    <w:p w14:paraId="7FA99F58">
      <w:pPr>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十一、 长安银行（小微贷） </w:t>
      </w:r>
    </w:p>
    <w:p w14:paraId="3A146985">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长安银行西安曲江新区支行 地址：西安市曲江新区雁南一路3号</w:t>
      </w:r>
    </w:p>
    <w:p w14:paraId="3F978C66">
      <w:pPr>
        <w:keepNext w:val="0"/>
        <w:keepLines w:val="0"/>
        <w:pageBreakBefore w:val="0"/>
        <w:kinsoku/>
        <w:wordWrap/>
        <w:overflowPunct/>
        <w:topLinePunct w:val="0"/>
        <w:bidi w:val="0"/>
        <w:adjustRightInd w:val="0"/>
        <w:snapToGrid w:val="0"/>
        <w:spacing w:line="460" w:lineRule="exact"/>
        <w:ind w:left="0" w:leftChars="0"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联系人：陈瑶 13629266833 </w:t>
      </w:r>
    </w:p>
    <w:p w14:paraId="2DB2E4B3">
      <w:pPr>
        <w:keepNext w:val="0"/>
        <w:keepLines w:val="0"/>
        <w:pageBreakBefore w:val="0"/>
        <w:numPr>
          <w:ilvl w:val="0"/>
          <w:numId w:val="0"/>
        </w:numPr>
        <w:kinsoku/>
        <w:wordWrap/>
        <w:overflowPunct/>
        <w:topLinePunct w:val="0"/>
        <w:bidi w:val="0"/>
        <w:adjustRightInd w:val="0"/>
        <w:snapToGrid w:val="0"/>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lang w:val="en-US" w:eastAsia="zh-CN"/>
        </w:rPr>
        <w:t>十二、</w:t>
      </w:r>
      <w:r>
        <w:rPr>
          <w:rFonts w:hint="eastAsia" w:ascii="仿宋" w:hAnsi="仿宋" w:eastAsia="仿宋" w:cs="仿宋"/>
          <w:b/>
          <w:color w:val="auto"/>
          <w:szCs w:val="21"/>
          <w:highlight w:val="none"/>
        </w:rPr>
        <w:t>网商银行（合同贷）</w:t>
      </w:r>
    </w:p>
    <w:p w14:paraId="377CD8A8">
      <w:pPr>
        <w:keepNext w:val="0"/>
        <w:keepLines w:val="0"/>
        <w:pageBreakBefore w:val="0"/>
        <w:numPr>
          <w:ilvl w:val="0"/>
          <w:numId w:val="0"/>
        </w:numPr>
        <w:kinsoku/>
        <w:wordWrap/>
        <w:overflowPunct/>
        <w:topLinePunct w:val="0"/>
        <w:bidi w:val="0"/>
        <w:adjustRightInd w:val="0"/>
        <w:snapToGrid w:val="0"/>
        <w:spacing w:line="46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十三、中国邮政储蓄银行陕西省分行（政采贷）</w:t>
      </w:r>
    </w:p>
    <w:p w14:paraId="1686CA92">
      <w:pPr>
        <w:pStyle w:val="23"/>
        <w:keepNext w:val="0"/>
        <w:keepLines w:val="0"/>
        <w:pageBreakBefore w:val="0"/>
        <w:kinsoku/>
        <w:wordWrap/>
        <w:overflowPunct/>
        <w:topLinePunct w:val="0"/>
        <w:bidi w:val="0"/>
        <w:adjustRightInd w:val="0"/>
        <w:snapToGrid w:val="0"/>
        <w:spacing w:line="460" w:lineRule="exact"/>
        <w:ind w:left="0" w:leftChars="0"/>
        <w:rPr>
          <w:rFonts w:hint="eastAsia" w:ascii="仿宋" w:hAnsi="仿宋" w:eastAsia="仿宋" w:cs="仿宋"/>
          <w:color w:val="auto"/>
          <w:highlight w:val="none"/>
        </w:rPr>
      </w:pPr>
    </w:p>
    <w:p w14:paraId="1E1E8641">
      <w:pPr>
        <w:pStyle w:val="23"/>
        <w:keepNext w:val="0"/>
        <w:keepLines w:val="0"/>
        <w:pageBreakBefore w:val="0"/>
        <w:tabs>
          <w:tab w:val="left" w:pos="567"/>
        </w:tabs>
        <w:kinsoku/>
        <w:wordWrap/>
        <w:overflowPunct/>
        <w:topLinePunct w:val="0"/>
        <w:bidi w:val="0"/>
        <w:adjustRightInd w:val="0"/>
        <w:snapToGrid w:val="0"/>
        <w:spacing w:line="460" w:lineRule="exact"/>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渭南市政府采购贷款银行信息：</w:t>
      </w:r>
    </w:p>
    <w:tbl>
      <w:tblPr>
        <w:tblStyle w:val="50"/>
        <w:tblW w:w="4508" w:type="pct"/>
        <w:jc w:val="center"/>
        <w:tblLayout w:type="autofit"/>
        <w:tblCellMar>
          <w:top w:w="0" w:type="dxa"/>
          <w:left w:w="108" w:type="dxa"/>
          <w:bottom w:w="0" w:type="dxa"/>
          <w:right w:w="108" w:type="dxa"/>
        </w:tblCellMar>
      </w:tblPr>
      <w:tblGrid>
        <w:gridCol w:w="1390"/>
        <w:gridCol w:w="2312"/>
        <w:gridCol w:w="3003"/>
        <w:gridCol w:w="2271"/>
      </w:tblGrid>
      <w:tr w14:paraId="46B225B8">
        <w:tblPrEx>
          <w:tblCellMar>
            <w:top w:w="0" w:type="dxa"/>
            <w:left w:w="108" w:type="dxa"/>
            <w:bottom w:w="0" w:type="dxa"/>
            <w:right w:w="108" w:type="dxa"/>
          </w:tblCellMar>
        </w:tblPrEx>
        <w:trPr>
          <w:trHeight w:val="571" w:hRule="atLeast"/>
          <w:jc w:val="center"/>
        </w:trPr>
        <w:tc>
          <w:tcPr>
            <w:tcW w:w="774" w:type="pct"/>
            <w:tcBorders>
              <w:top w:val="single" w:color="000000" w:sz="4" w:space="0"/>
              <w:left w:val="single" w:color="000000" w:sz="4" w:space="0"/>
              <w:bottom w:val="single" w:color="000000" w:sz="4" w:space="0"/>
              <w:right w:val="single" w:color="000000" w:sz="4" w:space="0"/>
            </w:tcBorders>
            <w:noWrap/>
            <w:vAlign w:val="center"/>
          </w:tcPr>
          <w:p w14:paraId="04B586B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序号</w:t>
            </w:r>
          </w:p>
        </w:tc>
        <w:tc>
          <w:tcPr>
            <w:tcW w:w="1287" w:type="pct"/>
            <w:tcBorders>
              <w:top w:val="single" w:color="000000" w:sz="4" w:space="0"/>
              <w:left w:val="single" w:color="000000" w:sz="4" w:space="0"/>
              <w:bottom w:val="single" w:color="000000" w:sz="4" w:space="0"/>
              <w:right w:val="single" w:color="000000" w:sz="4" w:space="0"/>
            </w:tcBorders>
            <w:noWrap/>
            <w:vAlign w:val="center"/>
          </w:tcPr>
          <w:p w14:paraId="7FEE215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单位名称</w:t>
            </w: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5FAAE18F">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联系人</w:t>
            </w:r>
          </w:p>
        </w:tc>
        <w:tc>
          <w:tcPr>
            <w:tcW w:w="1264" w:type="pct"/>
            <w:tcBorders>
              <w:top w:val="single" w:color="000000" w:sz="4" w:space="0"/>
              <w:left w:val="single" w:color="000000" w:sz="4" w:space="0"/>
              <w:bottom w:val="single" w:color="000000" w:sz="4" w:space="0"/>
              <w:right w:val="single" w:color="000000" w:sz="4" w:space="0"/>
            </w:tcBorders>
            <w:noWrap/>
            <w:vAlign w:val="center"/>
          </w:tcPr>
          <w:p w14:paraId="38F81D4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联系电话</w:t>
            </w:r>
          </w:p>
        </w:tc>
      </w:tr>
      <w:tr w14:paraId="7A59F16D">
        <w:tblPrEx>
          <w:tblCellMar>
            <w:top w:w="0" w:type="dxa"/>
            <w:left w:w="108" w:type="dxa"/>
            <w:bottom w:w="0" w:type="dxa"/>
            <w:right w:w="108" w:type="dxa"/>
          </w:tblCellMar>
        </w:tblPrEx>
        <w:trPr>
          <w:trHeight w:val="312" w:hRule="atLeast"/>
          <w:jc w:val="center"/>
        </w:trPr>
        <w:tc>
          <w:tcPr>
            <w:tcW w:w="774" w:type="pct"/>
            <w:vMerge w:val="restart"/>
            <w:tcBorders>
              <w:top w:val="single" w:color="000000" w:sz="4" w:space="0"/>
              <w:left w:val="single" w:color="000000" w:sz="4" w:space="0"/>
              <w:bottom w:val="single" w:color="000000" w:sz="4" w:space="0"/>
              <w:right w:val="single" w:color="000000" w:sz="4" w:space="0"/>
            </w:tcBorders>
            <w:noWrap/>
            <w:vAlign w:val="center"/>
          </w:tcPr>
          <w:p w14:paraId="7AF4241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w:t>
            </w:r>
          </w:p>
        </w:tc>
        <w:tc>
          <w:tcPr>
            <w:tcW w:w="1287" w:type="pct"/>
            <w:vMerge w:val="restart"/>
            <w:tcBorders>
              <w:top w:val="single" w:color="000000" w:sz="4" w:space="0"/>
              <w:left w:val="single" w:color="000000" w:sz="4" w:space="0"/>
              <w:bottom w:val="single" w:color="000000" w:sz="4" w:space="0"/>
              <w:right w:val="single" w:color="000000" w:sz="4" w:space="0"/>
            </w:tcBorders>
            <w:noWrap/>
            <w:vAlign w:val="center"/>
          </w:tcPr>
          <w:p w14:paraId="5AC19F4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建设银行</w:t>
            </w:r>
          </w:p>
        </w:tc>
        <w:tc>
          <w:tcPr>
            <w:tcW w:w="1672" w:type="pct"/>
            <w:vMerge w:val="restart"/>
            <w:tcBorders>
              <w:top w:val="single" w:color="000000" w:sz="4" w:space="0"/>
              <w:left w:val="single" w:color="000000" w:sz="4" w:space="0"/>
              <w:bottom w:val="single" w:color="000000" w:sz="4" w:space="0"/>
              <w:right w:val="single" w:color="000000" w:sz="4" w:space="0"/>
            </w:tcBorders>
            <w:vAlign w:val="center"/>
          </w:tcPr>
          <w:p w14:paraId="2A2A2A00">
            <w:pPr>
              <w:keepNext w:val="0"/>
              <w:keepLines w:val="0"/>
              <w:pageBreakBefore w:val="0"/>
              <w:widowControl/>
              <w:kinsoku/>
              <w:wordWrap/>
              <w:overflowPunct/>
              <w:topLinePunct w:val="0"/>
              <w:bidi w:val="0"/>
              <w:adjustRightInd w:val="0"/>
              <w:snapToGrid w:val="0"/>
              <w:spacing w:line="460" w:lineRule="exact"/>
              <w:ind w:left="0" w:leftChars="0"/>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郭煜庆 田宇</w:t>
            </w:r>
          </w:p>
        </w:tc>
        <w:tc>
          <w:tcPr>
            <w:tcW w:w="1264" w:type="pct"/>
            <w:vMerge w:val="restart"/>
            <w:tcBorders>
              <w:top w:val="single" w:color="000000" w:sz="4" w:space="0"/>
              <w:left w:val="single" w:color="000000" w:sz="4" w:space="0"/>
              <w:bottom w:val="single" w:color="000000" w:sz="4" w:space="0"/>
              <w:right w:val="single" w:color="000000" w:sz="4" w:space="0"/>
            </w:tcBorders>
            <w:vAlign w:val="center"/>
          </w:tcPr>
          <w:p w14:paraId="31A74B78">
            <w:pPr>
              <w:keepNext w:val="0"/>
              <w:keepLines w:val="0"/>
              <w:pageBreakBefore w:val="0"/>
              <w:widowControl/>
              <w:kinsoku/>
              <w:wordWrap/>
              <w:overflowPunct/>
              <w:topLinePunct w:val="0"/>
              <w:bidi w:val="0"/>
              <w:adjustRightInd w:val="0"/>
              <w:snapToGrid w:val="0"/>
              <w:spacing w:line="460" w:lineRule="exact"/>
              <w:ind w:left="0" w:leftChars="0"/>
              <w:jc w:val="center"/>
              <w:textAlignment w:val="top"/>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13892535580</w:t>
            </w:r>
          </w:p>
          <w:p w14:paraId="49303C23">
            <w:pPr>
              <w:keepNext w:val="0"/>
              <w:keepLines w:val="0"/>
              <w:pageBreakBefore w:val="0"/>
              <w:widowControl/>
              <w:kinsoku/>
              <w:wordWrap/>
              <w:overflowPunct/>
              <w:topLinePunct w:val="0"/>
              <w:bidi w:val="0"/>
              <w:adjustRightInd w:val="0"/>
              <w:snapToGrid w:val="0"/>
              <w:spacing w:line="460" w:lineRule="exact"/>
              <w:ind w:left="0" w:leftChars="0"/>
              <w:jc w:val="center"/>
              <w:textAlignment w:val="top"/>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17797059890</w:t>
            </w:r>
          </w:p>
        </w:tc>
      </w:tr>
      <w:tr w14:paraId="587779C5">
        <w:tblPrEx>
          <w:tblCellMar>
            <w:top w:w="0" w:type="dxa"/>
            <w:left w:w="108" w:type="dxa"/>
            <w:bottom w:w="0" w:type="dxa"/>
            <w:right w:w="108" w:type="dxa"/>
          </w:tblCellMar>
        </w:tblPrEx>
        <w:trPr>
          <w:trHeight w:val="638" w:hRule="atLeast"/>
          <w:jc w:val="center"/>
        </w:trPr>
        <w:tc>
          <w:tcPr>
            <w:tcW w:w="774" w:type="pct"/>
            <w:vMerge w:val="continue"/>
            <w:tcBorders>
              <w:top w:val="single" w:color="000000" w:sz="4" w:space="0"/>
              <w:left w:val="single" w:color="000000" w:sz="4" w:space="0"/>
              <w:bottom w:val="single" w:color="000000" w:sz="4" w:space="0"/>
              <w:right w:val="single" w:color="000000" w:sz="4" w:space="0"/>
            </w:tcBorders>
            <w:noWrap/>
            <w:vAlign w:val="center"/>
          </w:tcPr>
          <w:p w14:paraId="419BC21B">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87" w:type="pct"/>
            <w:vMerge w:val="continue"/>
            <w:tcBorders>
              <w:top w:val="single" w:color="000000" w:sz="4" w:space="0"/>
              <w:left w:val="single" w:color="000000" w:sz="4" w:space="0"/>
              <w:bottom w:val="single" w:color="000000" w:sz="4" w:space="0"/>
              <w:right w:val="single" w:color="000000" w:sz="4" w:space="0"/>
            </w:tcBorders>
            <w:noWrap/>
            <w:vAlign w:val="center"/>
          </w:tcPr>
          <w:p w14:paraId="172EAD7E">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672" w:type="pct"/>
            <w:vMerge w:val="continue"/>
            <w:tcBorders>
              <w:top w:val="single" w:color="000000" w:sz="4" w:space="0"/>
              <w:left w:val="single" w:color="000000" w:sz="4" w:space="0"/>
              <w:bottom w:val="single" w:color="000000" w:sz="4" w:space="0"/>
              <w:right w:val="single" w:color="000000" w:sz="4" w:space="0"/>
            </w:tcBorders>
            <w:vAlign w:val="center"/>
          </w:tcPr>
          <w:p w14:paraId="19B80E23">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64" w:type="pct"/>
            <w:vMerge w:val="continue"/>
            <w:tcBorders>
              <w:top w:val="single" w:color="000000" w:sz="4" w:space="0"/>
              <w:left w:val="single" w:color="000000" w:sz="4" w:space="0"/>
              <w:bottom w:val="single" w:color="000000" w:sz="4" w:space="0"/>
              <w:right w:val="single" w:color="000000" w:sz="4" w:space="0"/>
            </w:tcBorders>
            <w:vAlign w:val="center"/>
          </w:tcPr>
          <w:p w14:paraId="3CA66512">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r>
      <w:tr w14:paraId="337D1C03">
        <w:tblPrEx>
          <w:tblCellMar>
            <w:top w:w="0" w:type="dxa"/>
            <w:left w:w="108" w:type="dxa"/>
            <w:bottom w:w="0" w:type="dxa"/>
            <w:right w:w="108" w:type="dxa"/>
          </w:tblCellMar>
        </w:tblPrEx>
        <w:trPr>
          <w:trHeight w:val="312" w:hRule="atLeast"/>
          <w:jc w:val="center"/>
        </w:trPr>
        <w:tc>
          <w:tcPr>
            <w:tcW w:w="774" w:type="pct"/>
            <w:vMerge w:val="restart"/>
            <w:tcBorders>
              <w:top w:val="single" w:color="000000" w:sz="4" w:space="0"/>
              <w:left w:val="single" w:color="000000" w:sz="4" w:space="0"/>
              <w:bottom w:val="single" w:color="000000" w:sz="4" w:space="0"/>
              <w:right w:val="single" w:color="000000" w:sz="4" w:space="0"/>
            </w:tcBorders>
            <w:noWrap/>
            <w:vAlign w:val="center"/>
          </w:tcPr>
          <w:p w14:paraId="7CF8F399">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2</w:t>
            </w:r>
          </w:p>
        </w:tc>
        <w:tc>
          <w:tcPr>
            <w:tcW w:w="1287" w:type="pct"/>
            <w:vMerge w:val="restart"/>
            <w:tcBorders>
              <w:top w:val="single" w:color="000000" w:sz="4" w:space="0"/>
              <w:left w:val="single" w:color="000000" w:sz="4" w:space="0"/>
              <w:bottom w:val="single" w:color="000000" w:sz="4" w:space="0"/>
              <w:right w:val="single" w:color="000000" w:sz="4" w:space="0"/>
            </w:tcBorders>
            <w:noWrap/>
            <w:vAlign w:val="center"/>
          </w:tcPr>
          <w:p w14:paraId="13AD35F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浦发银行</w:t>
            </w:r>
          </w:p>
        </w:tc>
        <w:tc>
          <w:tcPr>
            <w:tcW w:w="1672" w:type="pct"/>
            <w:vMerge w:val="restart"/>
            <w:tcBorders>
              <w:top w:val="single" w:color="000000" w:sz="4" w:space="0"/>
              <w:left w:val="single" w:color="000000" w:sz="4" w:space="0"/>
              <w:bottom w:val="single" w:color="000000" w:sz="4" w:space="0"/>
              <w:right w:val="single" w:color="000000" w:sz="4" w:space="0"/>
            </w:tcBorders>
            <w:vAlign w:val="center"/>
          </w:tcPr>
          <w:p w14:paraId="5B7F8AEE">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孙哲龙 蒙波</w:t>
            </w:r>
          </w:p>
        </w:tc>
        <w:tc>
          <w:tcPr>
            <w:tcW w:w="1264" w:type="pct"/>
            <w:vMerge w:val="restart"/>
            <w:tcBorders>
              <w:top w:val="single" w:color="000000" w:sz="4" w:space="0"/>
              <w:left w:val="single" w:color="000000" w:sz="4" w:space="0"/>
              <w:bottom w:val="single" w:color="000000" w:sz="4" w:space="0"/>
              <w:right w:val="single" w:color="000000" w:sz="4" w:space="0"/>
            </w:tcBorders>
            <w:vAlign w:val="center"/>
          </w:tcPr>
          <w:p w14:paraId="31465847">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bidi="ar"/>
              </w:rPr>
              <w:t>13892383911</w:t>
            </w:r>
          </w:p>
          <w:p w14:paraId="31F657C2">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15249035320</w:t>
            </w:r>
          </w:p>
        </w:tc>
      </w:tr>
      <w:tr w14:paraId="463B4627">
        <w:tblPrEx>
          <w:tblCellMar>
            <w:top w:w="0" w:type="dxa"/>
            <w:left w:w="108" w:type="dxa"/>
            <w:bottom w:w="0" w:type="dxa"/>
            <w:right w:w="108" w:type="dxa"/>
          </w:tblCellMar>
        </w:tblPrEx>
        <w:trPr>
          <w:trHeight w:val="638" w:hRule="atLeast"/>
          <w:jc w:val="center"/>
        </w:trPr>
        <w:tc>
          <w:tcPr>
            <w:tcW w:w="774" w:type="pct"/>
            <w:vMerge w:val="continue"/>
            <w:tcBorders>
              <w:top w:val="single" w:color="000000" w:sz="4" w:space="0"/>
              <w:left w:val="single" w:color="000000" w:sz="4" w:space="0"/>
              <w:bottom w:val="single" w:color="000000" w:sz="4" w:space="0"/>
              <w:right w:val="single" w:color="000000" w:sz="4" w:space="0"/>
            </w:tcBorders>
            <w:noWrap/>
            <w:vAlign w:val="center"/>
          </w:tcPr>
          <w:p w14:paraId="52838AA1">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87" w:type="pct"/>
            <w:vMerge w:val="continue"/>
            <w:tcBorders>
              <w:top w:val="single" w:color="000000" w:sz="4" w:space="0"/>
              <w:left w:val="single" w:color="000000" w:sz="4" w:space="0"/>
              <w:bottom w:val="single" w:color="000000" w:sz="4" w:space="0"/>
              <w:right w:val="single" w:color="000000" w:sz="4" w:space="0"/>
            </w:tcBorders>
            <w:noWrap/>
            <w:vAlign w:val="center"/>
          </w:tcPr>
          <w:p w14:paraId="313FF927">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672" w:type="pct"/>
            <w:vMerge w:val="continue"/>
            <w:tcBorders>
              <w:top w:val="single" w:color="000000" w:sz="4" w:space="0"/>
              <w:left w:val="single" w:color="000000" w:sz="4" w:space="0"/>
              <w:bottom w:val="single" w:color="000000" w:sz="4" w:space="0"/>
              <w:right w:val="single" w:color="000000" w:sz="4" w:space="0"/>
            </w:tcBorders>
            <w:vAlign w:val="center"/>
          </w:tcPr>
          <w:p w14:paraId="20C2D778">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64" w:type="pct"/>
            <w:vMerge w:val="continue"/>
            <w:tcBorders>
              <w:top w:val="single" w:color="000000" w:sz="4" w:space="0"/>
              <w:left w:val="single" w:color="000000" w:sz="4" w:space="0"/>
              <w:bottom w:val="single" w:color="000000" w:sz="4" w:space="0"/>
              <w:right w:val="single" w:color="000000" w:sz="4" w:space="0"/>
            </w:tcBorders>
            <w:vAlign w:val="center"/>
          </w:tcPr>
          <w:p w14:paraId="62513660">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r>
      <w:tr w14:paraId="079BC1B0">
        <w:tblPrEx>
          <w:tblCellMar>
            <w:top w:w="0" w:type="dxa"/>
            <w:left w:w="108" w:type="dxa"/>
            <w:bottom w:w="0" w:type="dxa"/>
            <w:right w:w="108" w:type="dxa"/>
          </w:tblCellMar>
        </w:tblPrEx>
        <w:trPr>
          <w:trHeight w:val="312" w:hRule="atLeast"/>
          <w:jc w:val="center"/>
        </w:trPr>
        <w:tc>
          <w:tcPr>
            <w:tcW w:w="774" w:type="pct"/>
            <w:vMerge w:val="restart"/>
            <w:tcBorders>
              <w:top w:val="single" w:color="000000" w:sz="4" w:space="0"/>
              <w:left w:val="single" w:color="000000" w:sz="4" w:space="0"/>
              <w:bottom w:val="single" w:color="000000" w:sz="4" w:space="0"/>
              <w:right w:val="single" w:color="000000" w:sz="4" w:space="0"/>
            </w:tcBorders>
            <w:noWrap/>
            <w:vAlign w:val="center"/>
          </w:tcPr>
          <w:p w14:paraId="0FB5D8A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3</w:t>
            </w:r>
          </w:p>
        </w:tc>
        <w:tc>
          <w:tcPr>
            <w:tcW w:w="1287" w:type="pct"/>
            <w:vMerge w:val="restart"/>
            <w:tcBorders>
              <w:top w:val="single" w:color="000000" w:sz="4" w:space="0"/>
              <w:left w:val="single" w:color="000000" w:sz="4" w:space="0"/>
              <w:bottom w:val="single" w:color="000000" w:sz="4" w:space="0"/>
              <w:right w:val="single" w:color="000000" w:sz="4" w:space="0"/>
            </w:tcBorders>
            <w:noWrap/>
            <w:vAlign w:val="center"/>
          </w:tcPr>
          <w:p w14:paraId="042FAC42">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中信银行</w:t>
            </w:r>
          </w:p>
        </w:tc>
        <w:tc>
          <w:tcPr>
            <w:tcW w:w="1672" w:type="pct"/>
            <w:vMerge w:val="restart"/>
            <w:tcBorders>
              <w:top w:val="single" w:color="000000" w:sz="4" w:space="0"/>
              <w:left w:val="single" w:color="000000" w:sz="4" w:space="0"/>
              <w:bottom w:val="single" w:color="000000" w:sz="4" w:space="0"/>
              <w:right w:val="single" w:color="000000" w:sz="4" w:space="0"/>
            </w:tcBorders>
            <w:vAlign w:val="center"/>
          </w:tcPr>
          <w:p w14:paraId="1AAA1129">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杨洋 耿浩</w:t>
            </w:r>
          </w:p>
        </w:tc>
        <w:tc>
          <w:tcPr>
            <w:tcW w:w="1264" w:type="pct"/>
            <w:vMerge w:val="restart"/>
            <w:tcBorders>
              <w:top w:val="single" w:color="000000" w:sz="4" w:space="0"/>
              <w:left w:val="single" w:color="000000" w:sz="4" w:space="0"/>
              <w:bottom w:val="single" w:color="000000" w:sz="4" w:space="0"/>
              <w:right w:val="single" w:color="000000" w:sz="4" w:space="0"/>
            </w:tcBorders>
            <w:vAlign w:val="center"/>
          </w:tcPr>
          <w:p w14:paraId="3D2A4D27">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18191815559</w:t>
            </w:r>
          </w:p>
          <w:p w14:paraId="512694D9">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13193388328</w:t>
            </w:r>
          </w:p>
        </w:tc>
      </w:tr>
      <w:tr w14:paraId="34797200">
        <w:tblPrEx>
          <w:tblCellMar>
            <w:top w:w="0" w:type="dxa"/>
            <w:left w:w="108" w:type="dxa"/>
            <w:bottom w:w="0" w:type="dxa"/>
            <w:right w:w="108" w:type="dxa"/>
          </w:tblCellMar>
        </w:tblPrEx>
        <w:trPr>
          <w:trHeight w:val="638" w:hRule="atLeast"/>
          <w:jc w:val="center"/>
        </w:trPr>
        <w:tc>
          <w:tcPr>
            <w:tcW w:w="774" w:type="pct"/>
            <w:vMerge w:val="continue"/>
            <w:tcBorders>
              <w:top w:val="single" w:color="000000" w:sz="4" w:space="0"/>
              <w:left w:val="single" w:color="000000" w:sz="4" w:space="0"/>
              <w:bottom w:val="single" w:color="000000" w:sz="4" w:space="0"/>
              <w:right w:val="single" w:color="000000" w:sz="4" w:space="0"/>
            </w:tcBorders>
            <w:noWrap/>
            <w:vAlign w:val="center"/>
          </w:tcPr>
          <w:p w14:paraId="4FE27A8B">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87" w:type="pct"/>
            <w:vMerge w:val="continue"/>
            <w:tcBorders>
              <w:top w:val="single" w:color="000000" w:sz="4" w:space="0"/>
              <w:left w:val="single" w:color="000000" w:sz="4" w:space="0"/>
              <w:bottom w:val="single" w:color="000000" w:sz="4" w:space="0"/>
              <w:right w:val="single" w:color="000000" w:sz="4" w:space="0"/>
            </w:tcBorders>
            <w:noWrap/>
            <w:vAlign w:val="center"/>
          </w:tcPr>
          <w:p w14:paraId="7DE06A12">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672" w:type="pct"/>
            <w:vMerge w:val="continue"/>
            <w:tcBorders>
              <w:top w:val="single" w:color="000000" w:sz="4" w:space="0"/>
              <w:left w:val="single" w:color="000000" w:sz="4" w:space="0"/>
              <w:bottom w:val="single" w:color="000000" w:sz="4" w:space="0"/>
              <w:right w:val="single" w:color="000000" w:sz="4" w:space="0"/>
            </w:tcBorders>
            <w:vAlign w:val="center"/>
          </w:tcPr>
          <w:p w14:paraId="00CC32D3">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64" w:type="pct"/>
            <w:vMerge w:val="continue"/>
            <w:tcBorders>
              <w:top w:val="single" w:color="000000" w:sz="4" w:space="0"/>
              <w:left w:val="single" w:color="000000" w:sz="4" w:space="0"/>
              <w:bottom w:val="single" w:color="000000" w:sz="4" w:space="0"/>
              <w:right w:val="single" w:color="000000" w:sz="4" w:space="0"/>
            </w:tcBorders>
            <w:vAlign w:val="center"/>
          </w:tcPr>
          <w:p w14:paraId="2FFAB556">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r>
      <w:tr w14:paraId="4A041B9F">
        <w:tblPrEx>
          <w:tblCellMar>
            <w:top w:w="0" w:type="dxa"/>
            <w:left w:w="108" w:type="dxa"/>
            <w:bottom w:w="0" w:type="dxa"/>
            <w:right w:w="108" w:type="dxa"/>
          </w:tblCellMar>
        </w:tblPrEx>
        <w:trPr>
          <w:trHeight w:val="312" w:hRule="atLeast"/>
          <w:jc w:val="center"/>
        </w:trPr>
        <w:tc>
          <w:tcPr>
            <w:tcW w:w="774" w:type="pct"/>
            <w:vMerge w:val="restart"/>
            <w:tcBorders>
              <w:top w:val="single" w:color="000000" w:sz="4" w:space="0"/>
              <w:left w:val="single" w:color="000000" w:sz="4" w:space="0"/>
              <w:bottom w:val="single" w:color="000000" w:sz="4" w:space="0"/>
              <w:right w:val="single" w:color="000000" w:sz="4" w:space="0"/>
            </w:tcBorders>
            <w:noWrap/>
            <w:vAlign w:val="center"/>
          </w:tcPr>
          <w:p w14:paraId="419D9250">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4</w:t>
            </w:r>
          </w:p>
        </w:tc>
        <w:tc>
          <w:tcPr>
            <w:tcW w:w="1287" w:type="pct"/>
            <w:vMerge w:val="restart"/>
            <w:tcBorders>
              <w:top w:val="single" w:color="000000" w:sz="4" w:space="0"/>
              <w:left w:val="single" w:color="000000" w:sz="4" w:space="0"/>
              <w:bottom w:val="single" w:color="000000" w:sz="4" w:space="0"/>
              <w:right w:val="single" w:color="000000" w:sz="4" w:space="0"/>
            </w:tcBorders>
            <w:noWrap/>
            <w:vAlign w:val="center"/>
          </w:tcPr>
          <w:p w14:paraId="1857C437">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兴业银行</w:t>
            </w:r>
          </w:p>
        </w:tc>
        <w:tc>
          <w:tcPr>
            <w:tcW w:w="1672" w:type="pct"/>
            <w:vMerge w:val="restart"/>
            <w:tcBorders>
              <w:top w:val="single" w:color="000000" w:sz="4" w:space="0"/>
              <w:left w:val="single" w:color="000000" w:sz="4" w:space="0"/>
              <w:bottom w:val="single" w:color="000000" w:sz="4" w:space="0"/>
              <w:right w:val="single" w:color="000000" w:sz="4" w:space="0"/>
            </w:tcBorders>
            <w:noWrap/>
            <w:vAlign w:val="center"/>
          </w:tcPr>
          <w:p w14:paraId="5439869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权奥星</w:t>
            </w:r>
          </w:p>
        </w:tc>
        <w:tc>
          <w:tcPr>
            <w:tcW w:w="1264" w:type="pct"/>
            <w:vMerge w:val="restart"/>
            <w:tcBorders>
              <w:top w:val="single" w:color="000000" w:sz="4" w:space="0"/>
              <w:left w:val="single" w:color="000000" w:sz="4" w:space="0"/>
              <w:bottom w:val="single" w:color="000000" w:sz="4" w:space="0"/>
              <w:right w:val="single" w:color="000000" w:sz="4" w:space="0"/>
            </w:tcBorders>
            <w:noWrap/>
            <w:vAlign w:val="center"/>
          </w:tcPr>
          <w:p w14:paraId="2118820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15706090239</w:t>
            </w:r>
          </w:p>
        </w:tc>
      </w:tr>
      <w:tr w14:paraId="40151838">
        <w:tblPrEx>
          <w:tblCellMar>
            <w:top w:w="0" w:type="dxa"/>
            <w:left w:w="108" w:type="dxa"/>
            <w:bottom w:w="0" w:type="dxa"/>
            <w:right w:w="108" w:type="dxa"/>
          </w:tblCellMar>
        </w:tblPrEx>
        <w:trPr>
          <w:trHeight w:val="312" w:hRule="atLeast"/>
          <w:jc w:val="center"/>
        </w:trPr>
        <w:tc>
          <w:tcPr>
            <w:tcW w:w="774" w:type="pct"/>
            <w:vMerge w:val="continue"/>
            <w:tcBorders>
              <w:top w:val="single" w:color="000000" w:sz="4" w:space="0"/>
              <w:left w:val="single" w:color="000000" w:sz="4" w:space="0"/>
              <w:bottom w:val="single" w:color="000000" w:sz="4" w:space="0"/>
              <w:right w:val="single" w:color="000000" w:sz="4" w:space="0"/>
            </w:tcBorders>
            <w:noWrap/>
            <w:vAlign w:val="center"/>
          </w:tcPr>
          <w:p w14:paraId="2C0E35F0">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87" w:type="pct"/>
            <w:vMerge w:val="continue"/>
            <w:tcBorders>
              <w:top w:val="single" w:color="000000" w:sz="4" w:space="0"/>
              <w:left w:val="single" w:color="000000" w:sz="4" w:space="0"/>
              <w:bottom w:val="single" w:color="000000" w:sz="4" w:space="0"/>
              <w:right w:val="single" w:color="000000" w:sz="4" w:space="0"/>
            </w:tcBorders>
            <w:noWrap/>
            <w:vAlign w:val="center"/>
          </w:tcPr>
          <w:p w14:paraId="2908A2A3">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672" w:type="pct"/>
            <w:vMerge w:val="continue"/>
            <w:tcBorders>
              <w:top w:val="single" w:color="000000" w:sz="4" w:space="0"/>
              <w:left w:val="single" w:color="000000" w:sz="4" w:space="0"/>
              <w:bottom w:val="single" w:color="000000" w:sz="4" w:space="0"/>
              <w:right w:val="single" w:color="000000" w:sz="4" w:space="0"/>
            </w:tcBorders>
            <w:noWrap/>
            <w:vAlign w:val="center"/>
          </w:tcPr>
          <w:p w14:paraId="70E7EDF4">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64" w:type="pct"/>
            <w:vMerge w:val="continue"/>
            <w:tcBorders>
              <w:top w:val="single" w:color="000000" w:sz="4" w:space="0"/>
              <w:left w:val="single" w:color="000000" w:sz="4" w:space="0"/>
              <w:bottom w:val="single" w:color="000000" w:sz="4" w:space="0"/>
              <w:right w:val="single" w:color="000000" w:sz="4" w:space="0"/>
            </w:tcBorders>
            <w:noWrap/>
            <w:vAlign w:val="center"/>
          </w:tcPr>
          <w:p w14:paraId="43902678">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r>
      <w:tr w14:paraId="508DAD91">
        <w:tblPrEx>
          <w:tblCellMar>
            <w:top w:w="0" w:type="dxa"/>
            <w:left w:w="108" w:type="dxa"/>
            <w:bottom w:w="0" w:type="dxa"/>
            <w:right w:w="108" w:type="dxa"/>
          </w:tblCellMar>
        </w:tblPrEx>
        <w:trPr>
          <w:trHeight w:val="312" w:hRule="atLeast"/>
          <w:jc w:val="center"/>
        </w:trPr>
        <w:tc>
          <w:tcPr>
            <w:tcW w:w="774" w:type="pct"/>
            <w:vMerge w:val="restart"/>
            <w:tcBorders>
              <w:top w:val="single" w:color="000000" w:sz="4" w:space="0"/>
              <w:left w:val="single" w:color="000000" w:sz="4" w:space="0"/>
              <w:bottom w:val="single" w:color="000000" w:sz="4" w:space="0"/>
              <w:right w:val="single" w:color="000000" w:sz="4" w:space="0"/>
            </w:tcBorders>
            <w:noWrap/>
            <w:vAlign w:val="center"/>
          </w:tcPr>
          <w:p w14:paraId="6D08F4E7">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5</w:t>
            </w:r>
          </w:p>
        </w:tc>
        <w:tc>
          <w:tcPr>
            <w:tcW w:w="1287" w:type="pct"/>
            <w:vMerge w:val="restart"/>
            <w:tcBorders>
              <w:top w:val="single" w:color="000000" w:sz="4" w:space="0"/>
              <w:left w:val="single" w:color="000000" w:sz="4" w:space="0"/>
              <w:bottom w:val="single" w:color="000000" w:sz="4" w:space="0"/>
              <w:right w:val="single" w:color="000000" w:sz="4" w:space="0"/>
            </w:tcBorders>
            <w:noWrap/>
            <w:vAlign w:val="center"/>
          </w:tcPr>
          <w:p w14:paraId="4C64EC9C">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工商银行</w:t>
            </w:r>
          </w:p>
        </w:tc>
        <w:tc>
          <w:tcPr>
            <w:tcW w:w="1672" w:type="pct"/>
            <w:vMerge w:val="restart"/>
            <w:tcBorders>
              <w:top w:val="single" w:color="000000" w:sz="4" w:space="0"/>
              <w:left w:val="single" w:color="000000" w:sz="4" w:space="0"/>
              <w:bottom w:val="single" w:color="000000" w:sz="4" w:space="0"/>
              <w:right w:val="single" w:color="000000" w:sz="4" w:space="0"/>
            </w:tcBorders>
            <w:vAlign w:val="center"/>
          </w:tcPr>
          <w:p w14:paraId="5BDF25F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张剑 张欢</w:t>
            </w:r>
          </w:p>
        </w:tc>
        <w:tc>
          <w:tcPr>
            <w:tcW w:w="1264" w:type="pct"/>
            <w:vMerge w:val="restart"/>
            <w:tcBorders>
              <w:top w:val="single" w:color="000000" w:sz="4" w:space="0"/>
              <w:left w:val="single" w:color="000000" w:sz="4" w:space="0"/>
              <w:bottom w:val="single" w:color="000000" w:sz="4" w:space="0"/>
              <w:right w:val="single" w:color="000000" w:sz="4" w:space="0"/>
            </w:tcBorders>
            <w:vAlign w:val="center"/>
          </w:tcPr>
          <w:p w14:paraId="11EDA43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18191356300</w:t>
            </w:r>
          </w:p>
          <w:p w14:paraId="3AAAC50A">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15229730006</w:t>
            </w:r>
          </w:p>
        </w:tc>
      </w:tr>
      <w:tr w14:paraId="19280F69">
        <w:tblPrEx>
          <w:tblCellMar>
            <w:top w:w="0" w:type="dxa"/>
            <w:left w:w="108" w:type="dxa"/>
            <w:bottom w:w="0" w:type="dxa"/>
            <w:right w:w="108" w:type="dxa"/>
          </w:tblCellMar>
        </w:tblPrEx>
        <w:trPr>
          <w:trHeight w:val="638" w:hRule="atLeast"/>
          <w:jc w:val="center"/>
        </w:trPr>
        <w:tc>
          <w:tcPr>
            <w:tcW w:w="774" w:type="pct"/>
            <w:vMerge w:val="continue"/>
            <w:tcBorders>
              <w:top w:val="single" w:color="000000" w:sz="4" w:space="0"/>
              <w:left w:val="single" w:color="000000" w:sz="4" w:space="0"/>
              <w:bottom w:val="single" w:color="000000" w:sz="4" w:space="0"/>
              <w:right w:val="single" w:color="000000" w:sz="4" w:space="0"/>
            </w:tcBorders>
            <w:noWrap/>
            <w:vAlign w:val="center"/>
          </w:tcPr>
          <w:p w14:paraId="2CFF921F">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87" w:type="pct"/>
            <w:vMerge w:val="continue"/>
            <w:tcBorders>
              <w:top w:val="single" w:color="000000" w:sz="4" w:space="0"/>
              <w:left w:val="single" w:color="000000" w:sz="4" w:space="0"/>
              <w:bottom w:val="single" w:color="000000" w:sz="4" w:space="0"/>
              <w:right w:val="single" w:color="000000" w:sz="4" w:space="0"/>
            </w:tcBorders>
            <w:noWrap/>
            <w:vAlign w:val="center"/>
          </w:tcPr>
          <w:p w14:paraId="719F5469">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672" w:type="pct"/>
            <w:vMerge w:val="continue"/>
            <w:tcBorders>
              <w:top w:val="single" w:color="000000" w:sz="4" w:space="0"/>
              <w:left w:val="single" w:color="000000" w:sz="4" w:space="0"/>
              <w:bottom w:val="single" w:color="000000" w:sz="4" w:space="0"/>
              <w:right w:val="single" w:color="000000" w:sz="4" w:space="0"/>
            </w:tcBorders>
            <w:vAlign w:val="center"/>
          </w:tcPr>
          <w:p w14:paraId="39D37893">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64" w:type="pct"/>
            <w:vMerge w:val="continue"/>
            <w:tcBorders>
              <w:top w:val="single" w:color="000000" w:sz="4" w:space="0"/>
              <w:left w:val="single" w:color="000000" w:sz="4" w:space="0"/>
              <w:bottom w:val="single" w:color="000000" w:sz="4" w:space="0"/>
              <w:right w:val="single" w:color="000000" w:sz="4" w:space="0"/>
            </w:tcBorders>
            <w:vAlign w:val="center"/>
          </w:tcPr>
          <w:p w14:paraId="198D6042">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r>
      <w:tr w14:paraId="28F632E8">
        <w:tblPrEx>
          <w:tblCellMar>
            <w:top w:w="0" w:type="dxa"/>
            <w:left w:w="108" w:type="dxa"/>
            <w:bottom w:w="0" w:type="dxa"/>
            <w:right w:w="108" w:type="dxa"/>
          </w:tblCellMar>
        </w:tblPrEx>
        <w:trPr>
          <w:trHeight w:val="312" w:hRule="atLeast"/>
          <w:jc w:val="center"/>
        </w:trPr>
        <w:tc>
          <w:tcPr>
            <w:tcW w:w="774" w:type="pct"/>
            <w:vMerge w:val="restart"/>
            <w:tcBorders>
              <w:top w:val="single" w:color="000000" w:sz="4" w:space="0"/>
              <w:left w:val="single" w:color="000000" w:sz="4" w:space="0"/>
              <w:bottom w:val="single" w:color="000000" w:sz="4" w:space="0"/>
              <w:right w:val="single" w:color="000000" w:sz="4" w:space="0"/>
            </w:tcBorders>
            <w:noWrap/>
            <w:vAlign w:val="center"/>
          </w:tcPr>
          <w:p w14:paraId="319862E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6</w:t>
            </w:r>
          </w:p>
        </w:tc>
        <w:tc>
          <w:tcPr>
            <w:tcW w:w="1287" w:type="pct"/>
            <w:vMerge w:val="restart"/>
            <w:tcBorders>
              <w:top w:val="single" w:color="000000" w:sz="4" w:space="0"/>
              <w:left w:val="single" w:color="000000" w:sz="4" w:space="0"/>
              <w:bottom w:val="single" w:color="000000" w:sz="4" w:space="0"/>
              <w:right w:val="single" w:color="000000" w:sz="4" w:space="0"/>
            </w:tcBorders>
            <w:noWrap/>
            <w:vAlign w:val="center"/>
          </w:tcPr>
          <w:p w14:paraId="52B64FE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长安银行</w:t>
            </w:r>
          </w:p>
        </w:tc>
        <w:tc>
          <w:tcPr>
            <w:tcW w:w="1672" w:type="pct"/>
            <w:vMerge w:val="restart"/>
            <w:tcBorders>
              <w:top w:val="single" w:color="000000" w:sz="4" w:space="0"/>
              <w:left w:val="single" w:color="000000" w:sz="4" w:space="0"/>
              <w:bottom w:val="single" w:color="000000" w:sz="4" w:space="0"/>
              <w:right w:val="single" w:color="000000" w:sz="4" w:space="0"/>
            </w:tcBorders>
            <w:noWrap/>
            <w:vAlign w:val="center"/>
          </w:tcPr>
          <w:p w14:paraId="1741FC9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李华</w:t>
            </w:r>
          </w:p>
        </w:tc>
        <w:tc>
          <w:tcPr>
            <w:tcW w:w="1264" w:type="pct"/>
            <w:vMerge w:val="restart"/>
            <w:tcBorders>
              <w:top w:val="single" w:color="000000" w:sz="4" w:space="0"/>
              <w:left w:val="single" w:color="000000" w:sz="4" w:space="0"/>
              <w:bottom w:val="single" w:color="000000" w:sz="4" w:space="0"/>
              <w:right w:val="single" w:color="000000" w:sz="4" w:space="0"/>
            </w:tcBorders>
            <w:noWrap/>
            <w:vAlign w:val="center"/>
          </w:tcPr>
          <w:p w14:paraId="560F41E0">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13335331958</w:t>
            </w:r>
          </w:p>
        </w:tc>
      </w:tr>
      <w:tr w14:paraId="7E8360F6">
        <w:tblPrEx>
          <w:tblCellMar>
            <w:top w:w="0" w:type="dxa"/>
            <w:left w:w="108" w:type="dxa"/>
            <w:bottom w:w="0" w:type="dxa"/>
            <w:right w:w="108" w:type="dxa"/>
          </w:tblCellMar>
        </w:tblPrEx>
        <w:trPr>
          <w:trHeight w:val="323" w:hRule="atLeast"/>
          <w:jc w:val="center"/>
        </w:trPr>
        <w:tc>
          <w:tcPr>
            <w:tcW w:w="774" w:type="pct"/>
            <w:vMerge w:val="continue"/>
            <w:tcBorders>
              <w:top w:val="single" w:color="000000" w:sz="4" w:space="0"/>
              <w:left w:val="single" w:color="000000" w:sz="4" w:space="0"/>
              <w:bottom w:val="single" w:color="000000" w:sz="4" w:space="0"/>
              <w:right w:val="single" w:color="000000" w:sz="4" w:space="0"/>
            </w:tcBorders>
            <w:noWrap/>
            <w:vAlign w:val="center"/>
          </w:tcPr>
          <w:p w14:paraId="43DF3C7F">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87" w:type="pct"/>
            <w:vMerge w:val="continue"/>
            <w:tcBorders>
              <w:top w:val="single" w:color="000000" w:sz="4" w:space="0"/>
              <w:left w:val="single" w:color="000000" w:sz="4" w:space="0"/>
              <w:bottom w:val="single" w:color="000000" w:sz="4" w:space="0"/>
              <w:right w:val="single" w:color="000000" w:sz="4" w:space="0"/>
            </w:tcBorders>
            <w:noWrap/>
            <w:vAlign w:val="center"/>
          </w:tcPr>
          <w:p w14:paraId="2778852B">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672" w:type="pct"/>
            <w:vMerge w:val="continue"/>
            <w:tcBorders>
              <w:top w:val="single" w:color="000000" w:sz="4" w:space="0"/>
              <w:left w:val="single" w:color="000000" w:sz="4" w:space="0"/>
              <w:bottom w:val="single" w:color="000000" w:sz="4" w:space="0"/>
              <w:right w:val="single" w:color="000000" w:sz="4" w:space="0"/>
            </w:tcBorders>
            <w:noWrap/>
            <w:vAlign w:val="center"/>
          </w:tcPr>
          <w:p w14:paraId="449A3BB1">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c>
          <w:tcPr>
            <w:tcW w:w="1264" w:type="pct"/>
            <w:vMerge w:val="continue"/>
            <w:tcBorders>
              <w:top w:val="single" w:color="000000" w:sz="4" w:space="0"/>
              <w:left w:val="single" w:color="000000" w:sz="4" w:space="0"/>
              <w:bottom w:val="single" w:color="000000" w:sz="4" w:space="0"/>
              <w:right w:val="single" w:color="000000" w:sz="4" w:space="0"/>
            </w:tcBorders>
            <w:noWrap/>
            <w:vAlign w:val="center"/>
          </w:tcPr>
          <w:p w14:paraId="0F0D19E4">
            <w:pPr>
              <w:keepNext w:val="0"/>
              <w:keepLines w:val="0"/>
              <w:pageBreakBefore w:val="0"/>
              <w:kinsoku/>
              <w:wordWrap/>
              <w:overflowPunct/>
              <w:topLinePunct w:val="0"/>
              <w:bidi w:val="0"/>
              <w:adjustRightInd w:val="0"/>
              <w:snapToGrid w:val="0"/>
              <w:spacing w:line="460" w:lineRule="exact"/>
              <w:ind w:left="0" w:leftChars="0"/>
              <w:jc w:val="center"/>
              <w:rPr>
                <w:rFonts w:hint="eastAsia" w:ascii="仿宋" w:hAnsi="仿宋" w:eastAsia="仿宋" w:cs="仿宋"/>
                <w:color w:val="auto"/>
                <w:szCs w:val="21"/>
                <w:highlight w:val="none"/>
              </w:rPr>
            </w:pPr>
          </w:p>
        </w:tc>
      </w:tr>
      <w:tr w14:paraId="0784ECEB">
        <w:tblPrEx>
          <w:tblCellMar>
            <w:top w:w="0" w:type="dxa"/>
            <w:left w:w="108" w:type="dxa"/>
            <w:bottom w:w="0" w:type="dxa"/>
            <w:right w:w="108" w:type="dxa"/>
          </w:tblCellMar>
        </w:tblPrEx>
        <w:trPr>
          <w:trHeight w:val="945" w:hRule="atLeast"/>
          <w:jc w:val="center"/>
        </w:trPr>
        <w:tc>
          <w:tcPr>
            <w:tcW w:w="774" w:type="pct"/>
            <w:tcBorders>
              <w:top w:val="single" w:color="000000" w:sz="4" w:space="0"/>
              <w:left w:val="single" w:color="000000" w:sz="4" w:space="0"/>
              <w:bottom w:val="single" w:color="000000" w:sz="4" w:space="0"/>
              <w:right w:val="single" w:color="000000" w:sz="4" w:space="0"/>
            </w:tcBorders>
            <w:noWrap/>
            <w:vAlign w:val="center"/>
          </w:tcPr>
          <w:p w14:paraId="712709EE">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7</w:t>
            </w:r>
          </w:p>
        </w:tc>
        <w:tc>
          <w:tcPr>
            <w:tcW w:w="1287" w:type="pct"/>
            <w:tcBorders>
              <w:top w:val="single" w:color="000000" w:sz="4" w:space="0"/>
              <w:left w:val="single" w:color="000000" w:sz="4" w:space="0"/>
              <w:bottom w:val="single" w:color="000000" w:sz="4" w:space="0"/>
              <w:right w:val="single" w:color="000000" w:sz="4" w:space="0"/>
            </w:tcBorders>
            <w:noWrap/>
            <w:vAlign w:val="center"/>
          </w:tcPr>
          <w:p w14:paraId="28DFE81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邮储银行</w:t>
            </w:r>
          </w:p>
        </w:tc>
        <w:tc>
          <w:tcPr>
            <w:tcW w:w="1672" w:type="pct"/>
            <w:tcBorders>
              <w:top w:val="single" w:color="000000" w:sz="4" w:space="0"/>
              <w:left w:val="single" w:color="000000" w:sz="4" w:space="0"/>
              <w:bottom w:val="single" w:color="000000" w:sz="4" w:space="0"/>
              <w:right w:val="single" w:color="000000" w:sz="4" w:space="0"/>
            </w:tcBorders>
            <w:noWrap/>
            <w:vAlign w:val="center"/>
          </w:tcPr>
          <w:p w14:paraId="1F258145">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张萱</w:t>
            </w:r>
          </w:p>
        </w:tc>
        <w:tc>
          <w:tcPr>
            <w:tcW w:w="1264" w:type="pct"/>
            <w:tcBorders>
              <w:top w:val="single" w:color="000000" w:sz="4" w:space="0"/>
              <w:left w:val="single" w:color="000000" w:sz="4" w:space="0"/>
              <w:bottom w:val="single" w:color="000000" w:sz="4" w:space="0"/>
              <w:right w:val="single" w:color="000000" w:sz="4" w:space="0"/>
            </w:tcBorders>
            <w:vAlign w:val="center"/>
          </w:tcPr>
          <w:p w14:paraId="138290E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eastAsia="zh-CN" w:bidi="ar"/>
              </w:rPr>
            </w:pPr>
            <w:r>
              <w:rPr>
                <w:rFonts w:hint="eastAsia" w:ascii="仿宋" w:hAnsi="仿宋" w:eastAsia="仿宋" w:cs="仿宋"/>
                <w:color w:val="auto"/>
                <w:kern w:val="0"/>
                <w:szCs w:val="21"/>
                <w:highlight w:val="none"/>
                <w:lang w:bidi="ar"/>
              </w:rPr>
              <w:t>13028431555</w:t>
            </w:r>
          </w:p>
          <w:p w14:paraId="4E2422C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lang w:bidi="ar"/>
              </w:rPr>
              <w:t>18091365182</w:t>
            </w:r>
          </w:p>
        </w:tc>
      </w:tr>
    </w:tbl>
    <w:p w14:paraId="3C3EF663">
      <w:pPr>
        <w:pStyle w:val="23"/>
        <w:keepNext w:val="0"/>
        <w:keepLines w:val="0"/>
        <w:pageBreakBefore w:val="0"/>
        <w:tabs>
          <w:tab w:val="left" w:pos="567"/>
        </w:tabs>
        <w:kinsoku/>
        <w:wordWrap/>
        <w:overflowPunct/>
        <w:topLinePunct w:val="0"/>
        <w:bidi w:val="0"/>
        <w:adjustRightInd w:val="0"/>
        <w:snapToGrid w:val="0"/>
        <w:spacing w:line="460" w:lineRule="exact"/>
        <w:ind w:left="0" w:left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t>延安市政府采购贷款银行信息：</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1"/>
        <w:gridCol w:w="946"/>
        <w:gridCol w:w="1574"/>
      </w:tblGrid>
      <w:tr w14:paraId="7EA5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blHeader/>
          <w:jc w:val="center"/>
        </w:trPr>
        <w:tc>
          <w:tcPr>
            <w:tcW w:w="755" w:type="dxa"/>
            <w:noWrap w:val="0"/>
            <w:vAlign w:val="center"/>
          </w:tcPr>
          <w:p w14:paraId="7D9482AA">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序号</w:t>
            </w:r>
          </w:p>
        </w:tc>
        <w:tc>
          <w:tcPr>
            <w:tcW w:w="2041" w:type="dxa"/>
            <w:noWrap w:val="0"/>
            <w:vAlign w:val="center"/>
          </w:tcPr>
          <w:p w14:paraId="7EBB450A">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银行</w:t>
            </w:r>
          </w:p>
        </w:tc>
        <w:tc>
          <w:tcPr>
            <w:tcW w:w="3641" w:type="dxa"/>
            <w:noWrap w:val="0"/>
            <w:vAlign w:val="center"/>
          </w:tcPr>
          <w:p w14:paraId="6EDC3EE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地址</w:t>
            </w:r>
          </w:p>
        </w:tc>
        <w:tc>
          <w:tcPr>
            <w:tcW w:w="946" w:type="dxa"/>
            <w:noWrap w:val="0"/>
            <w:vAlign w:val="center"/>
          </w:tcPr>
          <w:p w14:paraId="755E4CB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联系人</w:t>
            </w:r>
          </w:p>
        </w:tc>
        <w:tc>
          <w:tcPr>
            <w:tcW w:w="1574" w:type="dxa"/>
            <w:noWrap w:val="0"/>
            <w:vAlign w:val="center"/>
          </w:tcPr>
          <w:p w14:paraId="393FC129">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电话</w:t>
            </w:r>
          </w:p>
        </w:tc>
      </w:tr>
      <w:tr w14:paraId="0A3A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noWrap w:val="0"/>
            <w:vAlign w:val="center"/>
          </w:tcPr>
          <w:p w14:paraId="6B4C9FC0">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w:t>
            </w:r>
          </w:p>
        </w:tc>
        <w:tc>
          <w:tcPr>
            <w:tcW w:w="2041" w:type="dxa"/>
            <w:noWrap w:val="0"/>
            <w:vAlign w:val="center"/>
          </w:tcPr>
          <w:p w14:paraId="7B1C5BFA">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中国建设银行延安分行</w:t>
            </w:r>
          </w:p>
        </w:tc>
        <w:tc>
          <w:tcPr>
            <w:tcW w:w="3641" w:type="dxa"/>
            <w:noWrap w:val="0"/>
            <w:vAlign w:val="center"/>
          </w:tcPr>
          <w:p w14:paraId="2EBEC4F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延安市宝塔区中心街</w:t>
            </w:r>
          </w:p>
        </w:tc>
        <w:tc>
          <w:tcPr>
            <w:tcW w:w="946" w:type="dxa"/>
            <w:noWrap w:val="0"/>
            <w:vAlign w:val="center"/>
          </w:tcPr>
          <w:p w14:paraId="03E5B6FD">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徐欣蕾</w:t>
            </w:r>
          </w:p>
        </w:tc>
        <w:tc>
          <w:tcPr>
            <w:tcW w:w="1574" w:type="dxa"/>
            <w:noWrap w:val="0"/>
            <w:vAlign w:val="center"/>
          </w:tcPr>
          <w:p w14:paraId="6F1F59BD">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15891686951</w:t>
            </w:r>
          </w:p>
        </w:tc>
      </w:tr>
      <w:tr w14:paraId="588E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55" w:type="dxa"/>
            <w:noWrap w:val="0"/>
            <w:vAlign w:val="center"/>
          </w:tcPr>
          <w:p w14:paraId="3F785C77">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2</w:t>
            </w:r>
          </w:p>
        </w:tc>
        <w:tc>
          <w:tcPr>
            <w:tcW w:w="2041" w:type="dxa"/>
            <w:noWrap w:val="0"/>
            <w:vAlign w:val="center"/>
          </w:tcPr>
          <w:p w14:paraId="44DF8AC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中国工商银行延安分行</w:t>
            </w:r>
          </w:p>
        </w:tc>
        <w:tc>
          <w:tcPr>
            <w:tcW w:w="3641" w:type="dxa"/>
            <w:noWrap w:val="0"/>
            <w:vAlign w:val="center"/>
          </w:tcPr>
          <w:p w14:paraId="05CCACC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延安市宝塔区师范路</w:t>
            </w:r>
          </w:p>
        </w:tc>
        <w:tc>
          <w:tcPr>
            <w:tcW w:w="946" w:type="dxa"/>
            <w:noWrap w:val="0"/>
            <w:vAlign w:val="center"/>
          </w:tcPr>
          <w:p w14:paraId="469E5BFA">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姬悦</w:t>
            </w:r>
          </w:p>
        </w:tc>
        <w:tc>
          <w:tcPr>
            <w:tcW w:w="1574" w:type="dxa"/>
            <w:noWrap w:val="0"/>
            <w:vAlign w:val="center"/>
          </w:tcPr>
          <w:p w14:paraId="4F38D6EC">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18391156580</w:t>
            </w:r>
          </w:p>
        </w:tc>
      </w:tr>
      <w:tr w14:paraId="197A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45E4D15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3</w:t>
            </w:r>
          </w:p>
        </w:tc>
        <w:tc>
          <w:tcPr>
            <w:tcW w:w="2041" w:type="dxa"/>
            <w:noWrap w:val="0"/>
            <w:vAlign w:val="center"/>
          </w:tcPr>
          <w:p w14:paraId="44AE73CF">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北京银行延安分行</w:t>
            </w:r>
          </w:p>
        </w:tc>
        <w:tc>
          <w:tcPr>
            <w:tcW w:w="3641" w:type="dxa"/>
            <w:noWrap w:val="0"/>
            <w:vAlign w:val="center"/>
          </w:tcPr>
          <w:p w14:paraId="75BF4752">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延安市宝塔区双拥大道</w:t>
            </w:r>
          </w:p>
        </w:tc>
        <w:tc>
          <w:tcPr>
            <w:tcW w:w="946" w:type="dxa"/>
            <w:noWrap w:val="0"/>
            <w:vAlign w:val="center"/>
          </w:tcPr>
          <w:p w14:paraId="0EFD1D1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奥宝森</w:t>
            </w:r>
          </w:p>
        </w:tc>
        <w:tc>
          <w:tcPr>
            <w:tcW w:w="1574" w:type="dxa"/>
            <w:noWrap w:val="0"/>
            <w:vAlign w:val="center"/>
          </w:tcPr>
          <w:p w14:paraId="749EE58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15592925222</w:t>
            </w:r>
          </w:p>
        </w:tc>
      </w:tr>
      <w:tr w14:paraId="6310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2793BEDE">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4</w:t>
            </w:r>
          </w:p>
        </w:tc>
        <w:tc>
          <w:tcPr>
            <w:tcW w:w="2041" w:type="dxa"/>
            <w:noWrap w:val="0"/>
            <w:vAlign w:val="center"/>
          </w:tcPr>
          <w:p w14:paraId="7796AB9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邮储银行延安分行</w:t>
            </w:r>
          </w:p>
        </w:tc>
        <w:tc>
          <w:tcPr>
            <w:tcW w:w="3641" w:type="dxa"/>
            <w:noWrap w:val="0"/>
            <w:vAlign w:val="center"/>
          </w:tcPr>
          <w:p w14:paraId="256D1B1A">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宝塔区枣园路志丹大厦</w:t>
            </w:r>
          </w:p>
        </w:tc>
        <w:tc>
          <w:tcPr>
            <w:tcW w:w="946" w:type="dxa"/>
            <w:noWrap w:val="0"/>
            <w:vAlign w:val="center"/>
          </w:tcPr>
          <w:p w14:paraId="104080EE">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刘凯</w:t>
            </w:r>
          </w:p>
        </w:tc>
        <w:tc>
          <w:tcPr>
            <w:tcW w:w="1574" w:type="dxa"/>
            <w:noWrap w:val="0"/>
            <w:vAlign w:val="center"/>
          </w:tcPr>
          <w:p w14:paraId="10158C0A">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18691114222</w:t>
            </w:r>
          </w:p>
        </w:tc>
      </w:tr>
      <w:tr w14:paraId="41B6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55" w:type="dxa"/>
            <w:noWrap w:val="0"/>
            <w:vAlign w:val="center"/>
          </w:tcPr>
          <w:p w14:paraId="6589D03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5</w:t>
            </w:r>
          </w:p>
        </w:tc>
        <w:tc>
          <w:tcPr>
            <w:tcW w:w="2041" w:type="dxa"/>
            <w:noWrap w:val="0"/>
            <w:vAlign w:val="center"/>
          </w:tcPr>
          <w:p w14:paraId="5A930F35">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光大银行延安分行</w:t>
            </w:r>
          </w:p>
        </w:tc>
        <w:tc>
          <w:tcPr>
            <w:tcW w:w="3641" w:type="dxa"/>
            <w:noWrap w:val="0"/>
            <w:vAlign w:val="center"/>
          </w:tcPr>
          <w:p w14:paraId="1DE8B5CD">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宝塔区卷烟厂东信时代一、二层</w:t>
            </w:r>
          </w:p>
        </w:tc>
        <w:tc>
          <w:tcPr>
            <w:tcW w:w="946" w:type="dxa"/>
            <w:noWrap w:val="0"/>
            <w:vAlign w:val="center"/>
          </w:tcPr>
          <w:p w14:paraId="7167CE5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汪昊田</w:t>
            </w:r>
          </w:p>
        </w:tc>
        <w:tc>
          <w:tcPr>
            <w:tcW w:w="1574" w:type="dxa"/>
            <w:noWrap w:val="0"/>
            <w:vAlign w:val="center"/>
          </w:tcPr>
          <w:p w14:paraId="045179A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13509115500</w:t>
            </w:r>
          </w:p>
        </w:tc>
      </w:tr>
      <w:tr w14:paraId="68B4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7F47693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6</w:t>
            </w:r>
          </w:p>
        </w:tc>
        <w:tc>
          <w:tcPr>
            <w:tcW w:w="2041" w:type="dxa"/>
            <w:noWrap w:val="0"/>
            <w:vAlign w:val="center"/>
          </w:tcPr>
          <w:p w14:paraId="22500B9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交通银行延安分行</w:t>
            </w:r>
          </w:p>
        </w:tc>
        <w:tc>
          <w:tcPr>
            <w:tcW w:w="3641" w:type="dxa"/>
            <w:noWrap w:val="0"/>
            <w:vAlign w:val="center"/>
          </w:tcPr>
          <w:p w14:paraId="009B7E4F">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延安市宝塔区北大街95号</w:t>
            </w:r>
          </w:p>
        </w:tc>
        <w:tc>
          <w:tcPr>
            <w:tcW w:w="946" w:type="dxa"/>
            <w:noWrap w:val="0"/>
            <w:vAlign w:val="center"/>
          </w:tcPr>
          <w:p w14:paraId="6B19FA2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王瑶</w:t>
            </w:r>
          </w:p>
        </w:tc>
        <w:tc>
          <w:tcPr>
            <w:tcW w:w="1574" w:type="dxa"/>
            <w:noWrap w:val="0"/>
            <w:vAlign w:val="center"/>
          </w:tcPr>
          <w:p w14:paraId="2DB76D52">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13389119518</w:t>
            </w:r>
          </w:p>
        </w:tc>
      </w:tr>
      <w:tr w14:paraId="43568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55" w:type="dxa"/>
            <w:noWrap w:val="0"/>
            <w:vAlign w:val="center"/>
          </w:tcPr>
          <w:p w14:paraId="57D69E52">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7</w:t>
            </w:r>
          </w:p>
        </w:tc>
        <w:tc>
          <w:tcPr>
            <w:tcW w:w="2041" w:type="dxa"/>
            <w:noWrap w:val="0"/>
            <w:vAlign w:val="center"/>
          </w:tcPr>
          <w:p w14:paraId="32EE2A9F">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延安农商行</w:t>
            </w:r>
          </w:p>
        </w:tc>
        <w:tc>
          <w:tcPr>
            <w:tcW w:w="3641" w:type="dxa"/>
            <w:noWrap w:val="0"/>
            <w:vAlign w:val="center"/>
          </w:tcPr>
          <w:p w14:paraId="702C268C">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延安市宝塔区百米大道永兴路农商银行大厦</w:t>
            </w:r>
          </w:p>
        </w:tc>
        <w:tc>
          <w:tcPr>
            <w:tcW w:w="946" w:type="dxa"/>
            <w:noWrap w:val="0"/>
            <w:vAlign w:val="center"/>
          </w:tcPr>
          <w:p w14:paraId="7910198C">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段田瑞</w:t>
            </w:r>
          </w:p>
        </w:tc>
        <w:tc>
          <w:tcPr>
            <w:tcW w:w="1574" w:type="dxa"/>
            <w:noWrap w:val="0"/>
            <w:vAlign w:val="center"/>
          </w:tcPr>
          <w:p w14:paraId="18D54AD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18700166012</w:t>
            </w:r>
          </w:p>
        </w:tc>
      </w:tr>
      <w:tr w14:paraId="2243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2BB68282">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8</w:t>
            </w:r>
          </w:p>
        </w:tc>
        <w:tc>
          <w:tcPr>
            <w:tcW w:w="2041" w:type="dxa"/>
            <w:noWrap w:val="0"/>
            <w:vAlign w:val="center"/>
          </w:tcPr>
          <w:p w14:paraId="1594BA72">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甘泉农商行</w:t>
            </w:r>
          </w:p>
        </w:tc>
        <w:tc>
          <w:tcPr>
            <w:tcW w:w="3641" w:type="dxa"/>
            <w:noWrap w:val="0"/>
            <w:vAlign w:val="center"/>
          </w:tcPr>
          <w:p w14:paraId="087FA68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甘泉县中心街019号</w:t>
            </w:r>
          </w:p>
        </w:tc>
        <w:tc>
          <w:tcPr>
            <w:tcW w:w="946" w:type="dxa"/>
            <w:noWrap w:val="0"/>
            <w:vAlign w:val="center"/>
          </w:tcPr>
          <w:p w14:paraId="55B7F8A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白晶晶</w:t>
            </w:r>
          </w:p>
        </w:tc>
        <w:tc>
          <w:tcPr>
            <w:tcW w:w="1574" w:type="dxa"/>
            <w:noWrap w:val="0"/>
            <w:vAlign w:val="center"/>
          </w:tcPr>
          <w:p w14:paraId="7D0959C5">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15129872940</w:t>
            </w:r>
          </w:p>
        </w:tc>
      </w:tr>
      <w:tr w14:paraId="10C4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4B5B39FF">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9</w:t>
            </w:r>
          </w:p>
        </w:tc>
        <w:tc>
          <w:tcPr>
            <w:tcW w:w="2041" w:type="dxa"/>
            <w:noWrap w:val="0"/>
            <w:vAlign w:val="center"/>
          </w:tcPr>
          <w:p w14:paraId="6F78F6C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延长联社</w:t>
            </w:r>
          </w:p>
        </w:tc>
        <w:tc>
          <w:tcPr>
            <w:tcW w:w="3641" w:type="dxa"/>
            <w:noWrap w:val="0"/>
            <w:vAlign w:val="center"/>
          </w:tcPr>
          <w:p w14:paraId="61AEE8AF">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延长县七里村镇街道城区中街</w:t>
            </w:r>
          </w:p>
        </w:tc>
        <w:tc>
          <w:tcPr>
            <w:tcW w:w="946" w:type="dxa"/>
            <w:noWrap w:val="0"/>
            <w:vAlign w:val="center"/>
          </w:tcPr>
          <w:p w14:paraId="7585A17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白永卿</w:t>
            </w:r>
          </w:p>
        </w:tc>
        <w:tc>
          <w:tcPr>
            <w:tcW w:w="1574" w:type="dxa"/>
            <w:noWrap w:val="0"/>
            <w:vAlign w:val="center"/>
          </w:tcPr>
          <w:p w14:paraId="680CCAF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18109119635</w:t>
            </w:r>
          </w:p>
        </w:tc>
      </w:tr>
      <w:tr w14:paraId="7C7F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7C91EFCA">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10</w:t>
            </w:r>
          </w:p>
        </w:tc>
        <w:tc>
          <w:tcPr>
            <w:tcW w:w="2041" w:type="dxa"/>
            <w:noWrap w:val="0"/>
            <w:vAlign w:val="center"/>
          </w:tcPr>
          <w:p w14:paraId="71F6A2C9">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延川联社</w:t>
            </w:r>
          </w:p>
        </w:tc>
        <w:tc>
          <w:tcPr>
            <w:tcW w:w="3641" w:type="dxa"/>
            <w:noWrap w:val="0"/>
            <w:vAlign w:val="center"/>
          </w:tcPr>
          <w:p w14:paraId="2DD9AF8E">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延川县大禹街道北关信用合作联社</w:t>
            </w:r>
          </w:p>
        </w:tc>
        <w:tc>
          <w:tcPr>
            <w:tcW w:w="946" w:type="dxa"/>
            <w:noWrap w:val="0"/>
            <w:vAlign w:val="center"/>
          </w:tcPr>
          <w:p w14:paraId="06EB9D7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张沛兴</w:t>
            </w:r>
          </w:p>
        </w:tc>
        <w:tc>
          <w:tcPr>
            <w:tcW w:w="1574" w:type="dxa"/>
            <w:noWrap w:val="0"/>
            <w:vAlign w:val="center"/>
          </w:tcPr>
          <w:p w14:paraId="2F6229CC">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15129756920</w:t>
            </w:r>
          </w:p>
        </w:tc>
      </w:tr>
      <w:tr w14:paraId="60F0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5217428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11</w:t>
            </w:r>
          </w:p>
        </w:tc>
        <w:tc>
          <w:tcPr>
            <w:tcW w:w="2041" w:type="dxa"/>
            <w:noWrap w:val="0"/>
            <w:vAlign w:val="center"/>
          </w:tcPr>
          <w:p w14:paraId="37BE361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子长农商行</w:t>
            </w:r>
          </w:p>
        </w:tc>
        <w:tc>
          <w:tcPr>
            <w:tcW w:w="3641" w:type="dxa"/>
            <w:noWrap w:val="0"/>
            <w:vAlign w:val="center"/>
          </w:tcPr>
          <w:p w14:paraId="637B465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子长市长兴街</w:t>
            </w:r>
          </w:p>
        </w:tc>
        <w:tc>
          <w:tcPr>
            <w:tcW w:w="946" w:type="dxa"/>
            <w:noWrap w:val="0"/>
            <w:vAlign w:val="center"/>
          </w:tcPr>
          <w:p w14:paraId="599F317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王莉</w:t>
            </w:r>
          </w:p>
        </w:tc>
        <w:tc>
          <w:tcPr>
            <w:tcW w:w="1574" w:type="dxa"/>
            <w:noWrap w:val="0"/>
            <w:vAlign w:val="center"/>
          </w:tcPr>
          <w:p w14:paraId="389C06D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13992153010</w:t>
            </w:r>
          </w:p>
        </w:tc>
      </w:tr>
      <w:tr w14:paraId="1096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55" w:type="dxa"/>
            <w:noWrap w:val="0"/>
            <w:vAlign w:val="center"/>
          </w:tcPr>
          <w:p w14:paraId="500EEF2D">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12</w:t>
            </w:r>
          </w:p>
        </w:tc>
        <w:tc>
          <w:tcPr>
            <w:tcW w:w="2041" w:type="dxa"/>
            <w:noWrap w:val="0"/>
            <w:vAlign w:val="center"/>
          </w:tcPr>
          <w:p w14:paraId="778EF525">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安塞农商行</w:t>
            </w:r>
          </w:p>
        </w:tc>
        <w:tc>
          <w:tcPr>
            <w:tcW w:w="3641" w:type="dxa"/>
            <w:noWrap w:val="0"/>
            <w:vAlign w:val="center"/>
          </w:tcPr>
          <w:p w14:paraId="6C87C18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延安市安塞区富民街22号</w:t>
            </w:r>
          </w:p>
        </w:tc>
        <w:tc>
          <w:tcPr>
            <w:tcW w:w="946" w:type="dxa"/>
            <w:noWrap w:val="0"/>
            <w:vAlign w:val="center"/>
          </w:tcPr>
          <w:p w14:paraId="734F476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王平</w:t>
            </w:r>
          </w:p>
        </w:tc>
        <w:tc>
          <w:tcPr>
            <w:tcW w:w="1574" w:type="dxa"/>
            <w:noWrap w:val="0"/>
            <w:vAlign w:val="center"/>
          </w:tcPr>
          <w:p w14:paraId="30CF6C5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15991569027</w:t>
            </w:r>
          </w:p>
        </w:tc>
      </w:tr>
      <w:tr w14:paraId="09DA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3F008E45">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13</w:t>
            </w:r>
          </w:p>
        </w:tc>
        <w:tc>
          <w:tcPr>
            <w:tcW w:w="2041" w:type="dxa"/>
            <w:noWrap w:val="0"/>
            <w:vAlign w:val="center"/>
          </w:tcPr>
          <w:p w14:paraId="78F5622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志丹联社</w:t>
            </w:r>
          </w:p>
        </w:tc>
        <w:tc>
          <w:tcPr>
            <w:tcW w:w="3641" w:type="dxa"/>
            <w:noWrap w:val="0"/>
            <w:vAlign w:val="center"/>
          </w:tcPr>
          <w:p w14:paraId="27A82337">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延安市志丹县保安街134号信合大厦</w:t>
            </w:r>
          </w:p>
        </w:tc>
        <w:tc>
          <w:tcPr>
            <w:tcW w:w="946" w:type="dxa"/>
            <w:noWrap w:val="0"/>
            <w:vAlign w:val="center"/>
          </w:tcPr>
          <w:p w14:paraId="4A08481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李倩</w:t>
            </w:r>
          </w:p>
        </w:tc>
        <w:tc>
          <w:tcPr>
            <w:tcW w:w="1574" w:type="dxa"/>
            <w:noWrap w:val="0"/>
            <w:vAlign w:val="center"/>
          </w:tcPr>
          <w:p w14:paraId="2D7B9E42">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18792408171</w:t>
            </w:r>
          </w:p>
        </w:tc>
      </w:tr>
      <w:tr w14:paraId="4E32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14B2309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14</w:t>
            </w:r>
          </w:p>
        </w:tc>
        <w:tc>
          <w:tcPr>
            <w:tcW w:w="2041" w:type="dxa"/>
            <w:noWrap w:val="0"/>
            <w:vAlign w:val="center"/>
          </w:tcPr>
          <w:p w14:paraId="15DC3C76">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吴起农合行</w:t>
            </w:r>
          </w:p>
        </w:tc>
        <w:tc>
          <w:tcPr>
            <w:tcW w:w="3641" w:type="dxa"/>
            <w:noWrap w:val="0"/>
            <w:vAlign w:val="center"/>
          </w:tcPr>
          <w:p w14:paraId="0C295E15">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陕西省延安市吴起县北苑东路26号</w:t>
            </w:r>
          </w:p>
        </w:tc>
        <w:tc>
          <w:tcPr>
            <w:tcW w:w="946" w:type="dxa"/>
            <w:noWrap w:val="0"/>
            <w:vAlign w:val="center"/>
          </w:tcPr>
          <w:p w14:paraId="003F9A6E">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李娜玲</w:t>
            </w:r>
          </w:p>
        </w:tc>
        <w:tc>
          <w:tcPr>
            <w:tcW w:w="1574" w:type="dxa"/>
            <w:noWrap w:val="0"/>
            <w:vAlign w:val="center"/>
          </w:tcPr>
          <w:p w14:paraId="042421C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15591103321</w:t>
            </w:r>
          </w:p>
        </w:tc>
      </w:tr>
      <w:tr w14:paraId="0355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622E74EF">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w:t>
            </w:r>
          </w:p>
        </w:tc>
        <w:tc>
          <w:tcPr>
            <w:tcW w:w="2041" w:type="dxa"/>
            <w:noWrap w:val="0"/>
            <w:vAlign w:val="center"/>
          </w:tcPr>
          <w:p w14:paraId="0E08B93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洛川农商行</w:t>
            </w:r>
          </w:p>
        </w:tc>
        <w:tc>
          <w:tcPr>
            <w:tcW w:w="3641" w:type="dxa"/>
            <w:noWrap w:val="0"/>
            <w:vAlign w:val="center"/>
          </w:tcPr>
          <w:p w14:paraId="20060B67">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陕西省延安市洛川县中心街</w:t>
            </w:r>
          </w:p>
        </w:tc>
        <w:tc>
          <w:tcPr>
            <w:tcW w:w="946" w:type="dxa"/>
            <w:noWrap w:val="0"/>
            <w:vAlign w:val="center"/>
          </w:tcPr>
          <w:p w14:paraId="3FA93CBC">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史云云</w:t>
            </w:r>
          </w:p>
        </w:tc>
        <w:tc>
          <w:tcPr>
            <w:tcW w:w="1574" w:type="dxa"/>
            <w:noWrap w:val="0"/>
            <w:vAlign w:val="center"/>
          </w:tcPr>
          <w:p w14:paraId="33C33B4E">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15291172848</w:t>
            </w:r>
          </w:p>
        </w:tc>
      </w:tr>
      <w:tr w14:paraId="3E21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6C8D7BEF">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16</w:t>
            </w:r>
          </w:p>
        </w:tc>
        <w:tc>
          <w:tcPr>
            <w:tcW w:w="2041" w:type="dxa"/>
            <w:noWrap w:val="0"/>
            <w:vAlign w:val="center"/>
          </w:tcPr>
          <w:p w14:paraId="714CAEBD">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富县农合行</w:t>
            </w:r>
          </w:p>
        </w:tc>
        <w:tc>
          <w:tcPr>
            <w:tcW w:w="3641" w:type="dxa"/>
            <w:noWrap w:val="0"/>
            <w:vAlign w:val="center"/>
          </w:tcPr>
          <w:p w14:paraId="1F5DF47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富县富城镇正街8号</w:t>
            </w:r>
          </w:p>
        </w:tc>
        <w:tc>
          <w:tcPr>
            <w:tcW w:w="946" w:type="dxa"/>
            <w:noWrap w:val="0"/>
            <w:vAlign w:val="center"/>
          </w:tcPr>
          <w:p w14:paraId="46A51565">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逯其玲</w:t>
            </w:r>
          </w:p>
        </w:tc>
        <w:tc>
          <w:tcPr>
            <w:tcW w:w="1574" w:type="dxa"/>
            <w:noWrap w:val="0"/>
            <w:vAlign w:val="center"/>
          </w:tcPr>
          <w:p w14:paraId="78B154B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18091126065</w:t>
            </w:r>
          </w:p>
        </w:tc>
      </w:tr>
      <w:tr w14:paraId="6D1F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4E62496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17</w:t>
            </w:r>
          </w:p>
        </w:tc>
        <w:tc>
          <w:tcPr>
            <w:tcW w:w="2041" w:type="dxa"/>
            <w:noWrap w:val="0"/>
            <w:vAlign w:val="center"/>
          </w:tcPr>
          <w:p w14:paraId="0D4B8DDF">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黄陵联社</w:t>
            </w:r>
          </w:p>
        </w:tc>
        <w:tc>
          <w:tcPr>
            <w:tcW w:w="3641" w:type="dxa"/>
            <w:noWrap w:val="0"/>
            <w:vAlign w:val="center"/>
          </w:tcPr>
          <w:p w14:paraId="40914D5E">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黄陵县桥山大厦</w:t>
            </w:r>
          </w:p>
        </w:tc>
        <w:tc>
          <w:tcPr>
            <w:tcW w:w="946" w:type="dxa"/>
            <w:noWrap w:val="0"/>
            <w:vAlign w:val="center"/>
          </w:tcPr>
          <w:p w14:paraId="3346473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曹涛</w:t>
            </w:r>
          </w:p>
        </w:tc>
        <w:tc>
          <w:tcPr>
            <w:tcW w:w="1574" w:type="dxa"/>
            <w:noWrap w:val="0"/>
            <w:vAlign w:val="center"/>
          </w:tcPr>
          <w:p w14:paraId="3D6316E3">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13772255164</w:t>
            </w:r>
          </w:p>
        </w:tc>
      </w:tr>
      <w:tr w14:paraId="2B2B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55" w:type="dxa"/>
            <w:noWrap w:val="0"/>
            <w:vAlign w:val="center"/>
          </w:tcPr>
          <w:p w14:paraId="09ECF86D">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18</w:t>
            </w:r>
          </w:p>
        </w:tc>
        <w:tc>
          <w:tcPr>
            <w:tcW w:w="2041" w:type="dxa"/>
            <w:noWrap w:val="0"/>
            <w:vAlign w:val="center"/>
          </w:tcPr>
          <w:p w14:paraId="1638564E">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宜川联社</w:t>
            </w:r>
          </w:p>
        </w:tc>
        <w:tc>
          <w:tcPr>
            <w:tcW w:w="3641" w:type="dxa"/>
            <w:noWrap w:val="0"/>
            <w:vAlign w:val="center"/>
          </w:tcPr>
          <w:p w14:paraId="4EF6EB2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宜川县党湾街65号</w:t>
            </w:r>
          </w:p>
        </w:tc>
        <w:tc>
          <w:tcPr>
            <w:tcW w:w="946" w:type="dxa"/>
            <w:noWrap w:val="0"/>
            <w:vAlign w:val="center"/>
          </w:tcPr>
          <w:p w14:paraId="2DF9FE1A">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毛永良</w:t>
            </w:r>
          </w:p>
        </w:tc>
        <w:tc>
          <w:tcPr>
            <w:tcW w:w="1574" w:type="dxa"/>
            <w:noWrap w:val="0"/>
            <w:vAlign w:val="center"/>
          </w:tcPr>
          <w:p w14:paraId="76E84552">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15009118628</w:t>
            </w:r>
          </w:p>
        </w:tc>
      </w:tr>
      <w:tr w14:paraId="4F70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55" w:type="dxa"/>
            <w:noWrap w:val="0"/>
            <w:vAlign w:val="center"/>
          </w:tcPr>
          <w:p w14:paraId="0BC05D69">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19</w:t>
            </w:r>
          </w:p>
        </w:tc>
        <w:tc>
          <w:tcPr>
            <w:tcW w:w="2041" w:type="dxa"/>
            <w:noWrap w:val="0"/>
            <w:vAlign w:val="center"/>
          </w:tcPr>
          <w:p w14:paraId="6B7B92D1">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黄龙联社</w:t>
            </w:r>
          </w:p>
        </w:tc>
        <w:tc>
          <w:tcPr>
            <w:tcW w:w="3641" w:type="dxa"/>
            <w:noWrap w:val="0"/>
            <w:vAlign w:val="center"/>
          </w:tcPr>
          <w:p w14:paraId="51A97054">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黄龙县石堡镇广场大街40号</w:t>
            </w:r>
          </w:p>
        </w:tc>
        <w:tc>
          <w:tcPr>
            <w:tcW w:w="946" w:type="dxa"/>
            <w:noWrap w:val="0"/>
            <w:vAlign w:val="center"/>
          </w:tcPr>
          <w:p w14:paraId="0F527E0B">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郑国强</w:t>
            </w:r>
          </w:p>
        </w:tc>
        <w:tc>
          <w:tcPr>
            <w:tcW w:w="1574" w:type="dxa"/>
            <w:noWrap w:val="0"/>
            <w:vAlign w:val="center"/>
          </w:tcPr>
          <w:p w14:paraId="4FB52248">
            <w:pPr>
              <w:keepNext w:val="0"/>
              <w:keepLines w:val="0"/>
              <w:pageBreakBefore w:val="0"/>
              <w:widowControl/>
              <w:kinsoku/>
              <w:wordWrap/>
              <w:overflowPunct/>
              <w:topLinePunct w:val="0"/>
              <w:bidi w:val="0"/>
              <w:adjustRightInd w:val="0"/>
              <w:snapToGrid w:val="0"/>
              <w:spacing w:line="460" w:lineRule="exact"/>
              <w:ind w:left="0" w:leftChars="0"/>
              <w:jc w:val="center"/>
              <w:textAlignment w:val="center"/>
              <w:rPr>
                <w:rFonts w:hint="eastAsia"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15991595662</w:t>
            </w:r>
          </w:p>
        </w:tc>
      </w:tr>
    </w:tbl>
    <w:p w14:paraId="2FB6AE0D">
      <w:pPr>
        <w:rPr>
          <w:rFonts w:hint="eastAsia" w:ascii="仿宋" w:hAnsi="仿宋" w:eastAsia="仿宋" w:cs="仿宋"/>
          <w:color w:val="auto"/>
          <w:szCs w:val="21"/>
          <w:highlight w:val="none"/>
        </w:rPr>
      </w:pPr>
    </w:p>
    <w:p w14:paraId="7A90A1A6">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bookmarkEnd w:id="445"/>
    <w:bookmarkEnd w:id="446"/>
    <w:p w14:paraId="33772C73">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bookmarkStart w:id="447" w:name="_Toc17469"/>
      <w:bookmarkStart w:id="448" w:name="_Toc58504447"/>
      <w:bookmarkStart w:id="449" w:name="_Toc18017"/>
      <w:r>
        <w:rPr>
          <w:rFonts w:hint="eastAsia" w:ascii="仿宋" w:hAnsi="仿宋" w:eastAsia="仿宋" w:cs="仿宋"/>
          <w:b/>
          <w:color w:val="auto"/>
          <w:kern w:val="0"/>
          <w:sz w:val="32"/>
          <w:szCs w:val="32"/>
          <w:highlight w:val="none"/>
        </w:rPr>
        <w:t xml:space="preserve">第三章  </w:t>
      </w:r>
      <w:bookmarkEnd w:id="18"/>
      <w:bookmarkEnd w:id="447"/>
      <w:bookmarkEnd w:id="448"/>
      <w:bookmarkStart w:id="450" w:name="_Toc503063458"/>
      <w:bookmarkStart w:id="451" w:name="_Toc230583552"/>
      <w:bookmarkStart w:id="452" w:name="_Toc499711928"/>
      <w:bookmarkStart w:id="453" w:name="_Toc500747010"/>
      <w:bookmarkStart w:id="454" w:name="_Toc177189245"/>
      <w:bookmarkStart w:id="455" w:name="_Toc492955459"/>
      <w:bookmarkStart w:id="456" w:name="_Toc500747106"/>
      <w:bookmarkStart w:id="457" w:name="_Toc70687202"/>
      <w:bookmarkStart w:id="458" w:name="_Toc496324623"/>
      <w:bookmarkStart w:id="459" w:name="_Toc177995483"/>
      <w:bookmarkStart w:id="460" w:name="_Toc177817344"/>
      <w:bookmarkStart w:id="461" w:name="_Toc249515482"/>
      <w:bookmarkStart w:id="462" w:name="_Toc53722865"/>
      <w:bookmarkStart w:id="463" w:name="_Toc415499897"/>
      <w:bookmarkStart w:id="464" w:name="_Toc499711087"/>
      <w:bookmarkStart w:id="465" w:name="_Toc230013638"/>
      <w:bookmarkStart w:id="466" w:name="_Toc176882552"/>
      <w:bookmarkStart w:id="467" w:name="_Toc249525250"/>
      <w:bookmarkStart w:id="468" w:name="_Toc256342152"/>
      <w:bookmarkStart w:id="469" w:name="_Toc249515369"/>
      <w:bookmarkStart w:id="470" w:name="_Toc232176282"/>
      <w:bookmarkStart w:id="471" w:name="_Toc500747233"/>
      <w:bookmarkStart w:id="472" w:name="_Toc184043058"/>
      <w:bookmarkStart w:id="473" w:name="_Toc232395222"/>
      <w:bookmarkStart w:id="474" w:name="_Toc230099803"/>
      <w:bookmarkStart w:id="475" w:name="_Toc28450"/>
      <w:r>
        <w:rPr>
          <w:rFonts w:hint="eastAsia" w:ascii="仿宋" w:hAnsi="仿宋" w:eastAsia="仿宋" w:cs="仿宋"/>
          <w:b/>
          <w:color w:val="auto"/>
          <w:kern w:val="0"/>
          <w:sz w:val="32"/>
          <w:szCs w:val="32"/>
          <w:highlight w:val="none"/>
        </w:rPr>
        <w:t>拟签订的合同文本</w:t>
      </w:r>
      <w:bookmarkEnd w:id="449"/>
    </w:p>
    <w:p w14:paraId="0BB4C96B">
      <w:pPr>
        <w:tabs>
          <w:tab w:val="left" w:pos="735"/>
        </w:tabs>
        <w:autoSpaceDE w:val="0"/>
        <w:autoSpaceDN w:val="0"/>
        <w:adjustRightInd w:val="0"/>
        <w:snapToGrid w:val="0"/>
        <w:spacing w:before="240" w:beforeLines="100" w:line="360" w:lineRule="auto"/>
        <w:rPr>
          <w:rFonts w:hint="eastAsia" w:ascii="仿宋" w:hAnsi="仿宋" w:eastAsia="仿宋" w:cs="仿宋"/>
          <w:b/>
          <w:bCs/>
          <w:color w:val="auto"/>
          <w:sz w:val="24"/>
          <w:highlight w:val="none"/>
          <w:lang w:val="zh-CN"/>
        </w:rPr>
      </w:pPr>
    </w:p>
    <w:p w14:paraId="0A1B52EB">
      <w:pPr>
        <w:tabs>
          <w:tab w:val="left" w:pos="735"/>
        </w:tabs>
        <w:autoSpaceDE w:val="0"/>
        <w:autoSpaceDN w:val="0"/>
        <w:adjustRightInd w:val="0"/>
        <w:snapToGrid w:val="0"/>
        <w:spacing w:before="240" w:beforeLines="100" w:line="360" w:lineRule="auto"/>
        <w:rPr>
          <w:rFonts w:hint="eastAsia" w:ascii="仿宋" w:hAnsi="仿宋" w:eastAsia="仿宋" w:cs="仿宋"/>
          <w:b/>
          <w:bCs/>
          <w:color w:val="auto"/>
          <w:sz w:val="24"/>
          <w:highlight w:val="none"/>
          <w:lang w:val="zh-CN"/>
        </w:rPr>
      </w:pPr>
      <w:r>
        <w:rPr>
          <w:rFonts w:hint="eastAsia" w:ascii="仿宋" w:hAnsi="仿宋" w:eastAsia="仿宋" w:cs="仿宋"/>
          <w:b/>
          <w:bCs/>
          <w:color w:val="auto"/>
          <w:sz w:val="24"/>
          <w:highlight w:val="none"/>
          <w:lang w:val="zh-CN"/>
        </w:rPr>
        <w:t>甲方：</w:t>
      </w:r>
      <w:r>
        <w:rPr>
          <w:rFonts w:hint="eastAsia" w:ascii="仿宋" w:hAnsi="仿宋" w:eastAsia="仿宋" w:cs="仿宋"/>
          <w:bCs/>
          <w:color w:val="auto"/>
          <w:sz w:val="24"/>
          <w:highlight w:val="none"/>
          <w:lang w:val="zh-CN"/>
        </w:rPr>
        <w:t xml:space="preserve">（前款所称采购人）     </w:t>
      </w:r>
      <w:r>
        <w:rPr>
          <w:rFonts w:hint="eastAsia" w:ascii="仿宋" w:hAnsi="仿宋" w:eastAsia="仿宋" w:cs="仿宋"/>
          <w:bCs/>
          <w:color w:val="auto"/>
          <w:sz w:val="24"/>
          <w:highlight w:val="none"/>
        </w:rPr>
        <w:t xml:space="preserve">    </w:t>
      </w:r>
      <w:r>
        <w:rPr>
          <w:rFonts w:hint="eastAsia" w:ascii="仿宋" w:hAnsi="仿宋" w:eastAsia="仿宋" w:cs="仿宋"/>
          <w:bCs/>
          <w:color w:val="auto"/>
          <w:sz w:val="24"/>
          <w:highlight w:val="none"/>
          <w:lang w:val="zh-CN"/>
        </w:rPr>
        <w:t>住所：</w:t>
      </w:r>
    </w:p>
    <w:p w14:paraId="6ED6695E">
      <w:pPr>
        <w:tabs>
          <w:tab w:val="left" w:pos="735"/>
        </w:tabs>
        <w:autoSpaceDE w:val="0"/>
        <w:autoSpaceDN w:val="0"/>
        <w:adjustRightInd w:val="0"/>
        <w:snapToGrid w:val="0"/>
        <w:spacing w:line="360" w:lineRule="auto"/>
        <w:rPr>
          <w:rFonts w:hint="eastAsia" w:ascii="仿宋" w:hAnsi="仿宋" w:eastAsia="仿宋" w:cs="仿宋"/>
          <w:bCs/>
          <w:color w:val="auto"/>
          <w:sz w:val="24"/>
          <w:highlight w:val="none"/>
          <w:lang w:val="zh-CN"/>
        </w:rPr>
      </w:pPr>
      <w:r>
        <w:rPr>
          <w:rFonts w:hint="eastAsia" w:ascii="仿宋" w:hAnsi="仿宋" w:eastAsia="仿宋" w:cs="仿宋"/>
          <w:b/>
          <w:bCs/>
          <w:color w:val="auto"/>
          <w:sz w:val="24"/>
          <w:highlight w:val="none"/>
          <w:lang w:val="zh-CN"/>
        </w:rPr>
        <w:t>乙方：</w:t>
      </w:r>
      <w:r>
        <w:rPr>
          <w:rFonts w:hint="eastAsia" w:ascii="仿宋" w:hAnsi="仿宋" w:eastAsia="仿宋" w:cs="仿宋"/>
          <w:bCs/>
          <w:color w:val="auto"/>
          <w:sz w:val="24"/>
          <w:highlight w:val="none"/>
          <w:lang w:val="zh-CN"/>
        </w:rPr>
        <w:t>（前款所称</w:t>
      </w:r>
      <w:r>
        <w:rPr>
          <w:rFonts w:hint="eastAsia" w:ascii="仿宋" w:hAnsi="仿宋" w:eastAsia="仿宋" w:cs="仿宋"/>
          <w:bCs/>
          <w:color w:val="auto"/>
          <w:sz w:val="24"/>
          <w:highlight w:val="none"/>
        </w:rPr>
        <w:t>成交供应商</w:t>
      </w:r>
      <w:r>
        <w:rPr>
          <w:rFonts w:hint="eastAsia" w:ascii="仿宋" w:hAnsi="仿宋" w:eastAsia="仿宋" w:cs="仿宋"/>
          <w:bCs/>
          <w:color w:val="auto"/>
          <w:sz w:val="24"/>
          <w:highlight w:val="none"/>
          <w:lang w:val="zh-CN"/>
        </w:rPr>
        <w:t>）     住所：</w:t>
      </w:r>
    </w:p>
    <w:p w14:paraId="048764CB">
      <w:pPr>
        <w:adjustRightInd w:val="0"/>
        <w:snapToGrid w:val="0"/>
        <w:spacing w:line="360" w:lineRule="auto"/>
        <w:ind w:firstLine="480" w:firstLineChars="200"/>
        <w:rPr>
          <w:rFonts w:hint="eastAsia" w:ascii="仿宋" w:hAnsi="仿宋" w:eastAsia="仿宋" w:cs="仿宋"/>
          <w:color w:val="auto"/>
          <w:sz w:val="24"/>
          <w:highlight w:val="none"/>
        </w:rPr>
      </w:pPr>
      <w:bookmarkStart w:id="476" w:name="_Toc19515384"/>
      <w:r>
        <w:rPr>
          <w:rFonts w:hint="eastAsia" w:ascii="仿宋" w:hAnsi="仿宋" w:eastAsia="仿宋" w:cs="仿宋"/>
          <w:color w:val="auto"/>
          <w:sz w:val="24"/>
          <w:highlight w:val="none"/>
        </w:rPr>
        <w:t>一、合同内容（标的、数量、质量等）</w:t>
      </w:r>
      <w:bookmarkEnd w:id="476"/>
      <w:r>
        <w:rPr>
          <w:rFonts w:hint="eastAsia" w:ascii="仿宋" w:hAnsi="仿宋" w:eastAsia="仿宋" w:cs="仿宋"/>
          <w:color w:val="auto"/>
          <w:sz w:val="24"/>
          <w:highlight w:val="none"/>
        </w:rPr>
        <w:t>：</w:t>
      </w:r>
    </w:p>
    <w:p w14:paraId="4C78CD5F">
      <w:pPr>
        <w:adjustRightInd w:val="0"/>
        <w:snapToGrid w:val="0"/>
        <w:spacing w:line="360" w:lineRule="auto"/>
        <w:ind w:firstLine="480" w:firstLineChars="200"/>
        <w:rPr>
          <w:rFonts w:hint="eastAsia" w:ascii="仿宋" w:hAnsi="仿宋" w:eastAsia="仿宋" w:cs="仿宋"/>
          <w:color w:val="auto"/>
          <w:sz w:val="24"/>
          <w:highlight w:val="none"/>
        </w:rPr>
      </w:pPr>
      <w:bookmarkStart w:id="477" w:name="_Toc19515385"/>
      <w:r>
        <w:rPr>
          <w:rFonts w:hint="eastAsia" w:ascii="仿宋" w:hAnsi="仿宋" w:eastAsia="仿宋" w:cs="仿宋"/>
          <w:color w:val="auto"/>
          <w:sz w:val="24"/>
          <w:highlight w:val="none"/>
        </w:rPr>
        <w:t>二、合同价款</w:t>
      </w:r>
      <w:bookmarkEnd w:id="477"/>
    </w:p>
    <w:p w14:paraId="6BBADC2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1、合同总价：</w:t>
      </w:r>
    </w:p>
    <w:p w14:paraId="7DF00DD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2、合同总价包括：</w:t>
      </w:r>
    </w:p>
    <w:p w14:paraId="1CBEF30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3、合同为固定总价合同，不受市场价变化的影响。</w:t>
      </w:r>
    </w:p>
    <w:p w14:paraId="13456336">
      <w:pPr>
        <w:adjustRightInd w:val="0"/>
        <w:snapToGrid w:val="0"/>
        <w:spacing w:line="360" w:lineRule="auto"/>
        <w:ind w:firstLine="480" w:firstLineChars="200"/>
        <w:rPr>
          <w:rFonts w:hint="eastAsia" w:ascii="仿宋" w:hAnsi="仿宋" w:eastAsia="仿宋" w:cs="仿宋"/>
          <w:color w:val="auto"/>
          <w:sz w:val="24"/>
          <w:highlight w:val="none"/>
        </w:rPr>
      </w:pPr>
      <w:bookmarkStart w:id="478" w:name="_Toc19515386"/>
      <w:r>
        <w:rPr>
          <w:rFonts w:hint="eastAsia" w:ascii="仿宋" w:hAnsi="仿宋" w:eastAsia="仿宋" w:cs="仿宋"/>
          <w:color w:val="auto"/>
          <w:sz w:val="24"/>
          <w:highlight w:val="none"/>
        </w:rPr>
        <w:t>三、合同结算</w:t>
      </w:r>
      <w:bookmarkEnd w:id="478"/>
    </w:p>
    <w:p w14:paraId="46B1B503">
      <w:pP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1、付款比例：</w:t>
      </w:r>
      <w:r>
        <w:rPr>
          <w:rFonts w:hint="eastAsia" w:ascii="仿宋" w:hAnsi="仿宋" w:eastAsia="仿宋" w:cs="仿宋"/>
          <w:color w:val="auto"/>
          <w:sz w:val="24"/>
          <w:highlight w:val="none"/>
          <w:lang w:val="en-US" w:eastAsia="zh-CN"/>
        </w:rPr>
        <w:t>合同签订后支付合同金额的40%，安装调试验收合格后支付合同金额的60%。</w:t>
      </w:r>
    </w:p>
    <w:p w14:paraId="4942F9E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2、结算方式：银行转账。</w:t>
      </w:r>
    </w:p>
    <w:p w14:paraId="421A89F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3、结算单位：由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负责结算，每次付款前，乙方开具合同总价数的等额发票交采购人。</w:t>
      </w:r>
    </w:p>
    <w:p w14:paraId="7D515C82">
      <w:pPr>
        <w:adjustRightInd w:val="0"/>
        <w:snapToGrid w:val="0"/>
        <w:spacing w:line="360" w:lineRule="auto"/>
        <w:ind w:firstLine="480" w:firstLineChars="200"/>
        <w:rPr>
          <w:rFonts w:hint="eastAsia" w:ascii="仿宋" w:hAnsi="仿宋" w:eastAsia="仿宋" w:cs="仿宋"/>
          <w:color w:val="auto"/>
          <w:sz w:val="24"/>
          <w:highlight w:val="none"/>
        </w:rPr>
      </w:pPr>
      <w:bookmarkStart w:id="479" w:name="_Toc19515387"/>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en-US" w:eastAsia="zh-CN"/>
        </w:rPr>
        <w:t>履行期限</w:t>
      </w:r>
      <w:r>
        <w:rPr>
          <w:rFonts w:hint="eastAsia" w:ascii="仿宋" w:hAnsi="仿宋" w:eastAsia="仿宋" w:cs="仿宋"/>
          <w:color w:val="auto"/>
          <w:sz w:val="24"/>
          <w:highlight w:val="none"/>
        </w:rPr>
        <w:t>、地点及方式</w:t>
      </w:r>
      <w:bookmarkEnd w:id="479"/>
      <w:r>
        <w:rPr>
          <w:rFonts w:hint="eastAsia" w:ascii="仿宋" w:hAnsi="仿宋" w:eastAsia="仿宋" w:cs="仿宋"/>
          <w:color w:val="auto"/>
          <w:sz w:val="24"/>
          <w:highlight w:val="none"/>
        </w:rPr>
        <w:t>：</w:t>
      </w:r>
    </w:p>
    <w:p w14:paraId="345C7C1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交货期</w:t>
      </w:r>
      <w:r>
        <w:rPr>
          <w:rFonts w:hint="eastAsia" w:ascii="仿宋" w:hAnsi="仿宋" w:eastAsia="仿宋" w:cs="仿宋"/>
          <w:color w:val="auto"/>
          <w:sz w:val="24"/>
          <w:highlight w:val="none"/>
        </w:rPr>
        <w:t>：自合同签订之日起</w:t>
      </w:r>
      <w:r>
        <w:rPr>
          <w:rFonts w:hint="eastAsia" w:ascii="仿宋" w:hAnsi="仿宋" w:eastAsia="仿宋" w:cs="仿宋"/>
          <w:color w:val="auto"/>
          <w:sz w:val="24"/>
          <w:highlight w:val="none"/>
          <w:lang w:val="en-US" w:eastAsia="zh-CN"/>
        </w:rPr>
        <w:t>7天内</w:t>
      </w:r>
      <w:r>
        <w:rPr>
          <w:rFonts w:hint="eastAsia" w:ascii="仿宋" w:hAnsi="仿宋" w:eastAsia="仿宋" w:cs="仿宋"/>
          <w:color w:val="auto"/>
          <w:sz w:val="24"/>
          <w:highlight w:val="none"/>
        </w:rPr>
        <w:t>。</w:t>
      </w:r>
    </w:p>
    <w:p w14:paraId="5A5C69AF">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交货</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lang w:val="en-US" w:eastAsia="zh-CN"/>
        </w:rPr>
        <w:t>采购人指定地点</w:t>
      </w:r>
    </w:p>
    <w:p w14:paraId="069D1773">
      <w:pPr>
        <w:adjustRightInd w:val="0"/>
        <w:snapToGrid w:val="0"/>
        <w:spacing w:line="360" w:lineRule="auto"/>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3、质保期：1年</w:t>
      </w:r>
    </w:p>
    <w:p w14:paraId="18FC16F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、方式：</w:t>
      </w:r>
    </w:p>
    <w:p w14:paraId="21E69C0E">
      <w:pPr>
        <w:adjustRightInd w:val="0"/>
        <w:snapToGrid w:val="0"/>
        <w:spacing w:line="360" w:lineRule="auto"/>
        <w:ind w:firstLine="480" w:firstLineChars="200"/>
        <w:rPr>
          <w:rFonts w:hint="eastAsia" w:ascii="仿宋" w:hAnsi="仿宋" w:eastAsia="仿宋" w:cs="仿宋"/>
          <w:color w:val="auto"/>
          <w:sz w:val="24"/>
          <w:highlight w:val="none"/>
        </w:rPr>
      </w:pPr>
      <w:bookmarkStart w:id="480" w:name="_Toc19515390"/>
      <w:r>
        <w:rPr>
          <w:rFonts w:hint="eastAsia" w:ascii="仿宋" w:hAnsi="仿宋" w:eastAsia="仿宋" w:cs="仿宋"/>
          <w:color w:val="auto"/>
          <w:sz w:val="24"/>
          <w:highlight w:val="none"/>
        </w:rPr>
        <w:t>五、技术服务</w:t>
      </w:r>
      <w:bookmarkEnd w:id="480"/>
    </w:p>
    <w:p w14:paraId="4B9AD29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对技术服务的要求：满足</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文件要求</w:t>
      </w:r>
    </w:p>
    <w:p w14:paraId="3CCDF17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六、双方的权利和义务</w:t>
      </w:r>
    </w:p>
    <w:p w14:paraId="221A4EAD">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（一）甲方的权利和义务</w:t>
      </w:r>
    </w:p>
    <w:p w14:paraId="02847C5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1、明确所需服务要求；</w:t>
      </w:r>
    </w:p>
    <w:p w14:paraId="67DD4E8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2、对乙方所供服务进行验收；</w:t>
      </w:r>
    </w:p>
    <w:p w14:paraId="12AC547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3、按约支付价款。</w:t>
      </w:r>
    </w:p>
    <w:p w14:paraId="6889DEA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（二）乙方的权利和义务</w:t>
      </w:r>
    </w:p>
    <w:p w14:paraId="43ECEA2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1、保证所供服务符合甲方要求；</w:t>
      </w:r>
    </w:p>
    <w:p w14:paraId="7B612D1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2、按时向甲方提供服务；</w:t>
      </w:r>
    </w:p>
    <w:p w14:paraId="23D84ED0">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3、主动通知甲方办理验收，并办理结算手续。</w:t>
      </w:r>
    </w:p>
    <w:p w14:paraId="27D621B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七、验收</w:t>
      </w:r>
    </w:p>
    <w:p w14:paraId="09E209AE">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1、验收：由甲方组织验收，验收合格后向乙方出具验收结果</w:t>
      </w:r>
      <w:r>
        <w:rPr>
          <w:rFonts w:hint="eastAsia" w:ascii="仿宋" w:hAnsi="仿宋" w:eastAsia="仿宋" w:cs="仿宋"/>
          <w:color w:val="auto"/>
          <w:highlight w:val="none"/>
        </w:rPr>
        <w:t>，</w:t>
      </w:r>
      <w:r>
        <w:rPr>
          <w:rFonts w:hint="eastAsia" w:ascii="仿宋" w:hAnsi="仿宋" w:eastAsia="仿宋" w:cs="仿宋"/>
          <w:color w:val="auto"/>
          <w:sz w:val="24"/>
          <w:highlight w:val="none"/>
        </w:rPr>
        <w:t>验收发生的费用由乙方承担。</w:t>
      </w:r>
    </w:p>
    <w:p w14:paraId="2C0DABC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2、验收依据：</w:t>
      </w:r>
    </w:p>
    <w:p w14:paraId="772206B9">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2-1、合同文本、合同附件、竞争性</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文件、成交供应商的响应文件。</w:t>
      </w:r>
    </w:p>
    <w:p w14:paraId="4C15AD7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2-2、国内相应的标准、规范。</w:t>
      </w:r>
    </w:p>
    <w:p w14:paraId="20C1897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2、验收依据：设备验收时按照乙方响应文件中的参数响应表逐条验收，采购人发现相关产品有虚假参数时，乙方承诺按照国家相关法律承担相应责任，同时承诺对采购人进行成交金额的全款赔付。</w:t>
      </w:r>
    </w:p>
    <w:p w14:paraId="7B2ACE52">
      <w:pPr>
        <w:adjustRightInd w:val="0"/>
        <w:snapToGrid w:val="0"/>
        <w:spacing w:line="360" w:lineRule="auto"/>
        <w:ind w:firstLine="480" w:firstLineChars="200"/>
        <w:rPr>
          <w:rFonts w:hint="eastAsia" w:ascii="仿宋" w:hAnsi="仿宋" w:eastAsia="仿宋" w:cs="仿宋"/>
          <w:color w:val="auto"/>
          <w:sz w:val="24"/>
          <w:highlight w:val="none"/>
        </w:rPr>
      </w:pPr>
      <w:bookmarkStart w:id="481" w:name="_Toc19515392"/>
      <w:r>
        <w:rPr>
          <w:rFonts w:hint="eastAsia" w:ascii="仿宋" w:hAnsi="仿宋" w:eastAsia="仿宋" w:cs="仿宋"/>
          <w:color w:val="auto"/>
          <w:sz w:val="24"/>
          <w:highlight w:val="none"/>
        </w:rPr>
        <w:t>八、保密条款</w:t>
      </w:r>
    </w:p>
    <w:p w14:paraId="781577C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遵守国家有关保密的法律法规和行业规定，并对甲方提供的资料负有保密义务。未经甲方同意，不得将承接政府服务项目获得的政府、公民个人等各种信息和资料提供给其他单位和个人。如发生以上情况，甲方有权索赔。</w:t>
      </w:r>
    </w:p>
    <w:p w14:paraId="4DAF3F4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有义务保护乙方的知识产权，未经乙方同意，不得将乙方交付的具有知识产权性质的成果文件、资料向第三方转让或用于本合同以外的项目。如发生以上情况,乙方有权索赔,但甲方依据相关法定职责对外公开的除外。</w:t>
      </w:r>
    </w:p>
    <w:p w14:paraId="46335DB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3、本条款为独立条款,本合同的无效、变更、解除和终止均不影响本条款的效力。</w:t>
      </w:r>
    </w:p>
    <w:p w14:paraId="67C9694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九、违约责任</w:t>
      </w:r>
      <w:bookmarkEnd w:id="481"/>
    </w:p>
    <w:p w14:paraId="31BE378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1、按《中华人民共和国民法典》中的相关条款执行。</w:t>
      </w:r>
    </w:p>
    <w:p w14:paraId="0B4B6FC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2、乙方履约延误</w:t>
      </w:r>
    </w:p>
    <w:p w14:paraId="1105434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2-1、如乙方事先未征得甲方同意并得到甲方的谅解而单方面延迟执行合同，将按违约终止合同。</w:t>
      </w:r>
    </w:p>
    <w:p w14:paraId="077E243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零点五（0.5%）计收，直至提供服务为止。误期赔偿费的最高限额为合同价格的百分之五（5%）。一旦达到误期赔偿费的最高限额，甲方可终止合同。</w:t>
      </w:r>
    </w:p>
    <w:p w14:paraId="7594FE2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3、违约终止合同：未按合同要求提供服务或不能满足技术要求，甲方会同监督机构有权终止合同，对乙方违约行为进行追究，同时按政府采购法的有关规定进行相应的处罚。</w:t>
      </w:r>
    </w:p>
    <w:p w14:paraId="501D48B0">
      <w:pPr>
        <w:adjustRightInd w:val="0"/>
        <w:snapToGrid w:val="0"/>
        <w:spacing w:line="360" w:lineRule="auto"/>
        <w:ind w:firstLine="480" w:firstLineChars="200"/>
        <w:rPr>
          <w:rFonts w:hint="eastAsia" w:ascii="仿宋" w:hAnsi="仿宋" w:eastAsia="仿宋" w:cs="仿宋"/>
          <w:color w:val="auto"/>
          <w:sz w:val="24"/>
          <w:highlight w:val="none"/>
        </w:rPr>
      </w:pPr>
      <w:bookmarkStart w:id="482" w:name="_Toc19515393"/>
      <w:r>
        <w:rPr>
          <w:rFonts w:hint="eastAsia" w:ascii="仿宋" w:hAnsi="仿宋" w:eastAsia="仿宋" w:cs="仿宋"/>
          <w:color w:val="auto"/>
          <w:sz w:val="24"/>
          <w:highlight w:val="none"/>
        </w:rPr>
        <w:t>十、合同组成</w:t>
      </w:r>
      <w:bookmarkEnd w:id="482"/>
    </w:p>
    <w:p w14:paraId="348A02C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1、成交通知书</w:t>
      </w:r>
    </w:p>
    <w:p w14:paraId="49F8FBE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2、合同文件</w:t>
      </w:r>
    </w:p>
    <w:p w14:paraId="083A572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3、国家相关规范及标准</w:t>
      </w:r>
    </w:p>
    <w:p w14:paraId="215BA47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4、竞争性</w:t>
      </w:r>
      <w:r>
        <w:rPr>
          <w:rFonts w:hint="eastAsia" w:ascii="仿宋" w:hAnsi="仿宋" w:eastAsia="仿宋" w:cs="仿宋"/>
          <w:color w:val="auto"/>
          <w:sz w:val="24"/>
          <w:highlight w:val="none"/>
          <w:lang w:val="en-US" w:eastAsia="zh-CN"/>
        </w:rPr>
        <w:t>谈判</w:t>
      </w:r>
      <w:r>
        <w:rPr>
          <w:rFonts w:hint="eastAsia" w:ascii="仿宋" w:hAnsi="仿宋" w:eastAsia="仿宋" w:cs="仿宋"/>
          <w:color w:val="auto"/>
          <w:sz w:val="24"/>
          <w:highlight w:val="none"/>
        </w:rPr>
        <w:t>文件</w:t>
      </w:r>
    </w:p>
    <w:p w14:paraId="06316438">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5、成交供应商的响应文件</w:t>
      </w:r>
    </w:p>
    <w:p w14:paraId="0D5D66E4">
      <w:pPr>
        <w:adjustRightInd w:val="0"/>
        <w:snapToGrid w:val="0"/>
        <w:spacing w:line="360" w:lineRule="auto"/>
        <w:ind w:firstLine="480" w:firstLineChars="200"/>
        <w:rPr>
          <w:rFonts w:hint="eastAsia" w:ascii="仿宋" w:hAnsi="仿宋" w:eastAsia="仿宋" w:cs="仿宋"/>
          <w:color w:val="auto"/>
          <w:sz w:val="24"/>
          <w:highlight w:val="none"/>
        </w:rPr>
      </w:pPr>
      <w:bookmarkStart w:id="483" w:name="_Toc19515394"/>
      <w:r>
        <w:rPr>
          <w:rFonts w:hint="eastAsia" w:ascii="仿宋" w:hAnsi="仿宋" w:eastAsia="仿宋" w:cs="仿宋"/>
          <w:color w:val="auto"/>
          <w:sz w:val="24"/>
          <w:highlight w:val="none"/>
        </w:rPr>
        <w:t>十一、解决争议的方法</w:t>
      </w:r>
      <w:bookmarkEnd w:id="483"/>
    </w:p>
    <w:p w14:paraId="2A1BF671">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凡因本合同引起的或与本合同有关的争议，双方应友好协商解决。协商不成时，双方均同意采用以下第（  ）种争议解决方式：</w:t>
      </w:r>
    </w:p>
    <w:p w14:paraId="6602062D">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（1）、甲、乙双方均同意向（甲方所在地人民法院）提起诉讼。</w:t>
      </w:r>
    </w:p>
    <w:p w14:paraId="1657B3A5">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（2）、甲、乙双方均同意向（</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"http://www.baidu.com/s?wd=%E4%BB%B2%E8%A3%81%E5%A7%94%E5%91%98%E4%BC%9A&amp;tn=SE_PcZhidaonwhc_ngpagmjz&amp;rsv_dl=gh_pc_zhidao" \t "_blank" </w:instrText>
      </w:r>
      <w:r>
        <w:rPr>
          <w:rFonts w:hint="eastAsia" w:ascii="仿宋" w:hAnsi="仿宋" w:eastAsia="仿宋" w:cs="仿宋"/>
          <w:color w:val="auto"/>
          <w:highlight w:val="none"/>
        </w:rPr>
        <w:fldChar w:fldCharType="separate"/>
      </w:r>
      <w:r>
        <w:rPr>
          <w:rFonts w:hint="eastAsia" w:ascii="仿宋" w:hAnsi="仿宋" w:eastAsia="仿宋" w:cs="仿宋"/>
          <w:color w:val="auto"/>
          <w:kern w:val="0"/>
          <w:sz w:val="24"/>
          <w:highlight w:val="none"/>
        </w:rPr>
        <w:t>仲裁委员会</w:t>
      </w:r>
      <w:r>
        <w:rPr>
          <w:rFonts w:hint="eastAsia" w:ascii="仿宋" w:hAnsi="仿宋" w:eastAsia="仿宋" w:cs="仿宋"/>
          <w:color w:val="auto"/>
          <w:kern w:val="0"/>
          <w:sz w:val="24"/>
          <w:highlight w:val="none"/>
        </w:rPr>
        <w:fldChar w:fldCharType="end"/>
      </w:r>
      <w:r>
        <w:rPr>
          <w:rFonts w:hint="eastAsia" w:ascii="仿宋" w:hAnsi="仿宋" w:eastAsia="仿宋" w:cs="仿宋"/>
          <w:color w:val="auto"/>
          <w:kern w:val="0"/>
          <w:sz w:val="24"/>
          <w:highlight w:val="none"/>
        </w:rPr>
        <w:t>）提起仲裁。</w:t>
      </w:r>
    </w:p>
    <w:p w14:paraId="0C1C4EEF">
      <w:pPr>
        <w:adjustRightInd w:val="0"/>
        <w:snapToGrid w:val="0"/>
        <w:spacing w:line="360" w:lineRule="auto"/>
        <w:ind w:firstLine="480" w:firstLineChars="200"/>
        <w:rPr>
          <w:rFonts w:hint="eastAsia" w:ascii="仿宋" w:hAnsi="仿宋" w:eastAsia="仿宋" w:cs="仿宋"/>
          <w:color w:val="auto"/>
          <w:sz w:val="24"/>
          <w:highlight w:val="none"/>
        </w:rPr>
      </w:pPr>
      <w:bookmarkStart w:id="484" w:name="_Toc19515395"/>
      <w:r>
        <w:rPr>
          <w:rFonts w:hint="eastAsia" w:ascii="仿宋" w:hAnsi="仿宋" w:eastAsia="仿宋" w:cs="仿宋"/>
          <w:color w:val="auto"/>
          <w:sz w:val="24"/>
          <w:highlight w:val="none"/>
        </w:rPr>
        <w:t>十二、合同生效及其它</w:t>
      </w:r>
      <w:bookmarkEnd w:id="484"/>
    </w:p>
    <w:p w14:paraId="613C1050">
      <w:pPr>
        <w:widowControl/>
        <w:autoSpaceDE w:val="0"/>
        <w:autoSpaceDN w:val="0"/>
        <w:snapToGrid w:val="0"/>
        <w:spacing w:line="360" w:lineRule="auto"/>
        <w:ind w:right="-110"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1、合同未尽事宜、由甲、乙双方协商，作为合同补充，与原合同具有同等法律效力。</w:t>
      </w:r>
    </w:p>
    <w:p w14:paraId="652E5023">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 本合同正本一式</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份，甲方、乙方双方分别执</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备案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份。</w:t>
      </w:r>
    </w:p>
    <w:p w14:paraId="4287A720">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3、合同经甲乙双方盖章、签字后生效，合同签订地点为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DAE3B56">
      <w:pPr>
        <w:widowControl/>
        <w:tabs>
          <w:tab w:val="left" w:pos="8391"/>
        </w:tabs>
        <w:autoSpaceDE w:val="0"/>
        <w:autoSpaceDN w:val="0"/>
        <w:snapToGrid w:val="0"/>
        <w:spacing w:line="360" w:lineRule="auto"/>
        <w:ind w:right="-69" w:firstLine="480" w:firstLineChars="200"/>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4、生效时间：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tbl>
      <w:tblPr>
        <w:tblStyle w:val="50"/>
        <w:tblW w:w="0" w:type="auto"/>
        <w:jc w:val="center"/>
        <w:tblLayout w:type="fixed"/>
        <w:tblCellMar>
          <w:top w:w="0" w:type="dxa"/>
          <w:left w:w="108" w:type="dxa"/>
          <w:bottom w:w="0" w:type="dxa"/>
          <w:right w:w="108" w:type="dxa"/>
        </w:tblCellMar>
      </w:tblPr>
      <w:tblGrid>
        <w:gridCol w:w="4643"/>
        <w:gridCol w:w="4643"/>
      </w:tblGrid>
      <w:tr w14:paraId="7ABB2EFD">
        <w:tblPrEx>
          <w:tblCellMar>
            <w:top w:w="0" w:type="dxa"/>
            <w:left w:w="108" w:type="dxa"/>
            <w:bottom w:w="0" w:type="dxa"/>
            <w:right w:w="108" w:type="dxa"/>
          </w:tblCellMar>
        </w:tblPrEx>
        <w:trPr>
          <w:jc w:val="center"/>
        </w:trPr>
        <w:tc>
          <w:tcPr>
            <w:tcW w:w="4643" w:type="dxa"/>
          </w:tcPr>
          <w:p w14:paraId="08DB5C6E">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甲方名称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1DABCDA7">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0649C28C">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7553F9FE">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713B8E83">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7791120B">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c>
          <w:tcPr>
            <w:tcW w:w="4643" w:type="dxa"/>
          </w:tcPr>
          <w:p w14:paraId="496E9B51">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乙方名称</w:t>
            </w:r>
            <w:r>
              <w:rPr>
                <w:rFonts w:hint="eastAsia" w:ascii="仿宋" w:hAnsi="仿宋" w:eastAsia="仿宋" w:cs="仿宋"/>
                <w:color w:val="auto"/>
                <w:spacing w:val="-20"/>
                <w:kern w:val="0"/>
                <w:sz w:val="24"/>
                <w:highlight w:val="none"/>
              </w:rPr>
              <w:t>（盖章）</w:t>
            </w:r>
            <w:r>
              <w:rPr>
                <w:rFonts w:hint="eastAsia" w:ascii="仿宋" w:hAnsi="仿宋" w:eastAsia="仿宋" w:cs="仿宋"/>
                <w:color w:val="auto"/>
                <w:kern w:val="0"/>
                <w:sz w:val="24"/>
                <w:highlight w:val="none"/>
              </w:rPr>
              <w:t>:</w:t>
            </w:r>
          </w:p>
          <w:p w14:paraId="0611F7CB">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地址：</w:t>
            </w:r>
          </w:p>
          <w:p w14:paraId="4AF6C22B">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代表人（签字）：</w:t>
            </w:r>
          </w:p>
          <w:p w14:paraId="372FFD75">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电话：</w:t>
            </w:r>
          </w:p>
          <w:p w14:paraId="478FCB6A">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开户银行：</w:t>
            </w:r>
          </w:p>
          <w:p w14:paraId="43F207A8">
            <w:pPr>
              <w:widowControl/>
              <w:autoSpaceDE w:val="0"/>
              <w:autoSpaceDN w:val="0"/>
              <w:snapToGrid w:val="0"/>
              <w:spacing w:line="360" w:lineRule="auto"/>
              <w:ind w:right="-154"/>
              <w:textAlignment w:val="bottom"/>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账号：</w:t>
            </w:r>
          </w:p>
        </w:tc>
      </w:tr>
    </w:tbl>
    <w:p w14:paraId="13E8F694">
      <w:pPr>
        <w:autoSpaceDE w:val="0"/>
        <w:autoSpaceDN w:val="0"/>
        <w:adjustRightInd w:val="0"/>
        <w:spacing w:line="360" w:lineRule="auto"/>
        <w:jc w:val="left"/>
        <w:rPr>
          <w:rFonts w:hint="eastAsia" w:ascii="仿宋" w:hAnsi="仿宋" w:eastAsia="仿宋" w:cs="仿宋"/>
          <w:b/>
          <w:bCs/>
          <w:color w:val="auto"/>
          <w:sz w:val="32"/>
          <w:szCs w:val="32"/>
          <w:highlight w:val="none"/>
        </w:rPr>
      </w:pPr>
    </w:p>
    <w:p w14:paraId="1DD6438A">
      <w:pPr>
        <w:autoSpaceDE w:val="0"/>
        <w:autoSpaceDN w:val="0"/>
        <w:adjustRightInd w:val="0"/>
        <w:jc w:val="left"/>
        <w:rPr>
          <w:rFonts w:hint="eastAsia" w:ascii="仿宋" w:hAnsi="仿宋" w:eastAsia="仿宋" w:cs="仿宋"/>
          <w:b/>
          <w:bCs/>
          <w:color w:val="auto"/>
          <w:sz w:val="32"/>
          <w:szCs w:val="32"/>
          <w:highlight w:val="none"/>
        </w:rPr>
      </w:pPr>
    </w:p>
    <w:p w14:paraId="299FCA64">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20F5B1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合同附件</w:t>
      </w:r>
    </w:p>
    <w:tbl>
      <w:tblPr>
        <w:tblStyle w:val="50"/>
        <w:tblW w:w="5000" w:type="pct"/>
        <w:tblInd w:w="0" w:type="dxa"/>
        <w:tblLayout w:type="autofit"/>
        <w:tblCellMar>
          <w:top w:w="0" w:type="dxa"/>
          <w:left w:w="108" w:type="dxa"/>
          <w:bottom w:w="0" w:type="dxa"/>
          <w:right w:w="108" w:type="dxa"/>
        </w:tblCellMar>
      </w:tblPr>
      <w:tblGrid>
        <w:gridCol w:w="1836"/>
        <w:gridCol w:w="2686"/>
        <w:gridCol w:w="2949"/>
        <w:gridCol w:w="2485"/>
      </w:tblGrid>
      <w:tr w14:paraId="330FC2D5">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14:paraId="5E67B32D">
            <w:pPr>
              <w:widowControl/>
              <w:jc w:val="center"/>
              <w:rPr>
                <w:rFonts w:hint="eastAsia" w:ascii="仿宋" w:hAnsi="仿宋" w:eastAsia="仿宋" w:cs="仿宋"/>
                <w:b/>
                <w:bCs/>
                <w:color w:val="auto"/>
                <w:kern w:val="0"/>
                <w:sz w:val="32"/>
                <w:szCs w:val="32"/>
                <w:highlight w:val="none"/>
              </w:rPr>
            </w:pPr>
            <w:r>
              <w:rPr>
                <w:rFonts w:hint="eastAsia" w:ascii="仿宋" w:hAnsi="仿宋" w:eastAsia="仿宋" w:cs="仿宋"/>
                <w:b/>
                <w:bCs/>
                <w:color w:val="auto"/>
                <w:kern w:val="0"/>
                <w:sz w:val="32"/>
                <w:szCs w:val="32"/>
                <w:highlight w:val="none"/>
              </w:rPr>
              <w:t>政府采购项目货物（服务）验收入库报告单</w:t>
            </w:r>
          </w:p>
        </w:tc>
      </w:tr>
      <w:tr w14:paraId="347A3C47">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14:paraId="1FFA17B7">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14:paraId="549C454D">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14:paraId="6C8B94B0">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3DCD1AFF">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14:paraId="0E8AC05E">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14:paraId="7A75D2A2">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14:paraId="72027D35">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14:paraId="0C72314E">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14:paraId="4BBE5B47">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合同金额</w:t>
            </w:r>
          </w:p>
        </w:tc>
        <w:tc>
          <w:tcPr>
            <w:tcW w:w="1248" w:type="pct"/>
            <w:tcBorders>
              <w:top w:val="nil"/>
              <w:left w:val="nil"/>
              <w:bottom w:val="single" w:color="auto" w:sz="4" w:space="0"/>
              <w:right w:val="single" w:color="auto" w:sz="8" w:space="0"/>
            </w:tcBorders>
            <w:noWrap/>
            <w:vAlign w:val="center"/>
          </w:tcPr>
          <w:p w14:paraId="6851E972">
            <w:pPr>
              <w:widowControl/>
              <w:jc w:val="left"/>
              <w:rPr>
                <w:rFonts w:hint="eastAsia" w:ascii="仿宋" w:hAnsi="仿宋" w:eastAsia="仿宋" w:cs="仿宋"/>
                <w:b/>
                <w:bCs/>
                <w:color w:val="auto"/>
                <w:kern w:val="0"/>
                <w:sz w:val="24"/>
                <w:highlight w:val="none"/>
                <w:lang w:eastAsia="zh-CN"/>
              </w:rPr>
            </w:pPr>
            <w:r>
              <w:rPr>
                <w:rFonts w:hint="eastAsia" w:ascii="仿宋" w:hAnsi="仿宋" w:eastAsia="仿宋" w:cs="仿宋"/>
                <w:b/>
                <w:bCs/>
                <w:color w:val="auto"/>
                <w:kern w:val="0"/>
                <w:sz w:val="24"/>
                <w:highlight w:val="none"/>
              </w:rPr>
              <w:t>¥</w:t>
            </w:r>
            <w:r>
              <w:rPr>
                <w:rFonts w:hint="eastAsia" w:ascii="仿宋" w:hAnsi="仿宋" w:eastAsia="仿宋" w:cs="仿宋"/>
                <w:b/>
                <w:bCs/>
                <w:color w:val="auto"/>
                <w:kern w:val="0"/>
                <w:sz w:val="24"/>
                <w:highlight w:val="none"/>
                <w:lang w:eastAsia="zh-CN"/>
              </w:rPr>
              <w:t>：</w:t>
            </w:r>
          </w:p>
        </w:tc>
      </w:tr>
      <w:tr w14:paraId="7113F4DA">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14:paraId="2A928275">
            <w:pPr>
              <w:widowControl/>
              <w:jc w:val="left"/>
              <w:rPr>
                <w:rFonts w:hint="eastAsia" w:ascii="仿宋" w:hAnsi="仿宋" w:eastAsia="仿宋" w:cs="仿宋"/>
                <w:b/>
                <w:bCs/>
                <w:color w:val="auto"/>
                <w:kern w:val="0"/>
                <w:sz w:val="24"/>
                <w:highlight w:val="none"/>
              </w:rPr>
            </w:pPr>
          </w:p>
        </w:tc>
        <w:tc>
          <w:tcPr>
            <w:tcW w:w="1349" w:type="pct"/>
            <w:vMerge w:val="continue"/>
            <w:tcBorders>
              <w:top w:val="nil"/>
              <w:left w:val="single" w:color="auto" w:sz="4" w:space="0"/>
              <w:bottom w:val="single" w:color="auto" w:sz="4" w:space="0"/>
              <w:right w:val="single" w:color="auto" w:sz="4" w:space="0"/>
            </w:tcBorders>
            <w:vAlign w:val="center"/>
          </w:tcPr>
          <w:p w14:paraId="552C6E6C">
            <w:pPr>
              <w:widowControl/>
              <w:jc w:val="left"/>
              <w:rPr>
                <w:rFonts w:hint="eastAsia" w:ascii="仿宋" w:hAnsi="仿宋" w:eastAsia="仿宋" w:cs="仿宋"/>
                <w:color w:val="auto"/>
                <w:kern w:val="0"/>
                <w:sz w:val="24"/>
                <w:highlight w:val="none"/>
              </w:rPr>
            </w:pPr>
          </w:p>
        </w:tc>
        <w:tc>
          <w:tcPr>
            <w:tcW w:w="1481" w:type="pct"/>
            <w:tcBorders>
              <w:top w:val="nil"/>
              <w:left w:val="nil"/>
              <w:bottom w:val="single" w:color="auto" w:sz="4" w:space="0"/>
              <w:right w:val="single" w:color="auto" w:sz="4" w:space="0"/>
            </w:tcBorders>
            <w:noWrap/>
            <w:vAlign w:val="center"/>
          </w:tcPr>
          <w:p w14:paraId="377A3D93">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验收时间/地点</w:t>
            </w:r>
          </w:p>
        </w:tc>
        <w:tc>
          <w:tcPr>
            <w:tcW w:w="1248" w:type="pct"/>
            <w:tcBorders>
              <w:top w:val="nil"/>
              <w:left w:val="nil"/>
              <w:bottom w:val="single" w:color="auto" w:sz="4" w:space="0"/>
              <w:right w:val="single" w:color="auto" w:sz="8" w:space="0"/>
            </w:tcBorders>
            <w:noWrap/>
            <w:vAlign w:val="center"/>
          </w:tcPr>
          <w:p w14:paraId="10EC8327">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14:paraId="3605B4D6">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14:paraId="419A12B9">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14:paraId="4A47840B">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14:paraId="1FD3A73C">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14:paraId="79329944">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开户行</w:t>
            </w:r>
          </w:p>
        </w:tc>
        <w:tc>
          <w:tcPr>
            <w:tcW w:w="1349" w:type="pct"/>
            <w:tcBorders>
              <w:top w:val="nil"/>
              <w:left w:val="nil"/>
              <w:bottom w:val="single" w:color="auto" w:sz="4" w:space="0"/>
              <w:right w:val="single" w:color="auto" w:sz="4" w:space="0"/>
            </w:tcBorders>
            <w:noWrap/>
            <w:vAlign w:val="center"/>
          </w:tcPr>
          <w:p w14:paraId="53B2DBC6">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481" w:type="pct"/>
            <w:tcBorders>
              <w:top w:val="nil"/>
              <w:left w:val="nil"/>
              <w:bottom w:val="single" w:color="auto" w:sz="4" w:space="0"/>
              <w:right w:val="single" w:color="auto" w:sz="4" w:space="0"/>
            </w:tcBorders>
            <w:noWrap/>
            <w:vAlign w:val="center"/>
          </w:tcPr>
          <w:p w14:paraId="1CF166B1">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账号</w:t>
            </w:r>
          </w:p>
        </w:tc>
        <w:tc>
          <w:tcPr>
            <w:tcW w:w="1248" w:type="pct"/>
            <w:tcBorders>
              <w:top w:val="nil"/>
              <w:left w:val="nil"/>
              <w:bottom w:val="single" w:color="auto" w:sz="4" w:space="0"/>
              <w:right w:val="single" w:color="auto" w:sz="8" w:space="0"/>
            </w:tcBorders>
            <w:noWrap/>
            <w:vAlign w:val="center"/>
          </w:tcPr>
          <w:p w14:paraId="5EACB23C">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14:paraId="5D67C25A">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14:paraId="4BBD20BF">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联系人</w:t>
            </w:r>
          </w:p>
        </w:tc>
        <w:tc>
          <w:tcPr>
            <w:tcW w:w="1349" w:type="pct"/>
            <w:tcBorders>
              <w:top w:val="nil"/>
              <w:left w:val="nil"/>
              <w:bottom w:val="nil"/>
              <w:right w:val="single" w:color="auto" w:sz="4" w:space="0"/>
            </w:tcBorders>
            <w:noWrap/>
            <w:vAlign w:val="center"/>
          </w:tcPr>
          <w:p w14:paraId="1443B3E7">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c>
          <w:tcPr>
            <w:tcW w:w="1481" w:type="pct"/>
            <w:tcBorders>
              <w:top w:val="nil"/>
              <w:left w:val="nil"/>
              <w:bottom w:val="nil"/>
              <w:right w:val="single" w:color="auto" w:sz="4" w:space="0"/>
            </w:tcBorders>
            <w:noWrap/>
            <w:vAlign w:val="center"/>
          </w:tcPr>
          <w:p w14:paraId="6C5EA2EF">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电话</w:t>
            </w:r>
          </w:p>
        </w:tc>
        <w:tc>
          <w:tcPr>
            <w:tcW w:w="1248" w:type="pct"/>
            <w:tcBorders>
              <w:top w:val="nil"/>
              <w:left w:val="nil"/>
              <w:bottom w:val="nil"/>
              <w:right w:val="single" w:color="auto" w:sz="8" w:space="0"/>
            </w:tcBorders>
            <w:noWrap/>
            <w:vAlign w:val="center"/>
          </w:tcPr>
          <w:p w14:paraId="555C99E2">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w:t>
            </w:r>
          </w:p>
        </w:tc>
      </w:tr>
      <w:tr w14:paraId="0B638BE8">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14:paraId="02F79B88">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  供货单位：（盖章）</w:t>
            </w:r>
          </w:p>
        </w:tc>
        <w:tc>
          <w:tcPr>
            <w:tcW w:w="2729" w:type="pct"/>
            <w:gridSpan w:val="2"/>
            <w:tcBorders>
              <w:top w:val="single" w:color="auto" w:sz="4" w:space="0"/>
              <w:left w:val="single" w:color="auto" w:sz="4" w:space="0"/>
              <w:bottom w:val="nil"/>
              <w:right w:val="single" w:color="000000" w:sz="8" w:space="0"/>
            </w:tcBorders>
          </w:tcPr>
          <w:p w14:paraId="4A866D34">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   使用单位验收意见：（盖章）</w:t>
            </w:r>
          </w:p>
          <w:p w14:paraId="69411E99">
            <w:pPr>
              <w:rPr>
                <w:rFonts w:hint="eastAsia" w:ascii="仿宋" w:hAnsi="仿宋" w:eastAsia="仿宋" w:cs="仿宋"/>
                <w:color w:val="auto"/>
                <w:sz w:val="24"/>
                <w:highlight w:val="none"/>
              </w:rPr>
            </w:pPr>
          </w:p>
        </w:tc>
      </w:tr>
      <w:tr w14:paraId="3E024663">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14:paraId="0E3951C8">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xml:space="preserve"> 签字：</w:t>
            </w:r>
          </w:p>
        </w:tc>
        <w:tc>
          <w:tcPr>
            <w:tcW w:w="1349" w:type="pct"/>
            <w:tcBorders>
              <w:top w:val="nil"/>
              <w:left w:val="nil"/>
              <w:bottom w:val="nil"/>
              <w:right w:val="nil"/>
            </w:tcBorders>
            <w:noWrap/>
            <w:vAlign w:val="center"/>
          </w:tcPr>
          <w:p w14:paraId="59A8AEF0">
            <w:pPr>
              <w:widowControl/>
              <w:jc w:val="center"/>
              <w:rPr>
                <w:rFonts w:hint="eastAsia" w:ascii="仿宋" w:hAnsi="仿宋" w:eastAsia="仿宋" w:cs="仿宋"/>
                <w:b/>
                <w:bCs/>
                <w:color w:val="auto"/>
                <w:kern w:val="0"/>
                <w:sz w:val="24"/>
                <w:highlight w:val="none"/>
              </w:rPr>
            </w:pPr>
          </w:p>
        </w:tc>
        <w:tc>
          <w:tcPr>
            <w:tcW w:w="1481" w:type="pct"/>
            <w:tcBorders>
              <w:top w:val="nil"/>
              <w:left w:val="single" w:color="auto" w:sz="4" w:space="0"/>
              <w:bottom w:val="nil"/>
              <w:right w:val="nil"/>
            </w:tcBorders>
            <w:noWrap/>
            <w:vAlign w:val="center"/>
          </w:tcPr>
          <w:p w14:paraId="6EBECA92">
            <w:pPr>
              <w:widowControl/>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签字：</w:t>
            </w:r>
          </w:p>
        </w:tc>
        <w:tc>
          <w:tcPr>
            <w:tcW w:w="1248" w:type="pct"/>
            <w:tcBorders>
              <w:top w:val="nil"/>
              <w:left w:val="nil"/>
              <w:bottom w:val="nil"/>
              <w:right w:val="single" w:color="auto" w:sz="8" w:space="0"/>
            </w:tcBorders>
          </w:tcPr>
          <w:p w14:paraId="2229BE4E">
            <w:pPr>
              <w:widowControl/>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　</w:t>
            </w:r>
          </w:p>
        </w:tc>
      </w:tr>
      <w:tr w14:paraId="1CCBC2CA">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14:paraId="615DDE82">
            <w:pPr>
              <w:widowControl/>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349" w:type="pct"/>
            <w:tcBorders>
              <w:top w:val="nil"/>
              <w:left w:val="nil"/>
              <w:bottom w:val="single" w:color="auto" w:sz="4" w:space="0"/>
              <w:right w:val="nil"/>
            </w:tcBorders>
            <w:vAlign w:val="bottom"/>
          </w:tcPr>
          <w:p w14:paraId="3DED842E">
            <w:pPr>
              <w:widowControl/>
              <w:jc w:val="righ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     月   日</w:t>
            </w:r>
          </w:p>
        </w:tc>
        <w:tc>
          <w:tcPr>
            <w:tcW w:w="1481" w:type="pct"/>
            <w:tcBorders>
              <w:top w:val="nil"/>
              <w:left w:val="single" w:color="auto" w:sz="4" w:space="0"/>
              <w:bottom w:val="single" w:color="auto" w:sz="4" w:space="0"/>
              <w:right w:val="nil"/>
            </w:tcBorders>
            <w:noWrap/>
            <w:vAlign w:val="center"/>
          </w:tcPr>
          <w:p w14:paraId="0CA10043">
            <w:pPr>
              <w:widowControl/>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　</w:t>
            </w:r>
          </w:p>
        </w:tc>
        <w:tc>
          <w:tcPr>
            <w:tcW w:w="1248" w:type="pct"/>
            <w:tcBorders>
              <w:top w:val="nil"/>
              <w:left w:val="nil"/>
              <w:bottom w:val="single" w:color="auto" w:sz="4" w:space="0"/>
              <w:right w:val="single" w:color="auto" w:sz="8" w:space="0"/>
            </w:tcBorders>
            <w:vAlign w:val="bottom"/>
          </w:tcPr>
          <w:p w14:paraId="3FE0AE0B">
            <w:pPr>
              <w:widowControl/>
              <w:jc w:val="righ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年   月   日</w:t>
            </w:r>
          </w:p>
        </w:tc>
      </w:tr>
      <w:tr w14:paraId="18430F4C">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14:paraId="4932449D">
            <w:pPr>
              <w:widowControl/>
              <w:jc w:val="center"/>
              <w:rPr>
                <w:rFonts w:hint="eastAsia" w:ascii="仿宋" w:hAnsi="仿宋" w:eastAsia="仿宋" w:cs="仿宋"/>
                <w:b/>
                <w:bCs/>
                <w:color w:val="auto"/>
                <w:kern w:val="0"/>
                <w:sz w:val="22"/>
                <w:szCs w:val="22"/>
                <w:highlight w:val="none"/>
              </w:rPr>
            </w:pPr>
            <w:r>
              <w:rPr>
                <w:rFonts w:hint="eastAsia" w:ascii="仿宋" w:hAnsi="仿宋" w:eastAsia="仿宋" w:cs="仿宋"/>
                <w:b/>
                <w:bCs/>
                <w:color w:val="auto"/>
                <w:kern w:val="0"/>
                <w:sz w:val="22"/>
                <w:szCs w:val="22"/>
                <w:highlight w:val="none"/>
              </w:rPr>
              <w:t>采购内容</w:t>
            </w:r>
          </w:p>
        </w:tc>
      </w:tr>
      <w:tr w14:paraId="281804DD">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14:paraId="15DB9F37">
            <w:pPr>
              <w:widowControl/>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采购内容请列明品目、规格、型号、数量、单价、总价</w:t>
            </w:r>
          </w:p>
        </w:tc>
      </w:tr>
    </w:tbl>
    <w:p w14:paraId="7C381BCB">
      <w:pPr>
        <w:pStyle w:val="23"/>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7E5EF30">
      <w:pPr>
        <w:pStyle w:val="68"/>
        <w:numPr>
          <w:ilvl w:val="0"/>
          <w:numId w:val="10"/>
        </w:numPr>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bookmarkStart w:id="485" w:name="_Toc58504448"/>
      <w:bookmarkStart w:id="486" w:name="_Toc25263"/>
      <w:r>
        <w:rPr>
          <w:rFonts w:hint="eastAsia" w:ascii="仿宋" w:hAnsi="仿宋" w:eastAsia="仿宋" w:cs="仿宋"/>
          <w:b/>
          <w:color w:val="auto"/>
          <w:kern w:val="0"/>
          <w:sz w:val="32"/>
          <w:szCs w:val="32"/>
          <w:highlight w:val="none"/>
        </w:rPr>
        <w:t xml:space="preserve"> 采购内容及要求</w:t>
      </w:r>
      <w:bookmarkEnd w:id="485"/>
      <w:bookmarkEnd w:id="486"/>
    </w:p>
    <w:p w14:paraId="3CCC5990">
      <w:pPr>
        <w:pStyle w:val="68"/>
        <w:numPr>
          <w:ilvl w:val="0"/>
          <w:numId w:val="0"/>
        </w:numPr>
        <w:adjustRightInd w:val="0"/>
        <w:spacing w:before="240" w:beforeLines="100" w:line="360" w:lineRule="auto"/>
        <w:ind w:right="-22" w:rightChars="0"/>
        <w:jc w:val="both"/>
        <w:textAlignment w:val="baseline"/>
        <w:outlineLvl w:val="0"/>
        <w:rPr>
          <w:rFonts w:hint="default"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val="en-US" w:eastAsia="zh-CN"/>
        </w:rPr>
        <w:t>一、技术要求</w:t>
      </w:r>
    </w:p>
    <w:p w14:paraId="02DDA09D">
      <w:pPr>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第一包：儿科</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065"/>
        <w:gridCol w:w="945"/>
        <w:gridCol w:w="7175"/>
      </w:tblGrid>
      <w:tr w14:paraId="05D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71" w:type="dxa"/>
            <w:vAlign w:val="center"/>
          </w:tcPr>
          <w:p w14:paraId="0D78B536">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序号</w:t>
            </w:r>
          </w:p>
        </w:tc>
        <w:tc>
          <w:tcPr>
            <w:tcW w:w="1065" w:type="dxa"/>
            <w:vAlign w:val="center"/>
          </w:tcPr>
          <w:p w14:paraId="044A019E">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产品名称</w:t>
            </w:r>
          </w:p>
        </w:tc>
        <w:tc>
          <w:tcPr>
            <w:tcW w:w="945" w:type="dxa"/>
            <w:vAlign w:val="center"/>
          </w:tcPr>
          <w:p w14:paraId="1638C6D2">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数量</w:t>
            </w:r>
          </w:p>
        </w:tc>
        <w:tc>
          <w:tcPr>
            <w:tcW w:w="7175" w:type="dxa"/>
            <w:vAlign w:val="center"/>
          </w:tcPr>
          <w:p w14:paraId="301C9B03">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技术要求</w:t>
            </w:r>
          </w:p>
        </w:tc>
      </w:tr>
      <w:tr w14:paraId="5CD2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3572BD1C">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w:t>
            </w:r>
          </w:p>
        </w:tc>
        <w:tc>
          <w:tcPr>
            <w:tcW w:w="1065" w:type="dxa"/>
            <w:vAlign w:val="center"/>
          </w:tcPr>
          <w:p w14:paraId="3FE39051">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新生儿小儿呼吸机</w:t>
            </w:r>
          </w:p>
        </w:tc>
        <w:tc>
          <w:tcPr>
            <w:tcW w:w="945" w:type="dxa"/>
            <w:vAlign w:val="center"/>
          </w:tcPr>
          <w:p w14:paraId="3493B2C3">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1台</w:t>
            </w:r>
          </w:p>
        </w:tc>
        <w:tc>
          <w:tcPr>
            <w:tcW w:w="7175" w:type="dxa"/>
            <w:vAlign w:val="top"/>
          </w:tcPr>
          <w:p w14:paraId="52E812A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1.适用范围：适用于新生儿（含早产儿）和30KG以下的儿童。</w:t>
            </w:r>
          </w:p>
          <w:p w14:paraId="0CD334E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2.≥8.0英寸触摸显示屏。监测参数：压力（气道峰压、平均压、呼末正压/气道压力）、氧浓度、流量、自主呼吸频率、呼气时间、吸呼比。图形显示：压力－时间波形、流量柱状图显示流量。</w:t>
            </w:r>
          </w:p>
          <w:p w14:paraId="1CB9450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3.内置电子空氧混合器，氧浓度调节范围：21%-100%，精度±3%。</w:t>
            </w:r>
          </w:p>
          <w:p w14:paraId="194BC58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4.内置氧传感器，监测范围0-100%，精度±2%。正常通气时可进行氧浓度在线校准，校准时不影响正常通气。</w:t>
            </w:r>
          </w:p>
          <w:p w14:paraId="2BACCB9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5.提供和呼吸机主机同品牌的压力发生器，提供近鼻端压力监测。</w:t>
            </w:r>
          </w:p>
          <w:p w14:paraId="20379A7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6.呼吸监测：不需要额外传感器即可测量自主呼吸频率。</w:t>
            </w:r>
          </w:p>
          <w:p w14:paraId="5A695AC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7.通气模式：NCPAP，NIPPV，SNIPPV，HFNC。</w:t>
            </w:r>
          </w:p>
          <w:p w14:paraId="6DD76D2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8.NCPAP模式：</w:t>
            </w:r>
          </w:p>
          <w:p w14:paraId="405ACD9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8.1.气道压力：4.0cmH2O-20cmH2O</w:t>
            </w:r>
          </w:p>
          <w:p w14:paraId="5628341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8.2.窒息唤醒压力：2.0cmH2O-25cmH2O</w:t>
            </w:r>
          </w:p>
          <w:p w14:paraId="6C7FDF9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8.3.窒息唤醒次数：OFF，1～10</w:t>
            </w:r>
          </w:p>
          <w:p w14:paraId="3543B91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9.NIPPV/SNIPPV模式：</w:t>
            </w:r>
          </w:p>
          <w:p w14:paraId="2106851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9.1.吸气压力：0cmH2O-25cmH2O</w:t>
            </w:r>
          </w:p>
          <w:p w14:paraId="586742D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9.2.呼末正压PEEP：0cmH2O-15cmH2O</w:t>
            </w:r>
          </w:p>
          <w:p w14:paraId="2D2D984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9.3.触发灵敏度：OFF，-20～10</w:t>
            </w:r>
          </w:p>
          <w:p w14:paraId="0CC312C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10.监测参数范围：</w:t>
            </w:r>
          </w:p>
          <w:p w14:paraId="6F6AE57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10.1.气道压力、呼末正压、吸气压力：-30cmH2O～120cmH2O</w:t>
            </w:r>
          </w:p>
          <w:p w14:paraId="2D0205A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10.2.自主呼吸频率：0/min～300/min</w:t>
            </w:r>
          </w:p>
          <w:p w14:paraId="5FF3CB3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10.3.流量：0L/min～20L/min</w:t>
            </w:r>
          </w:p>
          <w:p w14:paraId="4FD19A7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11.HFNC模式：具有压力监测功能，流量范围0.5L/min-25L/min可调。</w:t>
            </w:r>
          </w:p>
          <w:p w14:paraId="2F80EBC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12.可选配血氧监测功能，实时监测患儿的SPO2、PR和PI灌注指数。</w:t>
            </w:r>
          </w:p>
          <w:p w14:paraId="4CE020F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13.提供快氧通气功能：最长时间120s，增氧浓度22%-100% 连续可调。</w:t>
            </w:r>
          </w:p>
          <w:p w14:paraId="59EE409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14.提供手动通气功能，通气时间1s-30s可调。</w:t>
            </w:r>
          </w:p>
          <w:p w14:paraId="0439667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15.具备自动泄漏补偿功能。</w:t>
            </w:r>
          </w:p>
          <w:p w14:paraId="246F566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16.报警：具有手动/自动设置报警上下限功能。</w:t>
            </w:r>
          </w:p>
          <w:p w14:paraId="307CBBF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17.应具有日志功能、趋势图和趋势表功能，并支持存储和导出功能。</w:t>
            </w:r>
          </w:p>
          <w:p w14:paraId="5068483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18.应具有湿化器外挂导轨、吊臂/水袋支架安装座、空压机安装底盘。</w:t>
            </w:r>
          </w:p>
          <w:p w14:paraId="4697C86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19.内置大容量锂电池，充满可使用≥4小时。</w:t>
            </w:r>
          </w:p>
          <w:p w14:paraId="533F8B4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20.提供系统自检功能，图形化提示操作功能。</w:t>
            </w:r>
          </w:p>
        </w:tc>
      </w:tr>
      <w:tr w14:paraId="4E4A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2D531B3B">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w:t>
            </w:r>
          </w:p>
        </w:tc>
        <w:tc>
          <w:tcPr>
            <w:tcW w:w="1065" w:type="dxa"/>
            <w:vAlign w:val="center"/>
          </w:tcPr>
          <w:p w14:paraId="2F59CD67">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脉搏血氧饱和度仪</w:t>
            </w:r>
          </w:p>
        </w:tc>
        <w:tc>
          <w:tcPr>
            <w:tcW w:w="945" w:type="dxa"/>
            <w:vAlign w:val="center"/>
          </w:tcPr>
          <w:p w14:paraId="69EFD79D">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1台</w:t>
            </w:r>
          </w:p>
        </w:tc>
        <w:tc>
          <w:tcPr>
            <w:tcW w:w="7175" w:type="dxa"/>
            <w:vAlign w:val="top"/>
          </w:tcPr>
          <w:p w14:paraId="672F580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1.显示：≥3.5 英寸 TFT 彩屏 </w:t>
            </w:r>
          </w:p>
          <w:p w14:paraId="49FB843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2.血氧饱和度参数说明： </w:t>
            </w:r>
          </w:p>
          <w:p w14:paraId="60A6C99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显示范围：35%~100% </w:t>
            </w:r>
          </w:p>
          <w:p w14:paraId="3C79DB7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测量误差：70%~100%：±2% </w:t>
            </w:r>
          </w:p>
          <w:p w14:paraId="3D4FFAB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50%~69%：±3% </w:t>
            </w:r>
          </w:p>
          <w:p w14:paraId="69CE298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50%以下不作要求。 </w:t>
            </w:r>
          </w:p>
          <w:p w14:paraId="63639C7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越限提示设置范围：下限提示 50%-99%可调 </w:t>
            </w:r>
          </w:p>
          <w:p w14:paraId="221D2D0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测量准确度：在 70～100%测量范围内，Arms≤3%（Arms 定义参见 标准 YY0784-2010） </w:t>
            </w:r>
          </w:p>
          <w:p w14:paraId="5A106A3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3. 脉率参数说明： </w:t>
            </w:r>
          </w:p>
          <w:p w14:paraId="02306C8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显示范围：30bpm~250bpm </w:t>
            </w:r>
          </w:p>
          <w:p w14:paraId="794F13E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测量精度：±2%或±2bpm 取大值 </w:t>
            </w:r>
          </w:p>
          <w:p w14:paraId="5A124CD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限值设置范围：上限：100bpm---240bpm </w:t>
            </w:r>
          </w:p>
          <w:p w14:paraId="5E2ED8E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下限：30bpm---99bpm </w:t>
            </w:r>
          </w:p>
          <w:p w14:paraId="6D495BB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4. 灌注指数（PI）显示： </w:t>
            </w:r>
          </w:p>
          <w:p w14:paraId="2A83655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应能显示血流灌注指数。</w:t>
            </w:r>
          </w:p>
          <w:p w14:paraId="3D746AB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5. 抗自然光干扰能力： </w:t>
            </w:r>
          </w:p>
          <w:p w14:paraId="2A3547A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在自然光的环境下使用，脉搏血氧饱和度和脉率测量值符合上述标准要求。 </w:t>
            </w:r>
          </w:p>
          <w:p w14:paraId="1E8154F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6. 抗工频干扰能力： </w:t>
            </w:r>
          </w:p>
          <w:p w14:paraId="692B1C1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在光环境为工频光源的情况下使用，脉搏血氧饱和度和脉率测量值符合上述标准要求。 </w:t>
            </w:r>
          </w:p>
        </w:tc>
      </w:tr>
      <w:tr w14:paraId="77B6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16A90CE2">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w:t>
            </w:r>
          </w:p>
        </w:tc>
        <w:tc>
          <w:tcPr>
            <w:tcW w:w="1065" w:type="dxa"/>
            <w:vAlign w:val="center"/>
          </w:tcPr>
          <w:p w14:paraId="1A303581">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病人监护仪</w:t>
            </w:r>
          </w:p>
        </w:tc>
        <w:tc>
          <w:tcPr>
            <w:tcW w:w="945" w:type="dxa"/>
            <w:vAlign w:val="center"/>
          </w:tcPr>
          <w:p w14:paraId="52990D41">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2台</w:t>
            </w:r>
          </w:p>
        </w:tc>
        <w:tc>
          <w:tcPr>
            <w:tcW w:w="7175" w:type="dxa"/>
            <w:vAlign w:val="top"/>
          </w:tcPr>
          <w:p w14:paraId="1E93AD2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1.≥10.1彩色液晶电容触摸屏;</w:t>
            </w:r>
          </w:p>
          <w:p w14:paraId="314284E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2.分辨率为800×600像素;</w:t>
            </w:r>
          </w:p>
          <w:p w14:paraId="4AE455B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3.≥7通道波形显示;</w:t>
            </w:r>
          </w:p>
          <w:p w14:paraId="7D002F7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4.可监测心电、血氧、脉博、无创血压、呼吸、体温等基础参数</w:t>
            </w:r>
          </w:p>
          <w:p w14:paraId="6F4E2B9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5.标配3/5导心电，</w:t>
            </w:r>
          </w:p>
          <w:p w14:paraId="3388A06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6.具有强大的心电抗干扰能力，耐极化电压：±300mV，</w:t>
            </w:r>
          </w:p>
          <w:p w14:paraId="29448FE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7.心电模式具有诊断、手术、监护、ST模式其中的任意一种</w:t>
            </w:r>
          </w:p>
          <w:p w14:paraId="3898141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8.≥23种心律失常分析，包括房颤、室颤、停搏等；</w:t>
            </w:r>
          </w:p>
          <w:p w14:paraId="4484A50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9.无创血压具有五种测量模式：手动、自动、连续测量；</w:t>
            </w:r>
          </w:p>
          <w:p w14:paraId="4242267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10.具有多种界面显示：标准、大字体、动态趋势、呼吸氧合、等</w:t>
            </w:r>
          </w:p>
          <w:p w14:paraId="236937B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11.用户可自定义调节界面布局波形和参数功能；</w:t>
            </w:r>
          </w:p>
          <w:p w14:paraId="4179A49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12.可支持≥2小时趋势图/表、≥1000组NIBP列表、≥200组报警事件的存储和回顾；</w:t>
            </w:r>
          </w:p>
        </w:tc>
      </w:tr>
      <w:tr w14:paraId="44DE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EA1B06A">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w:t>
            </w:r>
          </w:p>
        </w:tc>
        <w:tc>
          <w:tcPr>
            <w:tcW w:w="1065" w:type="dxa"/>
            <w:vAlign w:val="center"/>
          </w:tcPr>
          <w:p w14:paraId="7F9E3485">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输液泵</w:t>
            </w:r>
          </w:p>
        </w:tc>
        <w:tc>
          <w:tcPr>
            <w:tcW w:w="945" w:type="dxa"/>
            <w:vAlign w:val="center"/>
          </w:tcPr>
          <w:p w14:paraId="0D2DC6C7">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5台</w:t>
            </w:r>
          </w:p>
        </w:tc>
        <w:tc>
          <w:tcPr>
            <w:tcW w:w="7175" w:type="dxa"/>
            <w:vAlign w:val="top"/>
          </w:tcPr>
          <w:p w14:paraId="4C7DE9A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1.全中文显示，方便快捷的人机操作界面。</w:t>
            </w:r>
          </w:p>
          <w:p w14:paraId="2619794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2.速度范围：0.10mL/h～1500mL/h（最小步进 0.01ml/h）。</w:t>
            </w:r>
          </w:p>
          <w:p w14:paraId="7FF1942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3.快进（Bolus）速度范围：0.10mL/h～2000mL/h（最小步进 0.01ml/h）。</w:t>
            </w:r>
          </w:p>
          <w:p w14:paraId="73B66F2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4.输液精度≤±4.5%。</w:t>
            </w:r>
          </w:p>
          <w:p w14:paraId="3ED1174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5.KVO速度设定范围：0.1mL/h～5ml/h 可调。</w:t>
            </w:r>
          </w:p>
          <w:p w14:paraId="58E6DD6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6.具有其中的某种输液模式可选：速度模式、时间模式、体重模式、微量模式、序列模式、首剂量模式、梯度模式、剂量时间模式、间断给药模式、点滴模式。</w:t>
            </w:r>
          </w:p>
          <w:p w14:paraId="422BF0E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7.动态压力检测(DPS)，可实时显示当前压力数值。</w:t>
            </w:r>
          </w:p>
          <w:p w14:paraId="2DF1CED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8.压力自动释放（Anti-Bolus），当管路阻塞报警时，自动回撤管路压力，避免意外丸剂量伤害患者。</w:t>
            </w:r>
          </w:p>
          <w:p w14:paraId="2B8E9BC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9.档阻塞压力阈值可调，最低300mmHg。</w:t>
            </w:r>
          </w:p>
          <w:p w14:paraId="60E1FC3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10.具有排气功能，排除管路内的气泡。</w:t>
            </w:r>
          </w:p>
          <w:p w14:paraId="42E6E64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11.在线滴定功能，更改速度时完全不需要中断输液。</w:t>
            </w:r>
          </w:p>
          <w:p w14:paraId="37987A6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12.气泡检测：可探测≥20μL的单个气泡，单个气泡大小7档可调。</w:t>
            </w:r>
          </w:p>
          <w:p w14:paraId="0946DC8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13.夜间模式：自动降低屏幕亮度和音量，设置时间结束后自动恢复。</w:t>
            </w:r>
          </w:p>
          <w:p w14:paraId="73ACE1B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14.电池工作时间≥5小时</w:t>
            </w:r>
          </w:p>
        </w:tc>
      </w:tr>
      <w:tr w14:paraId="2253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66D480D">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w:t>
            </w:r>
          </w:p>
        </w:tc>
        <w:tc>
          <w:tcPr>
            <w:tcW w:w="1065" w:type="dxa"/>
            <w:vAlign w:val="center"/>
          </w:tcPr>
          <w:p w14:paraId="5056127D">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呼吸湿化治疗仪</w:t>
            </w:r>
          </w:p>
        </w:tc>
        <w:tc>
          <w:tcPr>
            <w:tcW w:w="945" w:type="dxa"/>
            <w:vAlign w:val="center"/>
          </w:tcPr>
          <w:p w14:paraId="10AADB50">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2台</w:t>
            </w:r>
          </w:p>
        </w:tc>
        <w:tc>
          <w:tcPr>
            <w:tcW w:w="7175" w:type="dxa"/>
            <w:vAlign w:val="top"/>
          </w:tcPr>
          <w:p w14:paraId="14DC785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1.适用人群：成人、小儿。</w:t>
            </w:r>
          </w:p>
          <w:p w14:paraId="2A1C70B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2.不小于4.3英寸触摸显示屏，支持触摸、飞梭双重操作，简便快捷。</w:t>
            </w:r>
          </w:p>
          <w:p w14:paraId="06EB3E1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3.流量设置范围不小于：2～70L/Min。</w:t>
            </w:r>
          </w:p>
          <w:p w14:paraId="7AF6F59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4.内置电子空氧混合系统，氧浓度设置和监测范围：21%～100%，测量精度：设定值的±3%。 </w:t>
            </w:r>
          </w:p>
          <w:p w14:paraId="7C64273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5.采用高性能涡轮驱动，无需压缩空气源。 </w:t>
            </w:r>
          </w:p>
          <w:p w14:paraId="5D0C3B0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6.温度设置范围：儿童模式：34℃，成人模式：31℃-37℃</w:t>
            </w:r>
          </w:p>
        </w:tc>
      </w:tr>
      <w:tr w14:paraId="5AD3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B99A8B2">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w:t>
            </w:r>
          </w:p>
        </w:tc>
        <w:tc>
          <w:tcPr>
            <w:tcW w:w="1065" w:type="dxa"/>
            <w:vAlign w:val="center"/>
          </w:tcPr>
          <w:p w14:paraId="7ADD01C8">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气动式高频振荡排痰系统</w:t>
            </w:r>
          </w:p>
        </w:tc>
        <w:tc>
          <w:tcPr>
            <w:tcW w:w="945" w:type="dxa"/>
            <w:vAlign w:val="center"/>
          </w:tcPr>
          <w:p w14:paraId="32EB8756">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2台</w:t>
            </w:r>
          </w:p>
        </w:tc>
        <w:tc>
          <w:tcPr>
            <w:tcW w:w="7175" w:type="dxa"/>
            <w:vAlign w:val="top"/>
          </w:tcPr>
          <w:p w14:paraId="1E79CBD9">
            <w:pPr>
              <w:spacing w:line="240" w:lineRule="auto"/>
              <w:rPr>
                <w:rFonts w:hint="eastAsia" w:ascii="仿宋" w:hAnsi="仿宋" w:eastAsia="仿宋" w:cs="仿宋"/>
                <w:b w:val="0"/>
                <w:bCs/>
                <w:color w:val="auto"/>
                <w:sz w:val="21"/>
                <w:szCs w:val="21"/>
                <w:highlight w:val="none"/>
                <w:vertAlign w:val="baseline"/>
                <w:lang w:val="en-US" w:eastAsia="zh-CN"/>
              </w:rPr>
            </w:pPr>
            <w:r>
              <w:rPr>
                <w:rFonts w:hint="eastAsia" w:ascii="仿宋" w:hAnsi="仿宋" w:eastAsia="仿宋" w:cs="仿宋"/>
                <w:b w:val="0"/>
                <w:bCs/>
                <w:color w:val="auto"/>
                <w:sz w:val="21"/>
                <w:szCs w:val="21"/>
                <w:highlight w:val="none"/>
                <w:vertAlign w:val="baseline"/>
                <w:lang w:val="en-US" w:eastAsia="zh-CN"/>
              </w:rPr>
              <w:t>功能参数</w:t>
            </w:r>
          </w:p>
          <w:p w14:paraId="5CDD7C9D">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bidi="ar-SA"/>
              </w:rPr>
              <w:t>1.</w:t>
            </w:r>
            <w:r>
              <w:rPr>
                <w:rFonts w:hint="eastAsia" w:ascii="仿宋" w:hAnsi="仿宋" w:eastAsia="仿宋" w:cs="仿宋"/>
                <w:b w:val="0"/>
                <w:bCs/>
                <w:color w:val="auto"/>
                <w:kern w:val="0"/>
                <w:sz w:val="21"/>
                <w:szCs w:val="21"/>
                <w:highlight w:val="none"/>
                <w:lang w:val="en-US" w:eastAsia="zh-CN"/>
              </w:rPr>
              <w:t>高清屏幕，全中文导航；</w:t>
            </w:r>
          </w:p>
          <w:p w14:paraId="62E25587">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bidi="ar-SA"/>
              </w:rPr>
              <w:t>2.</w:t>
            </w:r>
            <w:r>
              <w:rPr>
                <w:rFonts w:hint="eastAsia" w:ascii="仿宋" w:hAnsi="仿宋" w:eastAsia="仿宋" w:cs="仿宋"/>
                <w:b w:val="0"/>
                <w:bCs/>
                <w:color w:val="auto"/>
                <w:kern w:val="0"/>
                <w:sz w:val="21"/>
                <w:szCs w:val="21"/>
                <w:highlight w:val="none"/>
                <w:lang w:val="en-US" w:eastAsia="zh-CN"/>
              </w:rPr>
              <w:t>训练模式：手动模式，多种自动模式；</w:t>
            </w:r>
          </w:p>
          <w:p w14:paraId="5A74770C">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bidi="ar-SA"/>
              </w:rPr>
              <w:t>3.</w:t>
            </w:r>
            <w:r>
              <w:rPr>
                <w:rFonts w:hint="eastAsia" w:ascii="仿宋" w:hAnsi="仿宋" w:eastAsia="仿宋" w:cs="仿宋"/>
                <w:b w:val="0"/>
                <w:bCs/>
                <w:color w:val="auto"/>
                <w:kern w:val="0"/>
                <w:sz w:val="21"/>
                <w:szCs w:val="21"/>
                <w:highlight w:val="none"/>
                <w:lang w:val="en-US" w:eastAsia="zh-CN"/>
              </w:rPr>
              <w:t>手动模式具备自定义功能，自动保存上次参数；</w:t>
            </w:r>
          </w:p>
          <w:p w14:paraId="5504FD7B">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1"/>
                <w:szCs w:val="21"/>
                <w:highlight w:val="none"/>
                <w:lang w:eastAsia="zh-CN"/>
              </w:rPr>
            </w:pPr>
            <w:r>
              <w:rPr>
                <w:rFonts w:hint="eastAsia" w:ascii="仿宋" w:hAnsi="仿宋" w:eastAsia="仿宋" w:cs="仿宋"/>
                <w:b w:val="0"/>
                <w:bCs/>
                <w:color w:val="auto"/>
                <w:kern w:val="2"/>
                <w:sz w:val="21"/>
                <w:szCs w:val="21"/>
                <w:highlight w:val="none"/>
                <w:lang w:val="en-US" w:eastAsia="zh-CN" w:bidi="ar-SA"/>
              </w:rPr>
              <w:t>4.</w:t>
            </w:r>
            <w:r>
              <w:rPr>
                <w:rFonts w:hint="eastAsia" w:ascii="仿宋" w:hAnsi="仿宋" w:eastAsia="仿宋" w:cs="仿宋"/>
                <w:b w:val="0"/>
                <w:bCs/>
                <w:color w:val="auto"/>
                <w:kern w:val="0"/>
                <w:sz w:val="21"/>
                <w:szCs w:val="21"/>
                <w:highlight w:val="none"/>
                <w:lang w:val="en-US" w:eastAsia="zh-CN"/>
              </w:rPr>
              <w:t>性能参数：频率最大不低于20Hz；压力最高≥</w:t>
            </w:r>
            <w:r>
              <w:rPr>
                <w:rFonts w:hint="eastAsia" w:ascii="仿宋" w:hAnsi="仿宋" w:eastAsia="仿宋" w:cs="仿宋"/>
                <w:b w:val="0"/>
                <w:bCs/>
                <w:color w:val="auto"/>
                <w:sz w:val="21"/>
                <w:szCs w:val="21"/>
                <w:highlight w:val="none"/>
              </w:rPr>
              <w:t>4.</w:t>
            </w:r>
            <w:r>
              <w:rPr>
                <w:rFonts w:hint="eastAsia" w:ascii="仿宋" w:hAnsi="仿宋" w:eastAsia="仿宋" w:cs="仿宋"/>
                <w:b w:val="0"/>
                <w:bCs/>
                <w:color w:val="auto"/>
                <w:sz w:val="21"/>
                <w:szCs w:val="21"/>
                <w:highlight w:val="none"/>
                <w:lang w:val="en-US" w:eastAsia="zh-CN"/>
              </w:rPr>
              <w:t>0</w:t>
            </w:r>
            <w:r>
              <w:rPr>
                <w:rFonts w:hint="eastAsia" w:ascii="仿宋" w:hAnsi="仿宋" w:eastAsia="仿宋" w:cs="仿宋"/>
                <w:b w:val="0"/>
                <w:bCs/>
                <w:color w:val="auto"/>
                <w:sz w:val="21"/>
                <w:szCs w:val="21"/>
                <w:highlight w:val="none"/>
              </w:rPr>
              <w:t>kpa</w:t>
            </w:r>
            <w:r>
              <w:rPr>
                <w:rFonts w:hint="eastAsia" w:ascii="仿宋" w:hAnsi="仿宋" w:eastAsia="仿宋" w:cs="仿宋"/>
                <w:b w:val="0"/>
                <w:bCs/>
                <w:color w:val="auto"/>
                <w:kern w:val="0"/>
                <w:sz w:val="21"/>
                <w:szCs w:val="21"/>
                <w:highlight w:val="none"/>
                <w:lang w:val="en-US" w:eastAsia="zh-CN"/>
              </w:rPr>
              <w:t>，多段可调</w:t>
            </w:r>
            <w:r>
              <w:rPr>
                <w:rFonts w:hint="eastAsia" w:ascii="仿宋" w:hAnsi="仿宋" w:eastAsia="仿宋" w:cs="仿宋"/>
                <w:b w:val="0"/>
                <w:bCs/>
                <w:color w:val="auto"/>
                <w:sz w:val="21"/>
                <w:szCs w:val="21"/>
                <w:highlight w:val="none"/>
                <w:lang w:eastAsia="zh-CN"/>
              </w:rPr>
              <w:t>；</w:t>
            </w:r>
          </w:p>
          <w:p w14:paraId="418081DF">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kern w:val="2"/>
                <w:sz w:val="21"/>
                <w:szCs w:val="21"/>
                <w:highlight w:val="none"/>
                <w:lang w:val="en-US" w:eastAsia="zh-CN" w:bidi="ar-SA"/>
              </w:rPr>
              <w:t>5.</w:t>
            </w:r>
            <w:r>
              <w:rPr>
                <w:rFonts w:hint="eastAsia" w:ascii="仿宋" w:hAnsi="仿宋" w:eastAsia="仿宋" w:cs="仿宋"/>
                <w:b w:val="0"/>
                <w:bCs/>
                <w:color w:val="auto"/>
                <w:sz w:val="21"/>
                <w:szCs w:val="21"/>
                <w:highlight w:val="none"/>
              </w:rPr>
              <w:t>时间</w:t>
            </w:r>
            <w:r>
              <w:rPr>
                <w:rFonts w:hint="eastAsia" w:ascii="仿宋" w:hAnsi="仿宋" w:eastAsia="仿宋" w:cs="仿宋"/>
                <w:b w:val="0"/>
                <w:bCs/>
                <w:color w:val="auto"/>
                <w:sz w:val="21"/>
                <w:szCs w:val="21"/>
                <w:highlight w:val="none"/>
                <w:lang w:eastAsia="zh-CN"/>
              </w:rPr>
              <w:t>：</w:t>
            </w:r>
            <w:r>
              <w:rPr>
                <w:rFonts w:hint="eastAsia" w:ascii="仿宋" w:hAnsi="仿宋" w:eastAsia="仿宋" w:cs="仿宋"/>
                <w:b w:val="0"/>
                <w:bCs/>
                <w:color w:val="auto"/>
                <w:sz w:val="21"/>
                <w:szCs w:val="21"/>
                <w:highlight w:val="none"/>
                <w:lang w:val="en-US" w:eastAsia="zh-CN"/>
              </w:rPr>
              <w:t>时间步距为1min，连续可调；</w:t>
            </w:r>
          </w:p>
          <w:p w14:paraId="1E044FAF">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kern w:val="2"/>
                <w:sz w:val="21"/>
                <w:szCs w:val="21"/>
                <w:highlight w:val="none"/>
                <w:lang w:val="en-US" w:eastAsia="zh-CN" w:bidi="ar-SA"/>
              </w:rPr>
              <w:t>6.</w:t>
            </w:r>
            <w:r>
              <w:rPr>
                <w:rFonts w:hint="eastAsia" w:ascii="仿宋" w:hAnsi="仿宋" w:eastAsia="仿宋" w:cs="仿宋"/>
                <w:b w:val="0"/>
                <w:bCs/>
                <w:color w:val="auto"/>
                <w:sz w:val="21"/>
                <w:szCs w:val="21"/>
                <w:highlight w:val="none"/>
              </w:rPr>
              <w:t>模式：</w:t>
            </w:r>
            <w:r>
              <w:rPr>
                <w:rFonts w:hint="eastAsia" w:ascii="仿宋" w:hAnsi="仿宋" w:eastAsia="仿宋" w:cs="仿宋"/>
                <w:bCs/>
                <w:color w:val="auto"/>
                <w:highlight w:val="none"/>
                <w:vertAlign w:val="baseline"/>
                <w:lang w:val="en-US" w:eastAsia="zh-CN"/>
              </w:rPr>
              <w:t>≥</w:t>
            </w:r>
            <w:r>
              <w:rPr>
                <w:rFonts w:hint="eastAsia" w:ascii="仿宋" w:hAnsi="仿宋" w:eastAsia="仿宋" w:cs="仿宋"/>
                <w:b w:val="0"/>
                <w:bCs/>
                <w:color w:val="auto"/>
                <w:sz w:val="21"/>
                <w:szCs w:val="21"/>
                <w:highlight w:val="none"/>
                <w:lang w:val="en-US" w:eastAsia="zh-CN"/>
              </w:rPr>
              <w:t>4种治疗参数模式。</w:t>
            </w:r>
          </w:p>
          <w:p w14:paraId="47DD8B05">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kern w:val="2"/>
                <w:sz w:val="21"/>
                <w:szCs w:val="21"/>
                <w:highlight w:val="none"/>
                <w:lang w:val="en-US" w:eastAsia="zh-CN" w:bidi="ar-SA"/>
              </w:rPr>
              <w:t>7.</w:t>
            </w:r>
            <w:r>
              <w:rPr>
                <w:rFonts w:hint="eastAsia" w:ascii="仿宋" w:hAnsi="仿宋" w:eastAsia="仿宋" w:cs="仿宋"/>
                <w:b w:val="0"/>
                <w:bCs/>
                <w:color w:val="auto"/>
                <w:sz w:val="21"/>
                <w:szCs w:val="21"/>
                <w:highlight w:val="none"/>
                <w:lang w:val="en-US" w:eastAsia="zh-CN"/>
              </w:rPr>
              <w:t>导气软管连接得可靠性：设备连接软管应连接可靠牢固，连接力不小于20N管路与设备和充气气囊不分离。</w:t>
            </w:r>
          </w:p>
          <w:p w14:paraId="11CCC2A6">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kern w:val="2"/>
                <w:sz w:val="21"/>
                <w:szCs w:val="21"/>
                <w:highlight w:val="none"/>
                <w:lang w:val="en-US" w:eastAsia="zh-CN" w:bidi="ar-SA"/>
              </w:rPr>
              <w:t>8.</w:t>
            </w:r>
            <w:r>
              <w:rPr>
                <w:rFonts w:hint="eastAsia" w:ascii="仿宋" w:hAnsi="仿宋" w:eastAsia="仿宋" w:cs="仿宋"/>
                <w:b w:val="0"/>
                <w:bCs/>
                <w:color w:val="auto"/>
                <w:sz w:val="21"/>
                <w:szCs w:val="21"/>
                <w:highlight w:val="none"/>
                <w:lang w:val="en-US" w:eastAsia="zh-CN"/>
              </w:rPr>
              <w:t>具备设备累计工作时间查询功能；</w:t>
            </w:r>
          </w:p>
          <w:p w14:paraId="2E5A19AB">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bidi="ar-SA"/>
              </w:rPr>
              <w:t>9.</w:t>
            </w:r>
            <w:r>
              <w:rPr>
                <w:rFonts w:hint="eastAsia" w:ascii="仿宋" w:hAnsi="仿宋" w:eastAsia="仿宋" w:cs="仿宋"/>
                <w:b w:val="0"/>
                <w:bCs/>
                <w:color w:val="auto"/>
                <w:spacing w:val="6"/>
                <w:sz w:val="21"/>
                <w:szCs w:val="21"/>
                <w:highlight w:val="none"/>
              </w:rPr>
              <w:t>工作噪音：设备在正常工作时</w:t>
            </w:r>
            <w:r>
              <w:rPr>
                <w:rFonts w:hint="eastAsia" w:ascii="仿宋" w:hAnsi="仿宋" w:eastAsia="仿宋" w:cs="仿宋"/>
                <w:b w:val="0"/>
                <w:bCs/>
                <w:color w:val="auto"/>
                <w:spacing w:val="6"/>
                <w:sz w:val="21"/>
                <w:szCs w:val="21"/>
                <w:highlight w:val="none"/>
                <w:lang w:eastAsia="zh-CN"/>
              </w:rPr>
              <w:t>（</w:t>
            </w:r>
            <w:r>
              <w:rPr>
                <w:rFonts w:hint="eastAsia" w:ascii="仿宋" w:hAnsi="仿宋" w:eastAsia="仿宋" w:cs="仿宋"/>
                <w:b w:val="0"/>
                <w:bCs/>
                <w:color w:val="auto"/>
                <w:spacing w:val="6"/>
                <w:sz w:val="21"/>
                <w:szCs w:val="21"/>
                <w:highlight w:val="none"/>
                <w:lang w:val="en-US" w:eastAsia="zh-CN"/>
              </w:rPr>
              <w:t>例如自动模式时</w:t>
            </w:r>
            <w:r>
              <w:rPr>
                <w:rFonts w:hint="eastAsia" w:ascii="仿宋" w:hAnsi="仿宋" w:eastAsia="仿宋" w:cs="仿宋"/>
                <w:b w:val="0"/>
                <w:bCs/>
                <w:color w:val="auto"/>
                <w:spacing w:val="6"/>
                <w:sz w:val="21"/>
                <w:szCs w:val="21"/>
                <w:highlight w:val="none"/>
                <w:lang w:eastAsia="zh-CN"/>
              </w:rPr>
              <w:t>）</w:t>
            </w:r>
            <w:r>
              <w:rPr>
                <w:rFonts w:hint="eastAsia" w:ascii="仿宋" w:hAnsi="仿宋" w:eastAsia="仿宋" w:cs="仿宋"/>
                <w:b w:val="0"/>
                <w:bCs/>
                <w:color w:val="auto"/>
                <w:spacing w:val="6"/>
                <w:sz w:val="21"/>
                <w:szCs w:val="21"/>
                <w:highlight w:val="none"/>
              </w:rPr>
              <w:t xml:space="preserve">，噪声不超过 </w:t>
            </w:r>
            <w:r>
              <w:rPr>
                <w:rFonts w:hint="eastAsia" w:ascii="仿宋" w:hAnsi="仿宋" w:eastAsia="仿宋" w:cs="仿宋"/>
                <w:b w:val="0"/>
                <w:bCs/>
                <w:color w:val="auto"/>
                <w:spacing w:val="6"/>
                <w:sz w:val="21"/>
                <w:szCs w:val="21"/>
                <w:highlight w:val="none"/>
                <w:lang w:val="en-US" w:eastAsia="zh-CN"/>
              </w:rPr>
              <w:t>60</w:t>
            </w:r>
            <w:r>
              <w:rPr>
                <w:rFonts w:hint="eastAsia" w:ascii="仿宋" w:hAnsi="仿宋" w:eastAsia="仿宋" w:cs="仿宋"/>
                <w:b w:val="0"/>
                <w:bCs/>
                <w:color w:val="auto"/>
                <w:sz w:val="21"/>
                <w:szCs w:val="21"/>
                <w:highlight w:val="none"/>
              </w:rPr>
              <w:t>dB</w:t>
            </w:r>
            <w:r>
              <w:rPr>
                <w:rFonts w:hint="eastAsia" w:ascii="仿宋" w:hAnsi="仿宋" w:eastAsia="仿宋" w:cs="仿宋"/>
                <w:b w:val="0"/>
                <w:bCs/>
                <w:color w:val="auto"/>
                <w:spacing w:val="6"/>
                <w:sz w:val="21"/>
                <w:szCs w:val="21"/>
                <w:highlight w:val="none"/>
              </w:rPr>
              <w:t xml:space="preserve"> </w:t>
            </w:r>
            <w:r>
              <w:rPr>
                <w:rFonts w:hint="eastAsia" w:ascii="仿宋" w:hAnsi="仿宋" w:eastAsia="仿宋" w:cs="仿宋"/>
                <w:b w:val="0"/>
                <w:bCs/>
                <w:color w:val="auto"/>
                <w:sz w:val="21"/>
                <w:szCs w:val="21"/>
                <w:highlight w:val="none"/>
                <w:lang w:eastAsia="zh-CN"/>
              </w:rPr>
              <w:t>；</w:t>
            </w:r>
          </w:p>
          <w:p w14:paraId="7B9EB50B">
            <w:pPr>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kern w:val="2"/>
                <w:sz w:val="21"/>
                <w:szCs w:val="21"/>
                <w:highlight w:val="none"/>
                <w:lang w:val="en-US" w:eastAsia="zh-CN" w:bidi="ar-SA"/>
              </w:rPr>
              <w:t>10.</w:t>
            </w:r>
            <w:r>
              <w:rPr>
                <w:rFonts w:hint="eastAsia" w:ascii="仿宋" w:hAnsi="仿宋" w:eastAsia="仿宋" w:cs="仿宋"/>
                <w:b w:val="0"/>
                <w:bCs/>
                <w:color w:val="auto"/>
                <w:sz w:val="21"/>
                <w:szCs w:val="21"/>
                <w:highlight w:val="none"/>
                <w:lang w:val="en-US" w:eastAsia="zh-CN"/>
              </w:rPr>
              <w:t>设备的有效期/使用年限不低于5年。（需要在设备铭牌/标签上明确标注）</w:t>
            </w:r>
          </w:p>
          <w:p w14:paraId="12833356">
            <w:pPr>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配置参数</w:t>
            </w:r>
          </w:p>
          <w:p w14:paraId="198DBB3E">
            <w:pPr>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bidi="ar-SA"/>
              </w:rPr>
              <w:t>1.</w:t>
            </w:r>
            <w:r>
              <w:rPr>
                <w:rFonts w:hint="eastAsia" w:ascii="仿宋" w:hAnsi="仿宋" w:eastAsia="仿宋" w:cs="仿宋"/>
                <w:b w:val="0"/>
                <w:bCs/>
                <w:color w:val="auto"/>
                <w:spacing w:val="7"/>
                <w:sz w:val="21"/>
                <w:szCs w:val="21"/>
                <w:highlight w:val="none"/>
              </w:rPr>
              <w:t>厂家可提供</w:t>
            </w:r>
            <w:r>
              <w:rPr>
                <w:rFonts w:hint="eastAsia" w:ascii="仿宋" w:hAnsi="仿宋" w:eastAsia="仿宋" w:cs="仿宋"/>
                <w:b w:val="0"/>
                <w:bCs/>
                <w:color w:val="auto"/>
                <w:spacing w:val="7"/>
                <w:sz w:val="21"/>
                <w:szCs w:val="21"/>
                <w:highlight w:val="none"/>
                <w:lang w:val="en-US" w:eastAsia="zh-CN"/>
              </w:rPr>
              <w:t>多</w:t>
            </w:r>
            <w:r>
              <w:rPr>
                <w:rFonts w:hint="eastAsia" w:ascii="仿宋" w:hAnsi="仿宋" w:eastAsia="仿宋" w:cs="仿宋"/>
                <w:b w:val="0"/>
                <w:bCs/>
                <w:color w:val="auto"/>
                <w:spacing w:val="7"/>
                <w:sz w:val="21"/>
                <w:szCs w:val="21"/>
                <w:highlight w:val="none"/>
              </w:rPr>
              <w:t>种背心规格供医院选择</w:t>
            </w:r>
            <w:r>
              <w:rPr>
                <w:rFonts w:hint="eastAsia" w:ascii="仿宋" w:hAnsi="仿宋" w:eastAsia="仿宋" w:cs="仿宋"/>
                <w:b w:val="0"/>
                <w:bCs/>
                <w:color w:val="auto"/>
                <w:spacing w:val="4"/>
                <w:sz w:val="21"/>
                <w:szCs w:val="21"/>
                <w:highlight w:val="none"/>
              </w:rPr>
              <w:t>；</w:t>
            </w:r>
          </w:p>
          <w:p w14:paraId="41B82000">
            <w:pPr>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bidi="ar-SA"/>
              </w:rPr>
              <w:t>2.</w:t>
            </w:r>
            <w:r>
              <w:rPr>
                <w:rFonts w:hint="eastAsia" w:ascii="仿宋" w:hAnsi="仿宋" w:eastAsia="仿宋" w:cs="仿宋"/>
                <w:b w:val="0"/>
                <w:bCs/>
                <w:color w:val="auto"/>
                <w:kern w:val="0"/>
                <w:sz w:val="21"/>
                <w:szCs w:val="21"/>
                <w:highlight w:val="none"/>
                <w:lang w:val="en-US" w:eastAsia="zh-CN"/>
              </w:rPr>
              <w:t>充气背心具备腹部防振动结构，除可拆卸背心外，可配备可拆卸内衬避免交叉感染；</w:t>
            </w:r>
          </w:p>
          <w:p w14:paraId="1364C75B">
            <w:pPr>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bidi="ar-SA"/>
              </w:rPr>
              <w:t>3.</w:t>
            </w:r>
            <w:r>
              <w:rPr>
                <w:rFonts w:hint="eastAsia" w:ascii="仿宋" w:hAnsi="仿宋" w:eastAsia="仿宋" w:cs="仿宋"/>
                <w:b w:val="0"/>
                <w:bCs/>
                <w:color w:val="auto"/>
                <w:kern w:val="0"/>
                <w:sz w:val="21"/>
                <w:szCs w:val="21"/>
                <w:highlight w:val="none"/>
                <w:lang w:val="en-US" w:eastAsia="zh-CN"/>
              </w:rPr>
              <w:t>可配备专用台式推车；</w:t>
            </w:r>
          </w:p>
          <w:p w14:paraId="5F8997AE">
            <w:pPr>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电气</w:t>
            </w:r>
            <w:r>
              <w:rPr>
                <w:rFonts w:hint="eastAsia" w:ascii="仿宋" w:hAnsi="仿宋" w:eastAsia="仿宋" w:cs="仿宋"/>
                <w:b w:val="0"/>
                <w:bCs/>
                <w:color w:val="auto"/>
                <w:kern w:val="0"/>
                <w:sz w:val="21"/>
                <w:szCs w:val="21"/>
                <w:highlight w:val="none"/>
              </w:rPr>
              <w:t>参数</w:t>
            </w:r>
          </w:p>
          <w:p w14:paraId="141C6434">
            <w:pPr>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1.</w:t>
            </w:r>
            <w:r>
              <w:rPr>
                <w:rFonts w:hint="eastAsia" w:ascii="仿宋" w:hAnsi="仿宋" w:eastAsia="仿宋" w:cs="仿宋"/>
                <w:b w:val="0"/>
                <w:bCs/>
                <w:color w:val="auto"/>
                <w:sz w:val="21"/>
                <w:szCs w:val="21"/>
                <w:highlight w:val="none"/>
              </w:rPr>
              <w:t>电源适应性：设备供电在额定电压±10%的范围内，设备的输出</w:t>
            </w:r>
            <w:r>
              <w:rPr>
                <w:rFonts w:hint="eastAsia" w:ascii="仿宋" w:hAnsi="仿宋" w:eastAsia="仿宋" w:cs="仿宋"/>
                <w:b w:val="0"/>
                <w:bCs/>
                <w:color w:val="auto"/>
                <w:sz w:val="21"/>
                <w:szCs w:val="21"/>
                <w:highlight w:val="none"/>
                <w:lang w:val="en-US" w:eastAsia="zh-CN"/>
              </w:rPr>
              <w:t>气</w:t>
            </w:r>
            <w:r>
              <w:rPr>
                <w:rFonts w:hint="eastAsia" w:ascii="仿宋" w:hAnsi="仿宋" w:eastAsia="仿宋" w:cs="仿宋"/>
                <w:b w:val="0"/>
                <w:bCs/>
                <w:color w:val="auto"/>
                <w:sz w:val="21"/>
                <w:szCs w:val="21"/>
                <w:highlight w:val="none"/>
              </w:rPr>
              <w:t>动频率和最大气动压力变化率应不超过±10%</w:t>
            </w:r>
          </w:p>
          <w:p w14:paraId="60C4B070">
            <w:pPr>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2.</w:t>
            </w:r>
            <w:r>
              <w:rPr>
                <w:rFonts w:hint="eastAsia" w:ascii="仿宋" w:hAnsi="仿宋" w:eastAsia="仿宋" w:cs="仿宋"/>
                <w:b w:val="0"/>
                <w:bCs/>
                <w:color w:val="auto"/>
                <w:sz w:val="21"/>
                <w:szCs w:val="21"/>
                <w:highlight w:val="none"/>
              </w:rPr>
              <w:t>环境温度：-10℃～＋40℃</w:t>
            </w:r>
          </w:p>
          <w:p w14:paraId="792FCEF0">
            <w:pPr>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3.</w:t>
            </w:r>
            <w:r>
              <w:rPr>
                <w:rFonts w:hint="eastAsia" w:ascii="仿宋" w:hAnsi="仿宋" w:eastAsia="仿宋" w:cs="仿宋"/>
                <w:b w:val="0"/>
                <w:bCs/>
                <w:color w:val="auto"/>
                <w:sz w:val="21"/>
                <w:szCs w:val="21"/>
                <w:highlight w:val="none"/>
              </w:rPr>
              <w:t>相对湿度：≤80％</w:t>
            </w:r>
          </w:p>
          <w:p w14:paraId="519D0628">
            <w:pPr>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sz w:val="21"/>
                <w:szCs w:val="21"/>
                <w:highlight w:val="none"/>
              </w:rPr>
            </w:pPr>
            <w:r>
              <w:rPr>
                <w:rFonts w:hint="eastAsia" w:ascii="仿宋" w:hAnsi="仿宋" w:eastAsia="仿宋" w:cs="仿宋"/>
                <w:b w:val="0"/>
                <w:bCs/>
                <w:color w:val="auto"/>
                <w:kern w:val="2"/>
                <w:sz w:val="21"/>
                <w:szCs w:val="21"/>
                <w:highlight w:val="none"/>
                <w:lang w:val="en-US" w:eastAsia="zh-CN" w:bidi="ar-SA"/>
              </w:rPr>
              <w:t>4.</w:t>
            </w:r>
            <w:r>
              <w:rPr>
                <w:rFonts w:hint="eastAsia" w:ascii="仿宋" w:hAnsi="仿宋" w:eastAsia="仿宋" w:cs="仿宋"/>
                <w:b w:val="0"/>
                <w:bCs/>
                <w:color w:val="auto"/>
                <w:sz w:val="21"/>
                <w:szCs w:val="21"/>
                <w:highlight w:val="none"/>
              </w:rPr>
              <w:t>大气压力：70～106kPa</w:t>
            </w:r>
          </w:p>
          <w:p w14:paraId="56F55578">
            <w:pPr>
              <w:rPr>
                <w:rFonts w:hint="eastAsia" w:ascii="仿宋" w:hAnsi="仿宋" w:eastAsia="仿宋" w:cs="仿宋"/>
                <w:bCs/>
                <w:color w:val="auto"/>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bidi="ar-SA"/>
              </w:rPr>
              <w:t>5.</w:t>
            </w:r>
            <w:r>
              <w:rPr>
                <w:rFonts w:hint="eastAsia" w:ascii="仿宋" w:hAnsi="仿宋" w:eastAsia="仿宋" w:cs="仿宋"/>
                <w:b w:val="0"/>
                <w:bCs/>
                <w:color w:val="auto"/>
                <w:sz w:val="21"/>
                <w:szCs w:val="21"/>
                <w:highlight w:val="none"/>
              </w:rPr>
              <w:t>电源电压：AC220V  50Hz</w:t>
            </w:r>
            <w:r>
              <w:rPr>
                <w:rFonts w:hint="eastAsia" w:ascii="仿宋" w:hAnsi="仿宋" w:eastAsia="仿宋" w:cs="仿宋"/>
                <w:b w:val="0"/>
                <w:bCs/>
                <w:color w:val="auto"/>
                <w:sz w:val="21"/>
                <w:szCs w:val="21"/>
                <w:highlight w:val="none"/>
                <w:lang w:val="en-US" w:eastAsia="zh-CN"/>
              </w:rPr>
              <w:t xml:space="preserve"> </w:t>
            </w:r>
            <w:r>
              <w:rPr>
                <w:rFonts w:hint="eastAsia" w:ascii="仿宋" w:hAnsi="仿宋" w:eastAsia="仿宋" w:cs="仿宋"/>
                <w:b w:val="0"/>
                <w:bCs/>
                <w:color w:val="auto"/>
                <w:sz w:val="21"/>
                <w:szCs w:val="21"/>
                <w:highlight w:val="none"/>
              </w:rPr>
              <w:t>功率：200VA</w:t>
            </w:r>
          </w:p>
        </w:tc>
      </w:tr>
      <w:tr w14:paraId="733D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3A55538B">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w:t>
            </w:r>
          </w:p>
        </w:tc>
        <w:tc>
          <w:tcPr>
            <w:tcW w:w="1065" w:type="dxa"/>
            <w:vAlign w:val="center"/>
          </w:tcPr>
          <w:p w14:paraId="145B2D42">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中医定向透药治疗仪</w:t>
            </w:r>
          </w:p>
        </w:tc>
        <w:tc>
          <w:tcPr>
            <w:tcW w:w="945" w:type="dxa"/>
            <w:vAlign w:val="center"/>
          </w:tcPr>
          <w:p w14:paraId="7567D47E">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1台</w:t>
            </w:r>
          </w:p>
        </w:tc>
        <w:tc>
          <w:tcPr>
            <w:tcW w:w="7175" w:type="dxa"/>
            <w:vAlign w:val="top"/>
          </w:tcPr>
          <w:p w14:paraId="6DC596C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1、适用范围：</w:t>
            </w:r>
          </w:p>
          <w:p w14:paraId="489AAE0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适用于药物导入治疗；用于镇痛，改善局部血液循环、促进炎症消散，软化瘢痕、松解粘连，兴奋神经肌肉组织。</w:t>
            </w:r>
          </w:p>
          <w:p w14:paraId="0ECC9B5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2、工作条件</w:t>
            </w:r>
          </w:p>
          <w:p w14:paraId="3E2E396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a) 环境温度：5℃～40℃；</w:t>
            </w:r>
          </w:p>
          <w:p w14:paraId="1936AD7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b) 相对湿度：90%；</w:t>
            </w:r>
          </w:p>
          <w:p w14:paraId="255F6C9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c) 大气压力：700hPa～1060hPa；</w:t>
            </w:r>
          </w:p>
          <w:p w14:paraId="44AF762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d) 电源/频率：AC 220V±22V  50Hz±1Hz；</w:t>
            </w:r>
          </w:p>
          <w:p w14:paraId="34D0AA6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e) 额定输入功率：120VA。</w:t>
            </w:r>
          </w:p>
          <w:p w14:paraId="22702BF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3、安全类型：Ⅰ类  BF型</w:t>
            </w:r>
          </w:p>
          <w:p w14:paraId="2B5C94E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4、载波波形：方形脉冲波，脉冲宽度为≤500μs</w:t>
            </w:r>
          </w:p>
          <w:p w14:paraId="1DED6C2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5、载波频率：≤2kHz，</w:t>
            </w:r>
          </w:p>
          <w:p w14:paraId="51EDF93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6、调制幅度：低频调制中频的调幅度为100%，允差±5%。</w:t>
            </w:r>
          </w:p>
          <w:p w14:paraId="1BEF0B0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7、输出波形：三角波、锯齿波、菱形波、正弦波、方波</w:t>
            </w:r>
          </w:p>
          <w:p w14:paraId="1F9CB4B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8、输出幅度：≤40V</w:t>
            </w:r>
          </w:p>
          <w:p w14:paraId="365FED1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9、输出电流：≤80mA（500Ω负载）</w:t>
            </w:r>
          </w:p>
          <w:p w14:paraId="774CA9E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10、输出电流稳定度：不同负载下的输出电流变化率≤10%。</w:t>
            </w:r>
          </w:p>
          <w:p w14:paraId="432A797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11、输出强度调节：0～99共100级步进调节</w:t>
            </w:r>
          </w:p>
          <w:p w14:paraId="5097E6A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12、热疗温度：25℃～50℃</w:t>
            </w:r>
          </w:p>
          <w:p w14:paraId="6F41FA0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13、热疗电源：共分0～5档，温度由低到高增加，其中0档为关闭热疗输出。</w:t>
            </w:r>
          </w:p>
          <w:p w14:paraId="395D527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14、具有温度加热提示功能</w:t>
            </w:r>
          </w:p>
          <w:p w14:paraId="4DA7E87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15、定时范围：为10min～60min，步进10min。</w:t>
            </w:r>
          </w:p>
          <w:p w14:paraId="0BD5528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16、治疗处方：≤36处方可选</w:t>
            </w:r>
          </w:p>
          <w:p w14:paraId="6FA1336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17、显示与调节功能：具有治疗处方、强度、温度档位、治疗时间的显示与调节功能</w:t>
            </w:r>
          </w:p>
          <w:p w14:paraId="5C45967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18、操作界面：≤10.1英寸LCD彩色触摸液晶显示屏显示与操作</w:t>
            </w:r>
          </w:p>
          <w:p w14:paraId="7D52E81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19、提示功能：具有状态提示、超温提示、通道故障、操作及治疗结束提示功能</w:t>
            </w:r>
          </w:p>
          <w:p w14:paraId="5E313DA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20、保护功能：具有输出断路、短路及超温保护功能。</w:t>
            </w:r>
          </w:p>
          <w:p w14:paraId="46E36FB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21、输出通道: 四通道独立输出，每路输出可单独调节治疗处方、强度、温度档位、治疗时间，4个人可以同时使用，也可以多个部位同时进行治疗。</w:t>
            </w:r>
          </w:p>
        </w:tc>
      </w:tr>
      <w:tr w14:paraId="59F6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C70FADA">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w:t>
            </w:r>
          </w:p>
        </w:tc>
        <w:tc>
          <w:tcPr>
            <w:tcW w:w="1065" w:type="dxa"/>
            <w:vAlign w:val="center"/>
          </w:tcPr>
          <w:p w14:paraId="332CFD6D">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脉冲磁治疗仪</w:t>
            </w:r>
          </w:p>
        </w:tc>
        <w:tc>
          <w:tcPr>
            <w:tcW w:w="945" w:type="dxa"/>
            <w:vAlign w:val="center"/>
          </w:tcPr>
          <w:p w14:paraId="301226C5">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1台</w:t>
            </w:r>
          </w:p>
        </w:tc>
        <w:tc>
          <w:tcPr>
            <w:tcW w:w="7175" w:type="dxa"/>
            <w:vAlign w:val="top"/>
          </w:tcPr>
          <w:p w14:paraId="138294C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1、磁场感应强度为（mT）：</w:t>
            </w:r>
          </w:p>
          <w:p w14:paraId="516BA90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第一档  ≥ 20mT</w:t>
            </w:r>
          </w:p>
          <w:p w14:paraId="5CCCBC6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第二档  ≥ 40mT</w:t>
            </w:r>
          </w:p>
          <w:p w14:paraId="5D7ABF2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第三档  ≥ 60mT</w:t>
            </w:r>
          </w:p>
          <w:p w14:paraId="7662AA5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第四、五档  ≥ 80mT</w:t>
            </w:r>
          </w:p>
          <w:p w14:paraId="0109737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备注：1mT=10GS</w:t>
            </w:r>
          </w:p>
          <w:p w14:paraId="39F0E10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2、脉冲频率：20、30、40、50、60、 70、80次/分，误差为±15%。</w:t>
            </w:r>
          </w:p>
          <w:p w14:paraId="15CFF42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3、治疗时间：1～99min,步长为1min，误差±15%。</w:t>
            </w:r>
          </w:p>
          <w:p w14:paraId="21256A3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4、7种脉冲频率搭配5档磁场感应强度组合出35种治疗处方。</w:t>
            </w:r>
          </w:p>
          <w:p w14:paraId="2797E4C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5、液晶屏幕显示，数据信息一目了然。</w:t>
            </w:r>
          </w:p>
          <w:p w14:paraId="2ED2F68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6、提供两种震动按摩模式，让病患体感舒适，提升治疗效果。</w:t>
            </w:r>
          </w:p>
          <w:p w14:paraId="52E9E01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7、双磁垫配置，既可以对置摆放也可以平置摆放，既可以同性极输出也可以异性极输出。</w:t>
            </w:r>
          </w:p>
          <w:p w14:paraId="663EF96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8、使用环境</w:t>
            </w:r>
          </w:p>
          <w:p w14:paraId="796B477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温度：5℃ ～40℃</w:t>
            </w:r>
          </w:p>
          <w:p w14:paraId="4A7B43C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湿度：≤85%</w:t>
            </w:r>
          </w:p>
          <w:p w14:paraId="75D9F87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9、大气压力：700hPa ～1060hPa</w:t>
            </w:r>
          </w:p>
          <w:p w14:paraId="1722285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10、电源：～220V， 50Hz</w:t>
            </w:r>
          </w:p>
          <w:p w14:paraId="5087598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11、输入功率：≤400VA</w:t>
            </w:r>
          </w:p>
          <w:p w14:paraId="6424EB9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12、主机尺寸：320×215×100（mm）</w:t>
            </w:r>
          </w:p>
          <w:p w14:paraId="19C8668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13、安全类型：I类B型应用部分</w:t>
            </w:r>
          </w:p>
          <w:p w14:paraId="7AE7A4E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14、熔断器： F10AL250V</w:t>
            </w:r>
          </w:p>
        </w:tc>
      </w:tr>
      <w:tr w14:paraId="032D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343AE5C">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w:t>
            </w:r>
          </w:p>
        </w:tc>
        <w:tc>
          <w:tcPr>
            <w:tcW w:w="1065" w:type="dxa"/>
            <w:vAlign w:val="center"/>
          </w:tcPr>
          <w:p w14:paraId="635A0CB7">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注射泵</w:t>
            </w:r>
          </w:p>
        </w:tc>
        <w:tc>
          <w:tcPr>
            <w:tcW w:w="945" w:type="dxa"/>
            <w:vAlign w:val="center"/>
          </w:tcPr>
          <w:p w14:paraId="034AD01F">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6台</w:t>
            </w:r>
          </w:p>
        </w:tc>
        <w:tc>
          <w:tcPr>
            <w:tcW w:w="7175" w:type="dxa"/>
            <w:vAlign w:val="top"/>
          </w:tcPr>
          <w:p w14:paraId="67F992E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1.适用注射器规格：5ml、10ml、20ml、30ml、50（60）ml所有符合标准的注射器。</w:t>
            </w:r>
          </w:p>
          <w:p w14:paraId="0D33E33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2.速度范围：0.10～1500mL/h，最小步进 0.01ml/h。</w:t>
            </w:r>
          </w:p>
          <w:p w14:paraId="4AB1235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3.快进（Bolus）速度范围：0.10mL/h～1500mL/h，最小步进 0.01ml/h。</w:t>
            </w:r>
          </w:p>
          <w:p w14:paraId="2994232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4.注射精度≤±2%。</w:t>
            </w:r>
          </w:p>
          <w:p w14:paraId="4FB353E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5.KVO速度设定范围：0.5mL/h～5ml/h 可调。</w:t>
            </w:r>
          </w:p>
          <w:p w14:paraId="015D9AA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6.注射模式满足其中任意一种：速度模式、时间模式、体重模式、间断给药模式、梯度模式、剂量时间模式、序列模式、微量模式、首剂量模式。</w:t>
            </w:r>
          </w:p>
          <w:p w14:paraId="7D0037C2">
            <w:pP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7.具有阻塞报警功能</w:t>
            </w:r>
          </w:p>
          <w:p w14:paraId="7D46624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8.电池工作时间≥4小时。</w:t>
            </w:r>
          </w:p>
        </w:tc>
      </w:tr>
      <w:tr w14:paraId="07E9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4D99EFD9">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w:t>
            </w:r>
          </w:p>
        </w:tc>
        <w:tc>
          <w:tcPr>
            <w:tcW w:w="1065" w:type="dxa"/>
            <w:vAlign w:val="center"/>
          </w:tcPr>
          <w:p w14:paraId="424E4EB7">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压缩式雾化器</w:t>
            </w:r>
          </w:p>
        </w:tc>
        <w:tc>
          <w:tcPr>
            <w:tcW w:w="945" w:type="dxa"/>
            <w:vAlign w:val="center"/>
          </w:tcPr>
          <w:p w14:paraId="1036E024">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5台</w:t>
            </w:r>
          </w:p>
        </w:tc>
        <w:tc>
          <w:tcPr>
            <w:tcW w:w="7175" w:type="dxa"/>
            <w:vAlign w:val="top"/>
          </w:tcPr>
          <w:p w14:paraId="75BF07E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1.工作原理:压缩式</w:t>
            </w:r>
          </w:p>
          <w:p w14:paraId="3504C2B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2.喷雾速率:0.25ml/min以上</w:t>
            </w:r>
          </w:p>
          <w:p w14:paraId="1AB0862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3.药液瓶容量:最大7ml </w:t>
            </w:r>
          </w:p>
          <w:p w14:paraId="5D172CE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4.适当药液量:约2～7ml</w:t>
            </w:r>
          </w:p>
          <w:p w14:paraId="1B342C1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5.雾粒直径:3-5uM</w:t>
            </w:r>
          </w:p>
          <w:p w14:paraId="6A32FCA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6.适当药液量:约2-7ml</w:t>
            </w:r>
          </w:p>
          <w:p w14:paraId="7244B61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残液量 :0.7ml以下</w:t>
            </w:r>
          </w:p>
          <w:p w14:paraId="4B85196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7.噪音: 60dB以下</w:t>
            </w:r>
          </w:p>
          <w:p w14:paraId="1B0AF30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8.压力范围:70-130kPa以内</w:t>
            </w:r>
          </w:p>
          <w:p w14:paraId="45C9D7A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9.电源 AC 220V 50HZ</w:t>
            </w:r>
          </w:p>
          <w:p w14:paraId="161590C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10.消费功率:140VA以下</w:t>
            </w:r>
          </w:p>
          <w:p w14:paraId="2C28C57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11.使用温湿度:+10-40℃，30%-85%RH</w:t>
            </w:r>
          </w:p>
          <w:p w14:paraId="228B5B6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12.运输和保存温湿度:-20-+60℃，10%-95%RH</w:t>
            </w:r>
          </w:p>
          <w:p w14:paraId="03F7237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运行大气压力:860～1060hPa</w:t>
            </w:r>
          </w:p>
          <w:p w14:paraId="053E67F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运输和保存大气压力:500～1060hPa</w:t>
            </w:r>
          </w:p>
          <w:p w14:paraId="3A16C06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13.标准配置</w:t>
            </w:r>
            <w:r>
              <w:rPr>
                <w:rFonts w:hint="eastAsia" w:ascii="仿宋" w:hAnsi="仿宋" w:eastAsia="仿宋" w:cs="仿宋"/>
                <w:bCs/>
                <w:color w:val="auto"/>
                <w:highlight w:val="none"/>
                <w:vertAlign w:val="baseline"/>
                <w:lang w:val="en-US" w:eastAsia="zh-CN"/>
              </w:rPr>
              <w:tab/>
            </w:r>
          </w:p>
          <w:p w14:paraId="51CCC8E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13.1.吸入器本体1台</w:t>
            </w:r>
          </w:p>
          <w:p w14:paraId="6583865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13.2.雾化器（药液瓶盖、空气导入管、吸水管/隔片、药液瓶）1套</w:t>
            </w:r>
          </w:p>
          <w:p w14:paraId="2225927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13.3.送气管 1根</w:t>
            </w:r>
          </w:p>
          <w:p w14:paraId="14E1308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13.4.更换用过滤片 1包</w:t>
            </w:r>
          </w:p>
          <w:p w14:paraId="37470B8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13.5.吸嘴 1个</w:t>
            </w:r>
          </w:p>
          <w:p w14:paraId="4EE0879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13.6.吸入面罩（小）1个</w:t>
            </w:r>
          </w:p>
          <w:p w14:paraId="71BE47A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13.7.携带包 1个</w:t>
            </w:r>
          </w:p>
          <w:p w14:paraId="5AA0864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13.8.使用说明书 1本</w:t>
            </w:r>
          </w:p>
          <w:p w14:paraId="63A7A41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13.9.顾客服务一览表 1份</w:t>
            </w:r>
          </w:p>
          <w:p w14:paraId="2E3B0CB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13.10.合格证 1张</w:t>
            </w:r>
          </w:p>
          <w:p w14:paraId="1ED59A5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 常温（23℃、65%RH）的情况下，用生理盐水进行喷雾时随药液的种类变化，中心喷雾速率约0.4ml/分钟，最小喷雾速率不低于0.25ml/分钟；</w:t>
            </w:r>
          </w:p>
          <w:p w14:paraId="51202EB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15.操作简便，易于保养：单键即可控制开关，操作简单便捷，全机身采用抗菌树脂，并且按键设计防水保护，干净卫生；</w:t>
            </w:r>
          </w:p>
        </w:tc>
      </w:tr>
    </w:tbl>
    <w:p w14:paraId="49DAA091">
      <w:pPr>
        <w:rPr>
          <w:rFonts w:hint="eastAsia" w:ascii="仿宋" w:hAnsi="仿宋" w:eastAsia="仿宋" w:cs="仿宋"/>
          <w:bCs/>
          <w:color w:val="auto"/>
          <w:highlight w:val="none"/>
          <w:lang w:val="en-US" w:eastAsia="zh-CN"/>
        </w:rPr>
      </w:pPr>
    </w:p>
    <w:p w14:paraId="0012BF21">
      <w:pPr>
        <w:rPr>
          <w:rFonts w:hint="eastAsia" w:ascii="仿宋" w:hAnsi="仿宋" w:eastAsia="仿宋" w:cs="仿宋"/>
          <w:bCs/>
          <w:color w:val="auto"/>
          <w:highlight w:val="none"/>
          <w:lang w:val="en-US" w:eastAsia="zh-CN"/>
        </w:rPr>
      </w:pPr>
    </w:p>
    <w:p w14:paraId="3A001AE1">
      <w:pPr>
        <w:rPr>
          <w:rFonts w:hint="eastAsia" w:ascii="仿宋" w:hAnsi="仿宋" w:eastAsia="仿宋" w:cs="仿宋"/>
          <w:bCs/>
          <w:color w:val="auto"/>
          <w:highlight w:val="none"/>
          <w:lang w:val="en-US" w:eastAsia="zh-CN"/>
        </w:rPr>
      </w:pPr>
    </w:p>
    <w:p w14:paraId="65EBD21B">
      <w:pPr>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br w:type="page"/>
      </w:r>
    </w:p>
    <w:p w14:paraId="155E46E0">
      <w:pPr>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第二包:急诊</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065"/>
        <w:gridCol w:w="945"/>
        <w:gridCol w:w="7175"/>
      </w:tblGrid>
      <w:tr w14:paraId="7E0E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71" w:type="dxa"/>
            <w:vAlign w:val="center"/>
          </w:tcPr>
          <w:p w14:paraId="3288D878">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序号</w:t>
            </w:r>
          </w:p>
        </w:tc>
        <w:tc>
          <w:tcPr>
            <w:tcW w:w="1065" w:type="dxa"/>
            <w:vAlign w:val="center"/>
          </w:tcPr>
          <w:p w14:paraId="185F1D4E">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产品名称</w:t>
            </w:r>
          </w:p>
        </w:tc>
        <w:tc>
          <w:tcPr>
            <w:tcW w:w="945" w:type="dxa"/>
            <w:vAlign w:val="center"/>
          </w:tcPr>
          <w:p w14:paraId="3CB6AF83">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数量</w:t>
            </w:r>
          </w:p>
        </w:tc>
        <w:tc>
          <w:tcPr>
            <w:tcW w:w="7175" w:type="dxa"/>
            <w:vAlign w:val="center"/>
          </w:tcPr>
          <w:p w14:paraId="48727E24">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技术要求</w:t>
            </w:r>
          </w:p>
        </w:tc>
      </w:tr>
      <w:tr w14:paraId="0CF7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0CC8D2A8">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w:t>
            </w:r>
          </w:p>
        </w:tc>
        <w:tc>
          <w:tcPr>
            <w:tcW w:w="1065" w:type="dxa"/>
            <w:vAlign w:val="center"/>
          </w:tcPr>
          <w:p w14:paraId="7D028604">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监护仪1</w:t>
            </w:r>
          </w:p>
        </w:tc>
        <w:tc>
          <w:tcPr>
            <w:tcW w:w="945" w:type="dxa"/>
            <w:vAlign w:val="center"/>
          </w:tcPr>
          <w:p w14:paraId="5B5B010E">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2台</w:t>
            </w:r>
          </w:p>
        </w:tc>
        <w:tc>
          <w:tcPr>
            <w:tcW w:w="7175" w:type="dxa"/>
          </w:tcPr>
          <w:p w14:paraId="0E3EF9E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1.插件式监护仪，主机内置≥2槽位插件槽。</w:t>
            </w:r>
          </w:p>
          <w:p w14:paraId="1236433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2.≥12.1英寸彩色液晶电容触摸屏，分辨率≥1280×800像素，≥10通道波形显示。</w:t>
            </w:r>
          </w:p>
          <w:p w14:paraId="188836D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3.具有光传感器，根据环境光自动调节屏幕亮度功能。</w:t>
            </w:r>
          </w:p>
          <w:p w14:paraId="18FD44F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4.支持中文手写、拼音、英文3种输入法。</w:t>
            </w:r>
          </w:p>
          <w:p w14:paraId="081FA4F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5.具有单独的电池仓，免螺丝刀拆卸更换电池。</w:t>
            </w:r>
          </w:p>
          <w:p w14:paraId="6C05BFC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6.可监测心电、血氧、脉博、无创血压、呼吸、体温等基础参数，具备双有创血压监测、进口呼末二氧化碳参数模块，可升级Masimo/Nellcor SPO2、C.O.、AG、ICG、麻醉深度、氧浓度、窒息唤醒等参数模块。</w:t>
            </w:r>
          </w:p>
          <w:p w14:paraId="43C0443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7.标配3/5导心电，支持升级6/12导心电，具有智能导联脱落，多导同步分析功能；</w:t>
            </w:r>
          </w:p>
          <w:p w14:paraId="45ECFC1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8.具有强大的心电抗干扰能力，耐极化电压：±850mV，系统噪声≤25μv； </w:t>
            </w:r>
          </w:p>
          <w:p w14:paraId="6302CF1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9.心电模式具有诊断、手术、监护、ST模式，其中手术、监护、ST模式共模抑制能力&gt;106db；具备心拍类型识别功能，可区分正常心拍、异常心拍、起搏心拍；</w:t>
            </w:r>
          </w:p>
          <w:p w14:paraId="3F679BE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10.≥23种心律失常分析，包括房颤、室颤、停搏等；</w:t>
            </w:r>
          </w:p>
          <w:p w14:paraId="713BFA0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11.具有心率变异性分析功能；</w:t>
            </w:r>
          </w:p>
          <w:p w14:paraId="48D239F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12.支持升级Glasgow12导静息心电分析，适用于成人、小儿和新生儿；</w:t>
            </w:r>
          </w:p>
          <w:p w14:paraId="5A0ED9C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13.具有ST段分析和ST View功能，可实时监测ST段，评估心肌缺血，测量范围-2.5mV-+2.5mV;</w:t>
            </w:r>
          </w:p>
          <w:p w14:paraId="4C81EE3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14.具有QT/QTc测量功能，提供QT、QTc参数值，测量范围：200ms-800ms；</w:t>
            </w:r>
          </w:p>
          <w:p w14:paraId="08916D9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15.无创血压具有五种测量模式：手动、自动、序列、整点和连续测量；具有动态血压监测界面 </w:t>
            </w:r>
          </w:p>
          <w:p w14:paraId="5A306D3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16.具有多种界面显示：标准、大字体、动态趋势、呼吸氧合、它床观察、ECG全屏、ECG半屏、ECG12导、麻醉深度、PAWP、EWS、单血氧、CCHD界面（选配）等；</w:t>
            </w:r>
          </w:p>
          <w:p w14:paraId="5BC3DBB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17.用户可自定义调节界面布局波形和参数功能；</w:t>
            </w:r>
          </w:p>
          <w:p w14:paraId="63C2C2B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18.支持计时器功能，可以同时显示最多4个计时器。</w:t>
            </w:r>
          </w:p>
          <w:p w14:paraId="2A55A44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19.计算功能：具有药物计算、肾功能计算、氧合计算、通气计算、血流动力学计算和滴定表功能；</w:t>
            </w:r>
          </w:p>
          <w:p w14:paraId="144AFD6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20.可支持≥240小时趋势图/表、≥3500组NIBP列表、≥2500组报警事件、≥48小时全息波形、≥48小时心律失常数据的存储和回顾</w:t>
            </w:r>
          </w:p>
          <w:p w14:paraId="20E1013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21.具备24小时心电概览报告，可查看心率统计、心律失常统计、QT/QTc统计、ST段统计、起搏统计等信息</w:t>
            </w:r>
          </w:p>
          <w:p w14:paraId="18BF73D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22.具有临床辅助决策功能：SepsisSight脓毒症筛查、GCS格拉斯哥昏迷评分、EWS早期预警评分、CCHD筛查（选配）等</w:t>
            </w:r>
          </w:p>
          <w:p w14:paraId="1C53CB9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呼吸末二氧化碳参数</w:t>
            </w:r>
          </w:p>
          <w:p w14:paraId="124D46A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1呼吸末二氧化碳：MASIMO主流IRMA™/旁流ISA™型监测模块、伟康主流CAPNOSTAT™/旁流LoFlo™监测模块</w:t>
            </w:r>
          </w:p>
          <w:p w14:paraId="73426F0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1.1测量方式：旁流式或主流式。</w:t>
            </w:r>
          </w:p>
          <w:p w14:paraId="4D3789D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1.2测量参数：呼吸率、呼末二氧化碳浓度（EtCO2）、吸入二氧化碳浓度（InsCO2）。</w:t>
            </w:r>
          </w:p>
          <w:p w14:paraId="2CBB671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1.3旁流采样率：≤50ml/min（微流）</w:t>
            </w:r>
          </w:p>
          <w:p w14:paraId="7463165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1.4适用于成人到新生儿全年龄段病人，不需脱水瓶</w:t>
            </w:r>
          </w:p>
          <w:p w14:paraId="0F53AA7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1.5主流：测量范围：0mmHg～190mmHg(at760mmHg)</w:t>
            </w:r>
          </w:p>
          <w:p w14:paraId="6608E98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旁流：测量范围：0mmHg～190mmHg (at760mmHg)</w:t>
            </w:r>
          </w:p>
          <w:p w14:paraId="36250DE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1.6分辨率：1mmHg</w:t>
            </w:r>
          </w:p>
          <w:p w14:paraId="050F27B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1.7awRR测量范围：0rpm～150rpm</w:t>
            </w:r>
          </w:p>
          <w:p w14:paraId="6BD9170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1.8awRR 测量精度：±1rpm</w:t>
            </w:r>
          </w:p>
          <w:p w14:paraId="48FE8B7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2有创血压参数</w:t>
            </w:r>
          </w:p>
          <w:p w14:paraId="54C0B29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2.1支持四通道有创血压监测，支持美国雅培/美代接口、爱德华接口、尤它接口、BD 接口、贝朗接口有创血压附件，可监测ART（动脉压），PA（肺动脉压），CVP（中心静脉压），RAP（右房压），LAP（左房压），ICP（颅内压），P1，P2（扩充压力）等项目。</w:t>
            </w:r>
          </w:p>
          <w:p w14:paraId="564C722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2.2单位：mmHg和kPa可选。</w:t>
            </w:r>
          </w:p>
          <w:p w14:paraId="4411B99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2.3压力测量范围：</w:t>
            </w:r>
          </w:p>
          <w:p w14:paraId="092F41F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ART：0mmHg～300mmHg（0kPa～40kPa）</w:t>
            </w:r>
          </w:p>
          <w:p w14:paraId="0E98FAC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PA：-6mmHg～120 mmHg (-0.8kPa～16kPa)</w:t>
            </w:r>
          </w:p>
          <w:p w14:paraId="4556F3C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CVP：-10mmHg～40mmHg(-1.3kPa～5.3kPa) </w:t>
            </w:r>
          </w:p>
          <w:p w14:paraId="07476CE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RAP：-10mmHg～40mmHg(-1.3kPa～5.3kPa）</w:t>
            </w:r>
          </w:p>
          <w:p w14:paraId="3CF610E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LAP：-10mmHg～40mmHg(-1.3kPa～5.3kPa)</w:t>
            </w:r>
          </w:p>
          <w:p w14:paraId="62DEBA9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ICP：-10mmHg～40mmHg(-1.3kPa～5.3kPa) </w:t>
            </w:r>
          </w:p>
          <w:p w14:paraId="1B3AE7F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P1，P2：-50mmHg ～ 300mmHg(-6.6kPa ～40kPa)</w:t>
            </w:r>
          </w:p>
          <w:p w14:paraId="37838DA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2.4分辨率：1mmHg 或0.1kPa</w:t>
            </w:r>
          </w:p>
          <w:p w14:paraId="63E3E05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2.5精度：±1mmHg</w:t>
            </w:r>
          </w:p>
          <w:p w14:paraId="26B217C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2.6各通道具有独立较零功能。</w:t>
            </w:r>
          </w:p>
        </w:tc>
      </w:tr>
      <w:tr w14:paraId="0820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3F4E4556">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w:t>
            </w:r>
          </w:p>
        </w:tc>
        <w:tc>
          <w:tcPr>
            <w:tcW w:w="1065" w:type="dxa"/>
            <w:shd w:val="clear" w:color="auto" w:fill="auto"/>
            <w:vAlign w:val="center"/>
          </w:tcPr>
          <w:p w14:paraId="7D5A42A8">
            <w:pPr>
              <w:jc w:val="cente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highlight w:val="none"/>
                <w:vertAlign w:val="baseline"/>
                <w:lang w:val="en-US" w:eastAsia="zh-CN"/>
              </w:rPr>
              <w:t>呼吸机</w:t>
            </w:r>
          </w:p>
        </w:tc>
        <w:tc>
          <w:tcPr>
            <w:tcW w:w="945" w:type="dxa"/>
            <w:shd w:val="clear" w:color="auto" w:fill="auto"/>
            <w:vAlign w:val="center"/>
          </w:tcPr>
          <w:p w14:paraId="33257F52">
            <w:pPr>
              <w:jc w:val="center"/>
              <w:rPr>
                <w:rFonts w:hint="default"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1台</w:t>
            </w:r>
          </w:p>
        </w:tc>
        <w:tc>
          <w:tcPr>
            <w:tcW w:w="7175" w:type="dxa"/>
            <w:shd w:val="clear" w:color="auto" w:fill="auto"/>
            <w:vAlign w:val="top"/>
          </w:tcPr>
          <w:p w14:paraId="6851FAF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1.适用于对成人和儿童、新生儿患者进行通气辅助及呼吸支持，中文操作界面。能够满足危重症患者的无创通气需求。</w:t>
            </w:r>
          </w:p>
          <w:p w14:paraId="409BD38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2.采用≥15英寸高清全贴合电容触摸屏，分辨率≥1920*1080，屏幕可上下左右调整角度，并采用屏机分离技术，方便临床医护人员进行观察及清洁。</w:t>
            </w:r>
          </w:p>
          <w:p w14:paraId="64934A9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3.屏幕显示：同屏显示≥5道波形，可同屏显示短趋势、波形、监测值</w:t>
            </w:r>
          </w:p>
          <w:p w14:paraId="1CE7E3C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4.1具有屏幕锁功能，可以进行屏幕锁定防止误触碰，造成通气参数改变</w:t>
            </w:r>
          </w:p>
          <w:p w14:paraId="0E0FC7F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4.内置后备可充电锂电池≥180分钟（1块电池），可选双电池≥360分钟，电池总剩余电量能显示在屏幕上。</w:t>
            </w:r>
          </w:p>
          <w:p w14:paraId="2121F54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5.吸气阀组件一体化设计，可快速拆卸，并能高温高压蒸汽消毒（134℃）以防止交叉感染。</w:t>
            </w:r>
          </w:p>
          <w:p w14:paraId="081990B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6.通气模式：</w:t>
            </w:r>
          </w:p>
          <w:p w14:paraId="6749DB3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7.1具有持续气道正压通气模式（CPAP）；自主模式（S）；自主/时控模式（S/T）；压力控制模式(PCV)；容量保证压力支持模式（VAPS）；容量保证时间控制模式（VG-T）；压力调节容量控制模式（PRVC）。</w:t>
            </w:r>
          </w:p>
          <w:p w14:paraId="74365E0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7.2可选成比例压力支持通气模式(PPS)，，</w:t>
            </w:r>
          </w:p>
          <w:p w14:paraId="330896D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7.具备高流速氧疗功能；氧疗最大流速≥80L/min，具有氧疗计时功能。</w:t>
            </w:r>
          </w:p>
          <w:p w14:paraId="450B93F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8.可选高流量氧疗下可实时监测ROX指数及趋势回顾</w:t>
            </w:r>
          </w:p>
          <w:p w14:paraId="1FC7159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9.1可选OSI、RSS、SpO2/FiO2等评估参数，动态关注氧疗效果</w:t>
            </w:r>
          </w:p>
          <w:p w14:paraId="6EA8DE9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9.具有压力释放、延时升压功能。</w:t>
            </w:r>
          </w:p>
          <w:p w14:paraId="60A68D8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10.具有同步技术，可自动调节吸气触发/呼气切换灵敏度，手动调节≥6档。</w:t>
            </w:r>
          </w:p>
          <w:p w14:paraId="1FF5A46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11.可实时监测病人端泄漏量和总泄漏量，具备自动漏气补偿功能，最大漏气补偿≥120L/min。</w:t>
            </w:r>
          </w:p>
          <w:p w14:paraId="7E815B2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12.可选SpO2和呼末二氧化碳监测</w:t>
            </w:r>
          </w:p>
          <w:p w14:paraId="7DE0594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13.标配氧电池，可选顺磁氧传感器，无需校准，永久性使用。</w:t>
            </w:r>
          </w:p>
          <w:p w14:paraId="7DA3AAC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14.设置参数</w:t>
            </w:r>
          </w:p>
          <w:p w14:paraId="40E3997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15.1潮气量：50ml—2000ml。</w:t>
            </w:r>
          </w:p>
          <w:p w14:paraId="34125CE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15.2持续气道正压CPAP：成人/小儿3-30 cmH2O。婴幼儿：1.0 cmH2O～15.0 cmH2O。</w:t>
            </w:r>
          </w:p>
          <w:p w14:paraId="46449FC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15.3 IPAP：3-50 cmH2O</w:t>
            </w:r>
          </w:p>
          <w:p w14:paraId="1BCDC9B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15.4 EPAP：3-30 cmH2O。</w:t>
            </w:r>
          </w:p>
          <w:p w14:paraId="167D7B1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15.5支持压力：4-50 cmH2O。</w:t>
            </w:r>
          </w:p>
          <w:p w14:paraId="6797BDA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15.6呼吸频率：成人/小儿：1-60次/min。</w:t>
            </w:r>
          </w:p>
          <w:p w14:paraId="2D28D00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15.7吸气时间：0.2—5s，吸护比I/E：4:1～1:10</w:t>
            </w:r>
          </w:p>
          <w:p w14:paraId="22242DA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15.8吸入氧浓度：21%—100%</w:t>
            </w:r>
          </w:p>
          <w:p w14:paraId="447B320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15.9压力上升时间：1-7档可调</w:t>
            </w:r>
          </w:p>
          <w:p w14:paraId="77798A2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15.10压力释放：OFF，0-3档可调。</w:t>
            </w:r>
          </w:p>
          <w:p w14:paraId="7D82770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15.11延时升压时间：OFF，1-60min。</w:t>
            </w:r>
          </w:p>
          <w:p w14:paraId="02F053D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15.监测参数：</w:t>
            </w:r>
          </w:p>
          <w:p w14:paraId="4F93CED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16.1气道峰压、平均压、呼气末正压等参数监测。</w:t>
            </w:r>
          </w:p>
          <w:p w14:paraId="74160F9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16.2潮气量、分钟通气量、病人端/总的分钟泄漏量等参数监测。</w:t>
            </w:r>
          </w:p>
          <w:p w14:paraId="3802A45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16.3呼吸频率、病人触发百分比、吸气百分比等参数监测</w:t>
            </w:r>
          </w:p>
          <w:p w14:paraId="0349454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16.4病人触发比例：0-100%</w:t>
            </w:r>
          </w:p>
          <w:p w14:paraId="3E530D4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16.具有智能逻辑判断及报警链管理，具有分级报警和声光报警。</w:t>
            </w:r>
          </w:p>
          <w:p w14:paraId="08F659F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17.报警参数：气道高压、气道低压、呼气末压力过高/过低、总计呼吸频率过高/过低、吸入氧浓度过高/过低、分钟通气量过高/过低、脉率过高/过低、SPO2低、电源中断、电池电量低。</w:t>
            </w:r>
          </w:p>
          <w:p w14:paraId="322FAAD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18.具备截屏、录屏功能，可储存≥10000条事件记录，可储存≥168小时趋势数据，并可用U盘导出非加密文件。</w:t>
            </w:r>
          </w:p>
          <w:p w14:paraId="144919D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19.具备HDMI扩展显示、RS232接口、网络接口、USB接口、护士呼叫等接口。</w:t>
            </w:r>
          </w:p>
          <w:p w14:paraId="2E65D50C">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highlight w:val="none"/>
                <w:vertAlign w:val="baseline"/>
                <w:lang w:val="en-US" w:eastAsia="zh-CN"/>
              </w:rPr>
              <w:t>20.能够通过网络联网，把呼吸机的监测信息实时显示到监护仪、中央监护站或全院监护系统，满足科室信息化的需求和呼吸机管理。</w:t>
            </w:r>
          </w:p>
        </w:tc>
      </w:tr>
      <w:tr w14:paraId="02E5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75A1553B">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w:t>
            </w:r>
          </w:p>
        </w:tc>
        <w:tc>
          <w:tcPr>
            <w:tcW w:w="1065" w:type="dxa"/>
            <w:vAlign w:val="center"/>
          </w:tcPr>
          <w:p w14:paraId="6BD97275">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湿化治疗仪</w:t>
            </w:r>
          </w:p>
        </w:tc>
        <w:tc>
          <w:tcPr>
            <w:tcW w:w="945" w:type="dxa"/>
            <w:vAlign w:val="center"/>
          </w:tcPr>
          <w:p w14:paraId="6CC9353D">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2台</w:t>
            </w:r>
          </w:p>
        </w:tc>
        <w:tc>
          <w:tcPr>
            <w:tcW w:w="7175" w:type="dxa"/>
          </w:tcPr>
          <w:p w14:paraId="48B0CEA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1.适用人群：成人、小儿。</w:t>
            </w:r>
          </w:p>
          <w:p w14:paraId="0B22C1D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2.不小于4.3英寸触摸显示屏，支持触摸、飞梭双重操作，简便快捷。</w:t>
            </w:r>
          </w:p>
          <w:p w14:paraId="0CB6B70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3.流量设置范围不小于：2～80L/Min。</w:t>
            </w:r>
          </w:p>
          <w:p w14:paraId="338A5A3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4.内置电子空氧混合系统，氧浓度设置和监测范围：21%～100%，测量精度：设定值的±3%。 </w:t>
            </w:r>
          </w:p>
          <w:p w14:paraId="50F5A1F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5.采用高性能涡轮驱动，无需压缩空气源。 </w:t>
            </w:r>
          </w:p>
          <w:p w14:paraId="600466E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6.温度设置范围：儿童模式：34℃，成人模式：31℃-37℃（七档调节）。</w:t>
            </w:r>
          </w:p>
          <w:p w14:paraId="7F3F1C7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7.支持血氧饱和度监测，可选Masimo、Nellcor血氧，便于评估高流量氧疗的治疗效果，方便医生实时优化治疗方案。血流灌注指数PI测量范围：0.02%-20%。具有待机界面、通气界面、配置界面三种不同的显示界面。</w:t>
            </w:r>
          </w:p>
          <w:p w14:paraId="7435E99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8.具有快氧通气功能，快速提升氧浓度，提高患者氧储备，便于吸痰、纤支镜、插管等护理操作。</w:t>
            </w:r>
          </w:p>
          <w:p w14:paraId="1EC959F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9.具有计时功能。具有过滤棉更换提示和更换过滤棉剩余时间显示功能。</w:t>
            </w:r>
          </w:p>
          <w:p w14:paraId="3F0CA9D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10.可选配辅助流量计，辅助氧流量输出范围：0～30L/Min；</w:t>
            </w:r>
          </w:p>
          <w:p w14:paraId="535E8B0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11.可选配内置锂离子电池，满足转运供电需求。</w:t>
            </w:r>
          </w:p>
          <w:p w14:paraId="28C5108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12.可存储≥160小时趋势图/趋势表数据回顾，2000条日志记录信息。</w:t>
            </w:r>
          </w:p>
          <w:p w14:paraId="27E65E1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13.可配轻质、紧凑的医用推车，便于院内转运。</w:t>
            </w:r>
          </w:p>
          <w:p w14:paraId="609CA4E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14.产品使用寿命≥10年。</w:t>
            </w:r>
          </w:p>
        </w:tc>
      </w:tr>
      <w:tr w14:paraId="1141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76D1A698">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w:t>
            </w:r>
          </w:p>
        </w:tc>
        <w:tc>
          <w:tcPr>
            <w:tcW w:w="1065" w:type="dxa"/>
            <w:vAlign w:val="center"/>
          </w:tcPr>
          <w:p w14:paraId="2E1B5C97">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监护仪2</w:t>
            </w:r>
          </w:p>
        </w:tc>
        <w:tc>
          <w:tcPr>
            <w:tcW w:w="945" w:type="dxa"/>
            <w:vAlign w:val="center"/>
          </w:tcPr>
          <w:p w14:paraId="77520A9C">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3台</w:t>
            </w:r>
          </w:p>
        </w:tc>
        <w:tc>
          <w:tcPr>
            <w:tcW w:w="7175" w:type="dxa"/>
          </w:tcPr>
          <w:p w14:paraId="62DF041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1.便携式一体化监护仪，固定式提手。</w:t>
            </w:r>
          </w:p>
          <w:p w14:paraId="6AEF013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2.可监测心电、血氧、脉博、无创血压、呼吸、体温等基础参数，可升级Masimo/Nellcor SPO2、2IBP、ETCO2等参数，</w:t>
            </w:r>
          </w:p>
          <w:p w14:paraId="31BBD40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3.≥10.4英寸触摸屏，触控操作。</w:t>
            </w:r>
          </w:p>
          <w:p w14:paraId="14A125E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4.支持手写中文输入。</w:t>
            </w:r>
          </w:p>
          <w:p w14:paraId="4AEE504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5.支持标准界面、列表界面、趋势共存界面、呼吸氧合图界面、它床观察界面、大字体界面、半屏7导、全屏7导界面等多种界面。</w:t>
            </w:r>
          </w:p>
          <w:p w14:paraId="1DBD92B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6.心电：支持3/5/12导心电，具有智能导联脱落，多导同步分析功能。</w:t>
            </w:r>
          </w:p>
          <w:p w14:paraId="6F9E1BD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7.具有ECG全屏级联。</w:t>
            </w:r>
          </w:p>
          <w:p w14:paraId="4197238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8.心律失常分析≥26种。</w:t>
            </w:r>
          </w:p>
          <w:p w14:paraId="07CC439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9.具有ST段分析功能。支持在专门的窗口中分组显示心脏前壁，下壁和侧壁的ST实时片段和参考片段。</w:t>
            </w:r>
          </w:p>
          <w:p w14:paraId="6EE3116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10.血氧：可选Masimo血氧，测量范围为1 ％ ～100％；在70％～100％范围内，成人/儿童测量精度为±2％（非运动状态下）、±3％（运动状态下），新生儿为±3％（非运动状态和运动状态下）。</w:t>
            </w:r>
          </w:p>
          <w:p w14:paraId="775461A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11.可显示灌注指数（PI）</w:t>
            </w:r>
          </w:p>
          <w:p w14:paraId="28108DC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12.具有NIBP与血氧同侧测量功能。</w:t>
            </w:r>
          </w:p>
          <w:p w14:paraId="47A69E4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13.NIBP具有手动、自动、连续、整点测量模式。</w:t>
            </w:r>
          </w:p>
          <w:p w14:paraId="2BCAB01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14.NIBP具有辅助静脉穿刺功能。</w:t>
            </w:r>
          </w:p>
          <w:p w14:paraId="3ED8ECA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15.IBP监护可实时监测PPV/SPV，IBP波形叠加显示。</w:t>
            </w:r>
          </w:p>
          <w:p w14:paraId="5D653DA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16.IBP监护可测量10余种压力项目。</w:t>
            </w:r>
          </w:p>
          <w:p w14:paraId="755DEA4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17.呼末CO2测量范围0-190mmHg，awRR测量范围0-150rpm。</w:t>
            </w:r>
          </w:p>
          <w:p w14:paraId="64F23FB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18.具有数据存储功能，120小时趋势图/趋势表、2000组无创血压测量回顾、48小时全息波形回顾。</w:t>
            </w:r>
          </w:p>
          <w:p w14:paraId="266619C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19.具有待机模式、夜间模式、隐私模式、体外循环模式。</w:t>
            </w:r>
          </w:p>
          <w:p w14:paraId="608CBF7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20.支持连接同品牌中央监护系统。</w:t>
            </w:r>
          </w:p>
          <w:p w14:paraId="23BE4BB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21.产品通过CE、CFDA认证。</w:t>
            </w:r>
          </w:p>
        </w:tc>
      </w:tr>
      <w:tr w14:paraId="189D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5BB26661">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w:t>
            </w:r>
          </w:p>
        </w:tc>
        <w:tc>
          <w:tcPr>
            <w:tcW w:w="1065" w:type="dxa"/>
            <w:vAlign w:val="center"/>
          </w:tcPr>
          <w:p w14:paraId="25C24123">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输液泵</w:t>
            </w:r>
          </w:p>
        </w:tc>
        <w:tc>
          <w:tcPr>
            <w:tcW w:w="945" w:type="dxa"/>
            <w:vAlign w:val="center"/>
          </w:tcPr>
          <w:p w14:paraId="41290423">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6台</w:t>
            </w:r>
          </w:p>
        </w:tc>
        <w:tc>
          <w:tcPr>
            <w:tcW w:w="7175" w:type="dxa"/>
          </w:tcPr>
          <w:p w14:paraId="65B3B59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1.屏幕不小于3.0英寸，全中文显示，方便快捷的人机操作界面。</w:t>
            </w:r>
          </w:p>
          <w:p w14:paraId="5EC1AD8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2.速度范围：0.10mL/h～2000mL/h（最小步进 0.01ml/h）。</w:t>
            </w:r>
          </w:p>
          <w:p w14:paraId="68274AB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3.快进（Bolus）速度范围：0.10mL/h～2000mL/h（最小步进 0.01ml/h）。</w:t>
            </w:r>
          </w:p>
          <w:p w14:paraId="5D59CF8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4.输液精度≤±4.5%。</w:t>
            </w:r>
          </w:p>
          <w:p w14:paraId="6331095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5.KVO速度设定范围：0.1mL/h～30ml/h 可调。</w:t>
            </w:r>
          </w:p>
          <w:p w14:paraId="2D46F6F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6.具有≥10种输液模式可选：速度模式、时间模式、体重模式、微量模式、序列模式、首剂量模式、梯度模式、剂量时间模式、间断给药模式、点滴模式。</w:t>
            </w:r>
          </w:p>
          <w:p w14:paraId="37DD547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7.动态压力检测(DPS)，可实时显示当前压力数值。</w:t>
            </w:r>
          </w:p>
          <w:p w14:paraId="6F22660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8.压力自动释放（Anti-Bolus），当管路阻塞报警时，自动回撤管路压力，避免意外丸剂量伤害患者。</w:t>
            </w:r>
          </w:p>
          <w:p w14:paraId="693A7C4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9.大于等于15档阻塞压力阈值可调，最低75mmHg。</w:t>
            </w:r>
          </w:p>
          <w:p w14:paraId="49AF458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10.具有排气功能，排除管路内的气泡。</w:t>
            </w:r>
          </w:p>
          <w:p w14:paraId="2F9863F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11.在线滴定功能，更改速度时完全不需要中断输液。</w:t>
            </w:r>
          </w:p>
          <w:p w14:paraId="09B21D6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12.气泡检测：可探测≥20μL的单个气泡，单个气泡大小7档可调。</w:t>
            </w:r>
          </w:p>
          <w:p w14:paraId="3E8664E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13.夜间模式：自动降低屏幕亮度和音量，设置时间结束后自动恢复。</w:t>
            </w:r>
          </w:p>
          <w:p w14:paraId="0E87478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14.药物库功能：可存储≥3000种药物。</w:t>
            </w:r>
          </w:p>
          <w:p w14:paraId="7CB961D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15.日志记录：可存储≥2000条操作信息。</w:t>
            </w:r>
          </w:p>
          <w:p w14:paraId="25923E2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16.自动计算四种累计量：24小时累积量、最近累积量、自定义时间段累积量、定时间隔累积量，轻松管理累计泵入液量。</w:t>
            </w:r>
          </w:p>
          <w:p w14:paraId="7057E44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17.电池工作时间≥5小时@25ml/h；可升级至≥10小时@25ml/h。。</w:t>
            </w:r>
          </w:p>
          <w:p w14:paraId="268A4A7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18.防尘防水等级：IP44。</w:t>
            </w:r>
          </w:p>
          <w:p w14:paraId="017DD24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19.整机重量≤1.6kg（含电池），主机自带提手，方便携带。</w:t>
            </w:r>
          </w:p>
          <w:p w14:paraId="26E075D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20.通过 EN1789救护车标准认证，适合在户外急救和车载情况下使用。</w:t>
            </w:r>
          </w:p>
          <w:p w14:paraId="7431AD5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21.可加装无线模块，实现无线联网通讯。</w:t>
            </w:r>
          </w:p>
        </w:tc>
      </w:tr>
      <w:tr w14:paraId="675F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0DF0B862">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w:t>
            </w:r>
          </w:p>
        </w:tc>
        <w:tc>
          <w:tcPr>
            <w:tcW w:w="1065" w:type="dxa"/>
            <w:vAlign w:val="center"/>
          </w:tcPr>
          <w:p w14:paraId="60764964">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除颤仪</w:t>
            </w:r>
          </w:p>
        </w:tc>
        <w:tc>
          <w:tcPr>
            <w:tcW w:w="945" w:type="dxa"/>
            <w:vAlign w:val="center"/>
          </w:tcPr>
          <w:p w14:paraId="273F4797">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1台</w:t>
            </w:r>
          </w:p>
        </w:tc>
        <w:tc>
          <w:tcPr>
            <w:tcW w:w="7175" w:type="dxa"/>
          </w:tcPr>
          <w:p w14:paraId="7C412CE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1.具备手动除颤、心电监护、自动体外除颤（AED）功能。除颤具备自动阻抗补偿功能；可选配升级体外起搏功能，起搏分为固定和按需两种模式。具备降速起搏功能。可选配专用体内除颤附件包。</w:t>
            </w:r>
          </w:p>
          <w:p w14:paraId="00FFAEF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2.同步除颤和手动除颤中，能量分25档以上，可通过体外电极板进行能量选择最小为1J，最大为360J。</w:t>
            </w:r>
          </w:p>
          <w:p w14:paraId="4979D3F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3.支持AED除颤功能，电击能量：100～360J。</w:t>
            </w:r>
          </w:p>
          <w:p w14:paraId="71663AA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4.除颤充电迅速，充电至200J&lt;3s，充电至360J&lt;7s。</w:t>
            </w:r>
          </w:p>
          <w:p w14:paraId="081D784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5.具有旋钮式能量选择，可快速选择12档位能量，可调节4种模式。</w:t>
            </w:r>
          </w:p>
          <w:p w14:paraId="11B90B7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6.体外除颤电极板手柄支持充电、放电、能量选择，具备充电完成指示灯。成人、小儿一体化电极板。</w:t>
            </w:r>
          </w:p>
          <w:p w14:paraId="125D322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7.病人阻抗范围：体外除颤：20~300Ω；体内除颤：15-300Ω。</w:t>
            </w:r>
          </w:p>
          <w:p w14:paraId="256CF0A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8.监护功能：可选配升级SpO2、体温、NIBP监测功能。具有≥26种心律失常分析。</w:t>
            </w:r>
          </w:p>
          <w:p w14:paraId="0C1D7A9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9.标配1块电池可支持360J除颤210次以上，电池体上带有五段LED 电池电量指示装置，用于快速评估电池电量。</w:t>
            </w:r>
          </w:p>
          <w:p w14:paraId="23E8AC6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10.具备生理报警和技术报警功能，并且具有双报警灯，分别显示生理报警和技术报警。</w:t>
            </w:r>
          </w:p>
          <w:p w14:paraId="7FECBE6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11.彩色TFT显示屏≥7英寸, 分辨率800×480，最多可显示4道监护参数波形，有高对比度显示界面。</w:t>
            </w:r>
          </w:p>
          <w:p w14:paraId="39E2398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12.体外除颤监护仪可升级配置50mm记录仪，实时记录时间有3秒、5秒、8秒、16秒、32秒、连续可供选择。</w:t>
            </w:r>
          </w:p>
          <w:p w14:paraId="51A4A09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13.主机具备录音功能，最大支持≥240min录音存储。</w:t>
            </w:r>
          </w:p>
          <w:p w14:paraId="16FA2D5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14.关机状态下设备可自动运行自检，支持大能量自检（不低于200J）、屏幕、按键检测。</w:t>
            </w:r>
          </w:p>
        </w:tc>
      </w:tr>
      <w:tr w14:paraId="6148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72672AF2">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w:t>
            </w:r>
          </w:p>
        </w:tc>
        <w:tc>
          <w:tcPr>
            <w:tcW w:w="1065" w:type="dxa"/>
            <w:vAlign w:val="center"/>
          </w:tcPr>
          <w:p w14:paraId="03EAC207">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心电图机</w:t>
            </w:r>
          </w:p>
        </w:tc>
        <w:tc>
          <w:tcPr>
            <w:tcW w:w="945" w:type="dxa"/>
            <w:vAlign w:val="center"/>
          </w:tcPr>
          <w:p w14:paraId="511F17B5">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2台</w:t>
            </w:r>
          </w:p>
        </w:tc>
        <w:tc>
          <w:tcPr>
            <w:tcW w:w="7175" w:type="dxa"/>
          </w:tcPr>
          <w:p w14:paraId="3DEB5BA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1.导联：12导联同步采集、显示、打印。</w:t>
            </w:r>
          </w:p>
          <w:p w14:paraId="704C8DF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2.噪声电平：≤15uVp-p</w:t>
            </w:r>
          </w:p>
          <w:p w14:paraId="1038F8B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3.频率特性：0.05Hz-150Hz（-3db）</w:t>
            </w:r>
          </w:p>
          <w:p w14:paraId="71998B7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4.时间常数：≥5S</w:t>
            </w:r>
          </w:p>
          <w:p w14:paraId="0FD211C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5.耐极化电压：±650mV</w:t>
            </w:r>
          </w:p>
          <w:p w14:paraId="60B51D0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6.共模拟制比：≥105dB</w:t>
            </w:r>
          </w:p>
          <w:p w14:paraId="7ED8FE4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7.增益：2.5 mm/mv 、5 mm/mv、10 mm/mv、20mm/mv、10/5 mm/mv、20/10 mm/mv、AGC。</w:t>
            </w:r>
          </w:p>
          <w:p w14:paraId="2BDA909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8.记录速度：5mm/s、10mm/s、12.5mm/s、25mm/s、50mm/s。</w:t>
            </w:r>
          </w:p>
          <w:p w14:paraId="23C253A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9.≥5.6英寸TFT液晶屏，支持中文、英文输入。</w:t>
            </w:r>
          </w:p>
          <w:p w14:paraId="7D25F55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10.交直流两用,内置环保耐用型锂电电池,能连续工作2小时以上。</w:t>
            </w:r>
          </w:p>
          <w:p w14:paraId="385AE07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11.可存储回放300例病人数据，数据可通过SD卡、USB口导入导出，并可通过U盘,扩展内存容量。</w:t>
            </w:r>
          </w:p>
          <w:p w14:paraId="350D4B7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12.具有导联连接示意图,能准确判定接触不良的电极，提示各个导联脱落的信息。</w:t>
            </w:r>
          </w:p>
          <w:p w14:paraId="619ACB7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13.通过CFDA、CE认证。</w:t>
            </w:r>
          </w:p>
        </w:tc>
      </w:tr>
    </w:tbl>
    <w:p w14:paraId="683DBC17">
      <w:pPr>
        <w:rPr>
          <w:rFonts w:hint="eastAsia" w:ascii="仿宋" w:hAnsi="仿宋" w:eastAsia="仿宋" w:cs="仿宋"/>
          <w:bCs/>
          <w:color w:val="auto"/>
          <w:highlight w:val="none"/>
          <w:lang w:val="en-US" w:eastAsia="zh-CN"/>
        </w:rPr>
      </w:pPr>
    </w:p>
    <w:p w14:paraId="4E650B69">
      <w:pPr>
        <w:rPr>
          <w:rFonts w:hint="eastAsia" w:ascii="仿宋" w:hAnsi="仿宋" w:eastAsia="仿宋" w:cs="仿宋"/>
          <w:bCs/>
          <w:color w:val="auto"/>
          <w:highlight w:val="none"/>
          <w:lang w:val="en-US" w:eastAsia="zh-CN"/>
        </w:rPr>
      </w:pPr>
    </w:p>
    <w:p w14:paraId="26096B96">
      <w:pPr>
        <w:rPr>
          <w:rFonts w:hint="eastAsia" w:ascii="仿宋" w:hAnsi="仿宋" w:eastAsia="仿宋" w:cs="仿宋"/>
          <w:bCs/>
          <w:color w:val="auto"/>
          <w:highlight w:val="none"/>
          <w:lang w:val="en-US" w:eastAsia="zh-CN"/>
        </w:rPr>
      </w:pPr>
    </w:p>
    <w:p w14:paraId="3CD0FBE1">
      <w:pPr>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br w:type="page"/>
      </w:r>
    </w:p>
    <w:p w14:paraId="7AE1D86A">
      <w:pPr>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第三包：呼吸科</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065"/>
        <w:gridCol w:w="945"/>
        <w:gridCol w:w="7175"/>
      </w:tblGrid>
      <w:tr w14:paraId="3C574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71" w:type="dxa"/>
            <w:vAlign w:val="center"/>
          </w:tcPr>
          <w:p w14:paraId="70A56536">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序号</w:t>
            </w:r>
          </w:p>
        </w:tc>
        <w:tc>
          <w:tcPr>
            <w:tcW w:w="1065" w:type="dxa"/>
            <w:vAlign w:val="center"/>
          </w:tcPr>
          <w:p w14:paraId="031ED482">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产品名称</w:t>
            </w:r>
          </w:p>
        </w:tc>
        <w:tc>
          <w:tcPr>
            <w:tcW w:w="945" w:type="dxa"/>
            <w:vAlign w:val="center"/>
          </w:tcPr>
          <w:p w14:paraId="3E88CAB5">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数量</w:t>
            </w:r>
          </w:p>
        </w:tc>
        <w:tc>
          <w:tcPr>
            <w:tcW w:w="7175" w:type="dxa"/>
            <w:vAlign w:val="center"/>
          </w:tcPr>
          <w:p w14:paraId="7085D3BA">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技术要求</w:t>
            </w:r>
          </w:p>
        </w:tc>
      </w:tr>
      <w:tr w14:paraId="3E12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2" w:hRule="atLeast"/>
        </w:trPr>
        <w:tc>
          <w:tcPr>
            <w:tcW w:w="771" w:type="dxa"/>
            <w:vAlign w:val="center"/>
          </w:tcPr>
          <w:p w14:paraId="77882800">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w:t>
            </w:r>
          </w:p>
        </w:tc>
        <w:tc>
          <w:tcPr>
            <w:tcW w:w="1065" w:type="dxa"/>
            <w:vAlign w:val="center"/>
          </w:tcPr>
          <w:p w14:paraId="2BAE4409">
            <w:pPr>
              <w:jc w:val="center"/>
              <w:rPr>
                <w:rFonts w:hint="default" w:ascii="仿宋" w:hAnsi="仿宋" w:eastAsia="仿宋" w:cs="仿宋"/>
                <w:bCs/>
                <w:color w:val="auto"/>
                <w:highlight w:val="none"/>
                <w:vertAlign w:val="baseline"/>
                <w:lang w:val="en-US" w:eastAsia="zh-CN"/>
              </w:rPr>
            </w:pPr>
            <w:r>
              <w:rPr>
                <w:rFonts w:hint="default" w:ascii="仿宋" w:hAnsi="仿宋" w:eastAsia="仿宋" w:cs="仿宋"/>
                <w:bCs/>
                <w:color w:val="auto"/>
                <w:highlight w:val="none"/>
                <w:vertAlign w:val="baseline"/>
                <w:lang w:val="en-US" w:eastAsia="zh-CN"/>
              </w:rPr>
              <w:t>呼吸机</w:t>
            </w:r>
          </w:p>
        </w:tc>
        <w:tc>
          <w:tcPr>
            <w:tcW w:w="945" w:type="dxa"/>
            <w:vAlign w:val="center"/>
          </w:tcPr>
          <w:p w14:paraId="009E7E6D">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1台</w:t>
            </w:r>
          </w:p>
        </w:tc>
        <w:tc>
          <w:tcPr>
            <w:tcW w:w="7175" w:type="dxa"/>
          </w:tcPr>
          <w:p w14:paraId="2316423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1.适用于对成人和小儿患者进行通气辅助及呼吸支持，中文操作界面，能够满足危重症患者的无创通气需求。</w:t>
            </w:r>
          </w:p>
          <w:p w14:paraId="5EDA193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2.采用≥12英寸高清电容触摸屏，屏幕可上下左右调整角度。</w:t>
            </w:r>
          </w:p>
          <w:p w14:paraId="5393D47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3.屏幕显示：同屏显示≥4道波形，可同屏显示短趋势、波形、监测值。</w:t>
            </w:r>
          </w:p>
          <w:p w14:paraId="554A0E2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4.呼吸机自带屏幕录制功能。</w:t>
            </w:r>
          </w:p>
          <w:p w14:paraId="7AB7761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5.内置后备可充电锂电池≥180分钟（1块电池）。</w:t>
            </w:r>
          </w:p>
          <w:p w14:paraId="7317873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6.吸气阀组件一体化设计，可快速拆卸，并能高温高压蒸汽消毒（134℃）以防止交叉感染。</w:t>
            </w:r>
          </w:p>
          <w:p w14:paraId="7D62B31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7.通气模式：</w:t>
            </w:r>
          </w:p>
          <w:p w14:paraId="000A76C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具有持续气道正压通气模式（CPAP）、自主模式（S）、自主/时控模式（S/T）、压力控制模式(PCV)、容量保证时间控制模式（VG-T）、容量保证压力支持模式（VAPS）</w:t>
            </w:r>
          </w:p>
          <w:p w14:paraId="063BE20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8.高流量氧疗：</w:t>
            </w:r>
          </w:p>
          <w:p w14:paraId="4112B71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8.1 具备高流速氧疗功能，氧疗最大流速≥80L/min，具有氧疗计时功能。</w:t>
            </w:r>
          </w:p>
          <w:p w14:paraId="6D3289C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8.2 支持同品牌高流量氧疗鼻氧管。</w:t>
            </w:r>
          </w:p>
          <w:p w14:paraId="6A31064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9.可选高流量氧疗下可实时监测ROX指数及趋势回顾，可选OSI、RSS、SpO2/FiO2等评估参数，动态关注氧疗效果。</w:t>
            </w:r>
          </w:p>
          <w:p w14:paraId="4F6F457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10.具有压力释放、延时升压、增氧功能。</w:t>
            </w:r>
          </w:p>
          <w:p w14:paraId="39CFC19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11.可自动调节吸气触发/呼气切换灵敏度，吸气触发手动调节≥7档。</w:t>
            </w:r>
          </w:p>
          <w:p w14:paraId="5F133C9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12.设置参数：</w:t>
            </w:r>
          </w:p>
          <w:p w14:paraId="519726B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12.1  潮气量：50ml—2000ml</w:t>
            </w:r>
          </w:p>
          <w:p w14:paraId="461B97D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12.2  持续气道正压CPAP：成人/小儿3-30 cmH2O</w:t>
            </w:r>
          </w:p>
          <w:p w14:paraId="7E9E503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12.3  IPAP：3-50 cmH2O</w:t>
            </w:r>
          </w:p>
          <w:p w14:paraId="10E69A5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13.4  EPAP：3-30 cmH2O</w:t>
            </w:r>
          </w:p>
          <w:p w14:paraId="7FE490B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13.5  呼吸频率：成人/小儿：1-60次/min</w:t>
            </w:r>
          </w:p>
          <w:p w14:paraId="6E8C4E1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13.6  吸气时间：0.2—5s</w:t>
            </w:r>
          </w:p>
          <w:p w14:paraId="431A67C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13.7  吸入氧浓度：21%—100%</w:t>
            </w:r>
          </w:p>
          <w:p w14:paraId="26BFEC8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13.8  压力上升时间：≥7档可调</w:t>
            </w:r>
          </w:p>
          <w:p w14:paraId="72D393A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13.9  压力释放：OFF，≥3档可调</w:t>
            </w:r>
          </w:p>
          <w:p w14:paraId="2778D74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13.监测参数：气道峰压、平均压、呼气末正压等参数监测、潮气量、分钟通气量、呼吸频率、吸气百分比等参数监测。</w:t>
            </w:r>
          </w:p>
          <w:p w14:paraId="0AED749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14.具有分级报警和声光报警。</w:t>
            </w:r>
          </w:p>
          <w:p w14:paraId="14FEF48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15.报警参数：气道高压、气道低压、呼气末压力过高/过低、总计呼吸频率过高/过低、分钟通气量过高/过低、脉率过高/过低、SPO2低、电源中断、电池电量低。</w:t>
            </w:r>
          </w:p>
          <w:p w14:paraId="6AE9898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16.具备截屏功能，可储存≥10000条事件记录，可储存≥160小时趋势数据，并可用U盘导出非加密文件。</w:t>
            </w:r>
          </w:p>
          <w:p w14:paraId="69849F7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17.本机具备HDMI扩展显示，无需外接转接口。</w:t>
            </w:r>
          </w:p>
          <w:p w14:paraId="1EF9A74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18.具备RS232接口、网络接口、USB接口、护士呼叫等接口。</w:t>
            </w:r>
          </w:p>
          <w:p w14:paraId="6318C04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19.能够通过网络联网，把呼吸机的监测信息实时显示到监护仪、中央监护站或全院监护系统，满足科室信息化的需求和呼吸机管理。</w:t>
            </w:r>
          </w:p>
        </w:tc>
      </w:tr>
      <w:tr w14:paraId="4D3B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687F2F35">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w:t>
            </w:r>
          </w:p>
        </w:tc>
        <w:tc>
          <w:tcPr>
            <w:tcW w:w="1065" w:type="dxa"/>
            <w:shd w:val="clear" w:color="auto" w:fill="auto"/>
            <w:vAlign w:val="center"/>
          </w:tcPr>
          <w:p w14:paraId="68C55181">
            <w:pPr>
              <w:jc w:val="cente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 xml:space="preserve"> 呼吸湿化治疗仪</w:t>
            </w:r>
          </w:p>
        </w:tc>
        <w:tc>
          <w:tcPr>
            <w:tcW w:w="945" w:type="dxa"/>
            <w:shd w:val="clear" w:color="auto" w:fill="auto"/>
            <w:vAlign w:val="center"/>
          </w:tcPr>
          <w:p w14:paraId="17AC9621">
            <w:pPr>
              <w:jc w:val="center"/>
              <w:rPr>
                <w:rFonts w:hint="default"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1台</w:t>
            </w:r>
          </w:p>
        </w:tc>
        <w:tc>
          <w:tcPr>
            <w:tcW w:w="7175" w:type="dxa"/>
            <w:shd w:val="clear" w:color="auto" w:fill="auto"/>
            <w:vAlign w:val="top"/>
          </w:tcPr>
          <w:p w14:paraId="5C45F663">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1.适用人群：成人、小儿。</w:t>
            </w:r>
          </w:p>
          <w:p w14:paraId="556A46B5">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2.≥4.3英寸触摸显示屏，支持触摸、飞梭双重操作。</w:t>
            </w:r>
          </w:p>
          <w:p w14:paraId="66DB8911">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3.流量设置范围≥：2～80L/Min。</w:t>
            </w:r>
          </w:p>
          <w:p w14:paraId="32604E1B">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 xml:space="preserve">4.内置电子空氧混合系统，氧浓度设置和监测范围：≥21%，测量精度：设定值的±3%。 </w:t>
            </w:r>
          </w:p>
          <w:p w14:paraId="4A58DA6A">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5.温度设置范围：儿童模式，成人模式：31℃-37℃（≥七档调节）。</w:t>
            </w:r>
          </w:p>
          <w:p w14:paraId="391854C4">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6.支持血氧饱和度监测，可选Masimo、Nellcor血氧等。</w:t>
            </w:r>
          </w:p>
          <w:p w14:paraId="671B7DA2">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7.血流灌注指数PI测量范围：≥0.02%-20%。</w:t>
            </w:r>
          </w:p>
          <w:p w14:paraId="136BEC57">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8.具有待机界面、通气界面、配置界面三种不同的显示界面。</w:t>
            </w:r>
          </w:p>
          <w:p w14:paraId="498AA1D3">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9.具有快氧通气功能。</w:t>
            </w:r>
          </w:p>
          <w:p w14:paraId="2477453E">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10.具有计时功能。</w:t>
            </w:r>
          </w:p>
          <w:p w14:paraId="4B94AA95">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11.可存储≥160小时趋势图/趋势表数据回顾，≥2000条日志记录信息。</w:t>
            </w:r>
          </w:p>
          <w:p w14:paraId="69BD524E">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12.配医用推车，便于院内转运。</w:t>
            </w:r>
          </w:p>
          <w:p w14:paraId="53F3AFD8">
            <w:pPr>
              <w:rPr>
                <w:rFonts w:hint="eastAsia" w:ascii="仿宋" w:hAnsi="仿宋" w:eastAsia="仿宋" w:cs="仿宋"/>
                <w:bCs/>
                <w:color w:val="auto"/>
                <w:kern w:val="2"/>
                <w:sz w:val="21"/>
                <w:szCs w:val="24"/>
                <w:highlight w:val="none"/>
                <w:vertAlign w:val="baseline"/>
                <w:lang w:val="en-US" w:eastAsia="zh-CN" w:bidi="ar-SA"/>
              </w:rPr>
            </w:pPr>
            <w:r>
              <w:rPr>
                <w:rFonts w:hint="eastAsia" w:ascii="仿宋" w:hAnsi="仿宋" w:eastAsia="仿宋" w:cs="仿宋"/>
                <w:bCs/>
                <w:color w:val="auto"/>
                <w:kern w:val="2"/>
                <w:sz w:val="21"/>
                <w:szCs w:val="24"/>
                <w:highlight w:val="none"/>
                <w:vertAlign w:val="baseline"/>
                <w:lang w:val="en-US" w:eastAsia="zh-CN" w:bidi="ar-SA"/>
              </w:rPr>
              <w:t>13.产品使用寿命≥8年。</w:t>
            </w:r>
          </w:p>
        </w:tc>
      </w:tr>
      <w:tr w14:paraId="09B9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2B2902CE">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w:t>
            </w:r>
          </w:p>
        </w:tc>
        <w:tc>
          <w:tcPr>
            <w:tcW w:w="1065" w:type="dxa"/>
            <w:vAlign w:val="center"/>
          </w:tcPr>
          <w:p w14:paraId="669ECE15">
            <w:pPr>
              <w:jc w:val="cente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全胸震荡排痰机</w:t>
            </w:r>
          </w:p>
        </w:tc>
        <w:tc>
          <w:tcPr>
            <w:tcW w:w="945" w:type="dxa"/>
            <w:vAlign w:val="center"/>
          </w:tcPr>
          <w:p w14:paraId="367F4F4F">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1台</w:t>
            </w:r>
          </w:p>
        </w:tc>
        <w:tc>
          <w:tcPr>
            <w:tcW w:w="7175" w:type="dxa"/>
          </w:tcPr>
          <w:p w14:paraId="1BBE010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1、电源电压：AC 220V士22V，50Hz士1Hz                     </w:t>
            </w:r>
          </w:p>
          <w:p w14:paraId="2ADB800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2、适用人群:成人、儿童；</w:t>
            </w:r>
          </w:p>
          <w:p w14:paraId="5D754E8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3、时间设置：≥1-99min，步进值1min,随时可调；</w:t>
            </w:r>
          </w:p>
          <w:p w14:paraId="55B750D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4、压力设置：≥3-16mmHg步进值1mmHg,随时可调；</w:t>
            </w:r>
          </w:p>
          <w:p w14:paraId="4B26012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5、频率设置：≥1-12Hz,步进值1Hz，随时可调；</w:t>
            </w:r>
          </w:p>
          <w:p w14:paraId="53322DB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6、显示方式：液晶屏显示，中文菜单操作</w:t>
            </w:r>
          </w:p>
          <w:p w14:paraId="23AC718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7、保险功能：排痰机设有手柄紧急开关，</w:t>
            </w:r>
          </w:p>
          <w:p w14:paraId="467FF12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8、具有充气背心气压保护功能；</w:t>
            </w:r>
          </w:p>
          <w:p w14:paraId="18004AB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9、工作噪音：设备正常工作状态下，噪音≤70dB(A);</w:t>
            </w:r>
          </w:p>
          <w:p w14:paraId="7E515C7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10、排痰配件：全胸排痰背心≥2件、半胸排痰束带≥1条；</w:t>
            </w:r>
          </w:p>
          <w:p w14:paraId="29D8591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11、推车1台，带静音脚轮。</w:t>
            </w:r>
          </w:p>
        </w:tc>
      </w:tr>
      <w:tr w14:paraId="6760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1D16C2A2">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w:t>
            </w:r>
          </w:p>
        </w:tc>
        <w:tc>
          <w:tcPr>
            <w:tcW w:w="1065" w:type="dxa"/>
            <w:vAlign w:val="center"/>
          </w:tcPr>
          <w:p w14:paraId="01EE2D64">
            <w:pPr>
              <w:jc w:val="center"/>
              <w:rPr>
                <w:rFonts w:hint="default" w:ascii="仿宋" w:hAnsi="仿宋" w:eastAsia="仿宋" w:cs="仿宋"/>
                <w:bCs/>
                <w:color w:val="auto"/>
                <w:highlight w:val="none"/>
                <w:vertAlign w:val="baseline"/>
                <w:lang w:val="en-US" w:eastAsia="zh-CN"/>
              </w:rPr>
            </w:pPr>
            <w:r>
              <w:rPr>
                <w:rFonts w:hint="default" w:ascii="仿宋" w:hAnsi="仿宋" w:eastAsia="仿宋" w:cs="仿宋"/>
                <w:bCs/>
                <w:color w:val="auto"/>
                <w:highlight w:val="none"/>
                <w:vertAlign w:val="baseline"/>
                <w:lang w:val="en-US" w:eastAsia="zh-CN"/>
              </w:rPr>
              <w:t>输液泵</w:t>
            </w:r>
          </w:p>
        </w:tc>
        <w:tc>
          <w:tcPr>
            <w:tcW w:w="945" w:type="dxa"/>
            <w:vAlign w:val="center"/>
          </w:tcPr>
          <w:p w14:paraId="729A9512">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5台</w:t>
            </w:r>
          </w:p>
        </w:tc>
        <w:tc>
          <w:tcPr>
            <w:tcW w:w="7175" w:type="dxa"/>
          </w:tcPr>
          <w:p w14:paraId="5503FDE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1.屏幕≥3.0英寸。</w:t>
            </w:r>
          </w:p>
          <w:p w14:paraId="302D21B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2.速度范围：0.10mL/h～2000mL/h（最小步进 0.01ml/h）。</w:t>
            </w:r>
          </w:p>
          <w:p w14:paraId="206A4C6B">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3.快进（Bolus）速度范围：0.10mL/h～2000mL/h（最小步进 0.01ml/h）。</w:t>
            </w:r>
          </w:p>
          <w:p w14:paraId="12A7582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4.输液精度≤±4.5%。</w:t>
            </w:r>
          </w:p>
          <w:p w14:paraId="7CBDB9B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5.KVO速度设定范围：0.1mL/h～30ml/h 可调。</w:t>
            </w:r>
          </w:p>
          <w:p w14:paraId="3CC97D01">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6.具有≥8种输液模式可选：速度模式、时间模式、体重模式、微量模式、序列模式、首剂量模式、梯度模式、剂量时间模式等。</w:t>
            </w:r>
          </w:p>
          <w:p w14:paraId="0BC23E4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7.动态压力检测(DPS)。</w:t>
            </w:r>
          </w:p>
          <w:p w14:paraId="4598B310">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8.压力自动释放（Anti-Bolus）。</w:t>
            </w:r>
          </w:p>
          <w:p w14:paraId="2114968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9.≥15档阻塞压力阈值可调，最低75mmHg。</w:t>
            </w:r>
          </w:p>
          <w:p w14:paraId="75015BF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10.具有排气功能。</w:t>
            </w:r>
          </w:p>
          <w:p w14:paraId="71C8A6C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11.在线滴定功能，具有夜间模式。</w:t>
            </w:r>
          </w:p>
          <w:p w14:paraId="69A3440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12.气泡检测：可探测≥20μL的单个气泡，单个气泡大小 ≥7档可调。</w:t>
            </w:r>
          </w:p>
          <w:p w14:paraId="0034219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13.药物库功能：可存储≥3000种药物。</w:t>
            </w:r>
          </w:p>
          <w:p w14:paraId="1CCECFE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14.日志记录：可存储≥2000条操作信息。</w:t>
            </w:r>
          </w:p>
          <w:p w14:paraId="5EF21D8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15.自动计算四种累计量：24小时累积量、最近累积量、自定义时间段累积量、定时间隔累积量。</w:t>
            </w:r>
          </w:p>
          <w:p w14:paraId="6FE742F5">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16.电池工作时间≥5小时@25ml/h。</w:t>
            </w:r>
          </w:p>
          <w:p w14:paraId="0964CDD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17.防尘防水等级：≥IP44。</w:t>
            </w:r>
          </w:p>
          <w:p w14:paraId="32F1383F">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18.可加装无线模块，实现无线联网通讯。</w:t>
            </w:r>
          </w:p>
        </w:tc>
      </w:tr>
      <w:tr w14:paraId="3FB4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vAlign w:val="center"/>
          </w:tcPr>
          <w:p w14:paraId="0FC6D4E6">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w:t>
            </w:r>
          </w:p>
        </w:tc>
        <w:tc>
          <w:tcPr>
            <w:tcW w:w="1065" w:type="dxa"/>
            <w:vAlign w:val="center"/>
          </w:tcPr>
          <w:p w14:paraId="298F885C">
            <w:pPr>
              <w:jc w:val="center"/>
              <w:rPr>
                <w:rFonts w:hint="default" w:ascii="仿宋" w:hAnsi="仿宋" w:eastAsia="仿宋" w:cs="仿宋"/>
                <w:bCs/>
                <w:color w:val="auto"/>
                <w:highlight w:val="none"/>
                <w:vertAlign w:val="baseline"/>
                <w:lang w:val="en-US" w:eastAsia="zh-CN"/>
              </w:rPr>
            </w:pPr>
            <w:r>
              <w:rPr>
                <w:rFonts w:hint="default" w:ascii="仿宋" w:hAnsi="仿宋" w:eastAsia="仿宋" w:cs="仿宋"/>
                <w:bCs/>
                <w:color w:val="auto"/>
                <w:highlight w:val="none"/>
                <w:vertAlign w:val="baseline"/>
                <w:lang w:val="en-US" w:eastAsia="zh-CN"/>
              </w:rPr>
              <w:t>血气生化分析仪</w:t>
            </w:r>
          </w:p>
        </w:tc>
        <w:tc>
          <w:tcPr>
            <w:tcW w:w="945" w:type="dxa"/>
            <w:vAlign w:val="center"/>
          </w:tcPr>
          <w:p w14:paraId="214DC287">
            <w:pPr>
              <w:jc w:val="center"/>
              <w:rPr>
                <w:rFonts w:hint="default"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1台</w:t>
            </w:r>
          </w:p>
        </w:tc>
        <w:tc>
          <w:tcPr>
            <w:tcW w:w="7175" w:type="dxa"/>
          </w:tcPr>
          <w:p w14:paraId="61724BD6">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1.进样方式：自动水平进样 </w:t>
            </w:r>
          </w:p>
          <w:p w14:paraId="658E67BC">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2.用血量：用血量≤100ul</w:t>
            </w:r>
          </w:p>
          <w:p w14:paraId="42F8A7ED">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3.测试参数：PH、PO2、PCO2、Na＋、K＋，CL-,Ca++, Hct，Lac，Glu，一张测试卡可同时检测≥10项实测参数</w:t>
            </w:r>
          </w:p>
          <w:p w14:paraId="38B1DFD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4.计算参数:cH+，HCO3-act，HCO3-std，BE(ecf)，BE(B)，BB(B)，ctCO2，sO2(est)，Ca++(7.4)，AnGap等, 直测和计算参数≥30项</w:t>
            </w:r>
          </w:p>
          <w:p w14:paraId="05EE51D8">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5.标本类型：可适用于动脉血、静脉血、毛细血管血等≥6种</w:t>
            </w:r>
          </w:p>
          <w:p w14:paraId="7D8D0EB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6.定标方式：自动定标</w:t>
            </w:r>
          </w:p>
          <w:p w14:paraId="3B4941E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7.检测耗材：耗材单人份设计，独立包装，常温或冷藏保存，即取即用</w:t>
            </w:r>
          </w:p>
          <w:p w14:paraId="004B1ED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8.质量控制：提供原厂配套三级液体质控品</w:t>
            </w:r>
          </w:p>
          <w:p w14:paraId="4293106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9.运输存储：试剂盒运输条件可达-10～37℃；试剂盒存储2℃～30℃</w:t>
            </w:r>
          </w:p>
          <w:p w14:paraId="43A915AE">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10.操作界面：≥6英寸彩色触摸屏,中英文语言自由切换，内置多媒体操作教程</w:t>
            </w:r>
          </w:p>
          <w:p w14:paraId="16AC9C7A">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11.内置高容量充电电池，断电后仍可待机时间≥24h或可连续测量样本数≥50个</w:t>
            </w:r>
          </w:p>
          <w:p w14:paraId="3522250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 xml:space="preserve">12.仪器内置热敏打印机 </w:t>
            </w:r>
          </w:p>
          <w:p w14:paraId="75578C4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13.数据接口：串口、网络接口、USB口，有线、无线网络链接，可直接连接LIS、HIS系统</w:t>
            </w:r>
          </w:p>
          <w:p w14:paraId="15916673">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14.数据管理：仪器可自动存储≥10000个病人结果，连接数据管理系统</w:t>
            </w:r>
          </w:p>
          <w:p w14:paraId="63E052C9">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15.仪器升级：系统自动升级软件，无需增加模块</w:t>
            </w:r>
          </w:p>
          <w:p w14:paraId="0619A7F2">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16.证书：</w:t>
            </w:r>
          </w:p>
          <w:p w14:paraId="2F6E3604">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获得FDA认证</w:t>
            </w:r>
          </w:p>
          <w:p w14:paraId="10CF92A7">
            <w:pPr>
              <w:rPr>
                <w:rFonts w:hint="eastAsia" w:ascii="仿宋" w:hAnsi="仿宋" w:eastAsia="仿宋" w:cs="仿宋"/>
                <w:bCs/>
                <w:color w:val="auto"/>
                <w:highlight w:val="none"/>
                <w:vertAlign w:val="baseline"/>
                <w:lang w:val="en-US" w:eastAsia="zh-CN"/>
              </w:rPr>
            </w:pPr>
            <w:r>
              <w:rPr>
                <w:rFonts w:hint="eastAsia" w:ascii="仿宋" w:hAnsi="仿宋" w:eastAsia="仿宋" w:cs="仿宋"/>
                <w:bCs/>
                <w:color w:val="auto"/>
                <w:highlight w:val="none"/>
                <w:vertAlign w:val="baseline"/>
                <w:lang w:val="en-US" w:eastAsia="zh-CN"/>
              </w:rPr>
              <w:t>17.试剂盒种类≥20种</w:t>
            </w:r>
          </w:p>
        </w:tc>
      </w:tr>
    </w:tbl>
    <w:p w14:paraId="5EAD98DE">
      <w:pPr>
        <w:rPr>
          <w:rFonts w:hint="default" w:ascii="仿宋" w:hAnsi="仿宋" w:eastAsia="仿宋" w:cs="仿宋"/>
          <w:bCs/>
          <w:color w:val="auto"/>
          <w:highlight w:val="none"/>
          <w:lang w:val="en-US" w:eastAsia="zh-CN"/>
        </w:rPr>
      </w:pPr>
    </w:p>
    <w:p w14:paraId="6CF1983C">
      <w:pPr>
        <w:numPr>
          <w:ilvl w:val="0"/>
          <w:numId w:val="0"/>
        </w:numPr>
        <w:rPr>
          <w:rFonts w:hint="eastAsia" w:ascii="仿宋" w:hAnsi="仿宋" w:eastAsia="仿宋" w:cs="仿宋"/>
          <w:b/>
          <w:color w:val="auto"/>
          <w:kern w:val="0"/>
          <w:sz w:val="28"/>
          <w:szCs w:val="28"/>
          <w:highlight w:val="none"/>
          <w:lang w:val="en-US" w:eastAsia="zh-CN"/>
        </w:rPr>
      </w:pPr>
      <w:bookmarkStart w:id="487" w:name="_Toc385992401"/>
      <w:bookmarkStart w:id="488" w:name="_Toc31008"/>
      <w:bookmarkStart w:id="489" w:name="_Toc389620241"/>
      <w:bookmarkStart w:id="490" w:name="_Toc26099"/>
      <w:bookmarkStart w:id="491" w:name="_Toc415499899"/>
      <w:r>
        <w:rPr>
          <w:rFonts w:hint="eastAsia" w:ascii="仿宋" w:hAnsi="仿宋" w:eastAsia="仿宋" w:cs="仿宋"/>
          <w:b/>
          <w:color w:val="auto"/>
          <w:kern w:val="0"/>
          <w:sz w:val="28"/>
          <w:szCs w:val="28"/>
          <w:highlight w:val="none"/>
          <w:lang w:val="en-US" w:eastAsia="zh-CN" w:bidi="ar-SA"/>
        </w:rPr>
        <w:t>二、</w:t>
      </w:r>
      <w:r>
        <w:rPr>
          <w:rFonts w:hint="eastAsia" w:ascii="仿宋" w:hAnsi="仿宋" w:eastAsia="仿宋" w:cs="仿宋"/>
          <w:b/>
          <w:color w:val="auto"/>
          <w:kern w:val="0"/>
          <w:sz w:val="28"/>
          <w:szCs w:val="28"/>
          <w:highlight w:val="none"/>
          <w:lang w:val="en-US" w:eastAsia="zh-CN"/>
        </w:rPr>
        <w:t>商务要求</w:t>
      </w:r>
    </w:p>
    <w:p w14:paraId="08CF2249">
      <w:pPr>
        <w:numPr>
          <w:ilvl w:val="0"/>
          <w:numId w:val="0"/>
        </w:numP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1、交货期：自合同签订之日起7天内</w:t>
      </w:r>
    </w:p>
    <w:p w14:paraId="08175869">
      <w:pPr>
        <w:numPr>
          <w:ilvl w:val="0"/>
          <w:numId w:val="0"/>
        </w:numPr>
        <w:rPr>
          <w:rFonts w:hint="eastAsia" w:ascii="仿宋" w:hAnsi="仿宋" w:eastAsia="仿宋" w:cs="仿宋"/>
          <w:b w:val="0"/>
          <w:bCs/>
          <w:color w:val="auto"/>
          <w:kern w:val="0"/>
          <w:sz w:val="24"/>
          <w:szCs w:val="24"/>
          <w:highlight w:val="none"/>
          <w:lang w:val="en-US" w:eastAsia="zh-CN"/>
        </w:rPr>
      </w:pPr>
      <w:r>
        <w:rPr>
          <w:rFonts w:hint="eastAsia" w:ascii="仿宋" w:hAnsi="仿宋" w:eastAsia="仿宋" w:cs="仿宋"/>
          <w:b w:val="0"/>
          <w:bCs/>
          <w:color w:val="auto"/>
          <w:kern w:val="0"/>
          <w:sz w:val="24"/>
          <w:szCs w:val="24"/>
          <w:highlight w:val="none"/>
          <w:lang w:val="en-US" w:eastAsia="zh-CN"/>
        </w:rPr>
        <w:t>2、质保期：1年</w:t>
      </w:r>
    </w:p>
    <w:p w14:paraId="09BD9921">
      <w:pPr>
        <w:numPr>
          <w:ilvl w:val="0"/>
          <w:numId w:val="0"/>
        </w:numPr>
        <w:rPr>
          <w:rFonts w:hint="eastAsia" w:ascii="仿宋" w:hAnsi="仿宋" w:eastAsia="仿宋" w:cs="仿宋"/>
          <w:b/>
          <w:color w:val="auto"/>
          <w:kern w:val="0"/>
          <w:sz w:val="32"/>
          <w:szCs w:val="32"/>
          <w:highlight w:val="none"/>
        </w:rPr>
      </w:pPr>
      <w:r>
        <w:rPr>
          <w:rFonts w:hint="eastAsia" w:ascii="仿宋" w:hAnsi="仿宋" w:eastAsia="仿宋" w:cs="仿宋"/>
          <w:b w:val="0"/>
          <w:bCs/>
          <w:color w:val="auto"/>
          <w:kern w:val="0"/>
          <w:sz w:val="24"/>
          <w:szCs w:val="24"/>
          <w:highlight w:val="none"/>
          <w:lang w:val="en-US" w:eastAsia="zh-CN"/>
        </w:rPr>
        <w:t>3、供应商需提供设备原厂售后服务承诺。</w:t>
      </w:r>
      <w:r>
        <w:rPr>
          <w:rFonts w:hint="eastAsia" w:ascii="仿宋" w:hAnsi="仿宋" w:eastAsia="仿宋" w:cs="仿宋"/>
          <w:b/>
          <w:color w:val="auto"/>
          <w:kern w:val="0"/>
          <w:sz w:val="32"/>
          <w:szCs w:val="32"/>
          <w:highlight w:val="none"/>
        </w:rPr>
        <w:br w:type="page"/>
      </w:r>
    </w:p>
    <w:p w14:paraId="488D7146">
      <w:pPr>
        <w:pStyle w:val="68"/>
        <w:adjustRightInd w:val="0"/>
        <w:spacing w:before="240" w:beforeLines="100" w:line="360" w:lineRule="auto"/>
        <w:ind w:right="-22" w:firstLine="0" w:firstLineChars="0"/>
        <w:jc w:val="center"/>
        <w:textAlignment w:val="baseline"/>
        <w:outlineLvl w:val="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第五章  </w:t>
      </w:r>
      <w:bookmarkStart w:id="492" w:name="_Toc58504449"/>
      <w:r>
        <w:rPr>
          <w:rFonts w:hint="eastAsia" w:ascii="仿宋" w:hAnsi="仿宋" w:eastAsia="仿宋" w:cs="仿宋"/>
          <w:b/>
          <w:color w:val="auto"/>
          <w:kern w:val="0"/>
          <w:sz w:val="32"/>
          <w:szCs w:val="32"/>
          <w:highlight w:val="none"/>
        </w:rPr>
        <w:t>谈判</w:t>
      </w:r>
      <w:r>
        <w:rPr>
          <w:rFonts w:hint="eastAsia" w:ascii="仿宋" w:hAnsi="仿宋" w:eastAsia="仿宋" w:cs="仿宋"/>
          <w:b/>
          <w:color w:val="auto"/>
          <w:kern w:val="0"/>
          <w:sz w:val="32"/>
          <w:szCs w:val="32"/>
          <w:highlight w:val="none"/>
          <w:lang w:eastAsia="zh-CN"/>
        </w:rPr>
        <w:t>响应文件</w:t>
      </w:r>
      <w:r>
        <w:rPr>
          <w:rFonts w:hint="eastAsia" w:ascii="仿宋" w:hAnsi="仿宋" w:eastAsia="仿宋" w:cs="仿宋"/>
          <w:b/>
          <w:color w:val="auto"/>
          <w:kern w:val="0"/>
          <w:sz w:val="32"/>
          <w:szCs w:val="32"/>
          <w:highlight w:val="none"/>
        </w:rPr>
        <w:t>格式</w:t>
      </w:r>
      <w:bookmarkEnd w:id="487"/>
      <w:bookmarkEnd w:id="488"/>
      <w:bookmarkEnd w:id="489"/>
      <w:bookmarkEnd w:id="490"/>
      <w:bookmarkEnd w:id="491"/>
      <w:bookmarkEnd w:id="492"/>
    </w:p>
    <w:p w14:paraId="78B4371F">
      <w:pPr>
        <w:pStyle w:val="23"/>
        <w:rPr>
          <w:rFonts w:hint="eastAsia" w:ascii="仿宋" w:hAnsi="仿宋" w:eastAsia="仿宋" w:cs="仿宋"/>
          <w:b/>
          <w:color w:val="auto"/>
          <w:kern w:val="0"/>
          <w:sz w:val="30"/>
          <w:szCs w:val="30"/>
          <w:highlight w:val="none"/>
        </w:rPr>
      </w:pPr>
      <w:r>
        <w:rPr>
          <w:rFonts w:hint="eastAsia" w:ascii="仿宋" w:hAnsi="仿宋" w:eastAsia="仿宋" w:cs="仿宋"/>
          <w:color w:val="auto"/>
          <w:highlight w:val="none"/>
        </w:rPr>
        <w:br w:type="page"/>
      </w:r>
    </w:p>
    <w:p w14:paraId="7F9B76CB">
      <w:pPr>
        <w:autoSpaceDE w:val="0"/>
        <w:autoSpaceDN w:val="0"/>
        <w:adjustRightInd w:val="0"/>
        <w:snapToGrid w:val="0"/>
        <w:spacing w:line="360" w:lineRule="auto"/>
        <w:jc w:val="right"/>
        <w:outlineLvl w:val="9"/>
        <w:rPr>
          <w:rFonts w:hint="eastAsia" w:ascii="仿宋" w:hAnsi="仿宋" w:eastAsia="仿宋" w:cs="仿宋"/>
          <w:b/>
          <w:bCs/>
          <w:color w:val="auto"/>
          <w:sz w:val="32"/>
          <w:szCs w:val="32"/>
          <w:highlight w:val="none"/>
          <w:lang w:val="zh-CN"/>
        </w:rPr>
      </w:pPr>
    </w:p>
    <w:p w14:paraId="4698291B">
      <w:pPr>
        <w:autoSpaceDE w:val="0"/>
        <w:autoSpaceDN w:val="0"/>
        <w:adjustRightInd w:val="0"/>
        <w:snapToGrid w:val="0"/>
        <w:spacing w:line="360" w:lineRule="auto"/>
        <w:jc w:val="left"/>
        <w:outlineLvl w:val="9"/>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政府采购项目</w:t>
      </w:r>
    </w:p>
    <w:p w14:paraId="1DB9177C">
      <w:pPr>
        <w:autoSpaceDE w:val="0"/>
        <w:autoSpaceDN w:val="0"/>
        <w:adjustRightInd w:val="0"/>
        <w:snapToGrid w:val="0"/>
        <w:spacing w:line="360" w:lineRule="auto"/>
        <w:jc w:val="left"/>
        <w:outlineLvl w:val="9"/>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采购项目编号：</w:t>
      </w:r>
    </w:p>
    <w:p w14:paraId="5F7DBD99">
      <w:pPr>
        <w:tabs>
          <w:tab w:val="left" w:pos="5670"/>
        </w:tabs>
        <w:autoSpaceDE w:val="0"/>
        <w:autoSpaceDN w:val="0"/>
        <w:adjustRightInd w:val="0"/>
        <w:snapToGrid w:val="0"/>
        <w:spacing w:line="360" w:lineRule="auto"/>
        <w:jc w:val="center"/>
        <w:outlineLvl w:val="9"/>
        <w:rPr>
          <w:rFonts w:hint="eastAsia" w:ascii="仿宋" w:hAnsi="仿宋" w:eastAsia="仿宋" w:cs="仿宋"/>
          <w:color w:val="auto"/>
          <w:sz w:val="19"/>
          <w:szCs w:val="19"/>
          <w:highlight w:val="none"/>
        </w:rPr>
      </w:pPr>
    </w:p>
    <w:p w14:paraId="4D897FBB">
      <w:pPr>
        <w:pStyle w:val="23"/>
        <w:rPr>
          <w:rFonts w:hint="eastAsia" w:ascii="仿宋" w:hAnsi="仿宋" w:eastAsia="仿宋" w:cs="仿宋"/>
          <w:color w:val="auto"/>
          <w:sz w:val="19"/>
          <w:szCs w:val="19"/>
          <w:highlight w:val="none"/>
        </w:rPr>
      </w:pPr>
    </w:p>
    <w:p w14:paraId="09937007">
      <w:pPr>
        <w:outlineLvl w:val="9"/>
        <w:rPr>
          <w:rFonts w:hint="eastAsia" w:ascii="仿宋" w:hAnsi="仿宋" w:eastAsia="仿宋" w:cs="仿宋"/>
          <w:color w:val="auto"/>
          <w:sz w:val="19"/>
          <w:szCs w:val="19"/>
          <w:highlight w:val="none"/>
        </w:rPr>
      </w:pPr>
    </w:p>
    <w:p w14:paraId="48B953A8">
      <w:pPr>
        <w:rPr>
          <w:rFonts w:hint="eastAsia" w:ascii="仿宋" w:hAnsi="仿宋" w:eastAsia="仿宋" w:cs="仿宋"/>
          <w:color w:val="auto"/>
          <w:highlight w:val="none"/>
        </w:rPr>
      </w:pPr>
    </w:p>
    <w:p w14:paraId="6879675A">
      <w:pPr>
        <w:autoSpaceDE w:val="0"/>
        <w:autoSpaceDN w:val="0"/>
        <w:adjustRightInd w:val="0"/>
        <w:snapToGrid w:val="0"/>
        <w:spacing w:line="360" w:lineRule="auto"/>
        <w:jc w:val="center"/>
        <w:outlineLvl w:val="9"/>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u w:val="single"/>
          <w:lang w:val="en-US" w:eastAsia="zh-CN"/>
        </w:rPr>
        <w:t xml:space="preserve">              </w:t>
      </w:r>
      <w:r>
        <w:rPr>
          <w:rFonts w:hint="eastAsia" w:ascii="仿宋" w:hAnsi="仿宋" w:eastAsia="仿宋" w:cs="仿宋"/>
          <w:b/>
          <w:bCs/>
          <w:color w:val="auto"/>
          <w:sz w:val="44"/>
          <w:szCs w:val="44"/>
          <w:highlight w:val="none"/>
        </w:rPr>
        <w:t>项目</w:t>
      </w:r>
    </w:p>
    <w:p w14:paraId="28B23C7F">
      <w:pPr>
        <w:tabs>
          <w:tab w:val="left" w:pos="5670"/>
        </w:tabs>
        <w:autoSpaceDE w:val="0"/>
        <w:autoSpaceDN w:val="0"/>
        <w:adjustRightInd w:val="0"/>
        <w:snapToGrid w:val="0"/>
        <w:spacing w:line="360" w:lineRule="auto"/>
        <w:jc w:val="center"/>
        <w:outlineLvl w:val="9"/>
        <w:rPr>
          <w:rFonts w:hint="eastAsia" w:ascii="仿宋" w:hAnsi="仿宋" w:eastAsia="仿宋" w:cs="仿宋"/>
          <w:b/>
          <w:bCs/>
          <w:color w:val="auto"/>
          <w:sz w:val="36"/>
          <w:szCs w:val="36"/>
          <w:highlight w:val="none"/>
          <w:lang w:val="zh-CN"/>
        </w:rPr>
      </w:pPr>
    </w:p>
    <w:p w14:paraId="40648DFB">
      <w:pPr>
        <w:tabs>
          <w:tab w:val="left" w:pos="5670"/>
        </w:tabs>
        <w:autoSpaceDE w:val="0"/>
        <w:autoSpaceDN w:val="0"/>
        <w:adjustRightInd w:val="0"/>
        <w:snapToGrid w:val="0"/>
        <w:spacing w:line="360" w:lineRule="auto"/>
        <w:jc w:val="center"/>
        <w:outlineLvl w:val="9"/>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谈判响应文件</w:t>
      </w:r>
    </w:p>
    <w:p w14:paraId="61491D5D">
      <w:pPr>
        <w:autoSpaceDE w:val="0"/>
        <w:autoSpaceDN w:val="0"/>
        <w:adjustRightInd w:val="0"/>
        <w:snapToGrid w:val="0"/>
        <w:spacing w:line="360" w:lineRule="auto"/>
        <w:jc w:val="center"/>
        <w:rPr>
          <w:rFonts w:eastAsia="仿宋_GB2312"/>
          <w:b/>
          <w:bCs/>
          <w:color w:val="auto"/>
          <w:sz w:val="32"/>
          <w:szCs w:val="32"/>
          <w:highlight w:val="none"/>
          <w:lang w:val="zh-CN"/>
        </w:rPr>
      </w:pPr>
      <w:r>
        <w:rPr>
          <w:rFonts w:eastAsia="仿宋_GB2312"/>
          <w:b/>
          <w:bCs/>
          <w:color w:val="auto"/>
          <w:sz w:val="32"/>
          <w:szCs w:val="32"/>
          <w:highlight w:val="none"/>
          <w:lang w:val="zh-CN"/>
        </w:rPr>
        <w:t>（资格</w:t>
      </w:r>
      <w:r>
        <w:rPr>
          <w:rFonts w:hint="eastAsia" w:eastAsia="仿宋_GB2312"/>
          <w:b/>
          <w:bCs/>
          <w:color w:val="auto"/>
          <w:sz w:val="32"/>
          <w:szCs w:val="32"/>
          <w:highlight w:val="none"/>
          <w:lang w:val="en-US" w:eastAsia="zh-CN"/>
        </w:rPr>
        <w:t>证明文件</w:t>
      </w:r>
      <w:r>
        <w:rPr>
          <w:rFonts w:eastAsia="仿宋_GB2312"/>
          <w:b/>
          <w:bCs/>
          <w:color w:val="auto"/>
          <w:sz w:val="32"/>
          <w:szCs w:val="32"/>
          <w:highlight w:val="none"/>
          <w:lang w:val="zh-CN"/>
        </w:rPr>
        <w:t>）</w:t>
      </w:r>
    </w:p>
    <w:p w14:paraId="335FC9FB">
      <w:pPr>
        <w:autoSpaceDE w:val="0"/>
        <w:autoSpaceDN w:val="0"/>
        <w:adjustRightInd w:val="0"/>
        <w:snapToGrid w:val="0"/>
        <w:spacing w:line="360" w:lineRule="auto"/>
        <w:jc w:val="both"/>
        <w:outlineLvl w:val="9"/>
        <w:rPr>
          <w:rFonts w:hint="eastAsia" w:ascii="仿宋" w:hAnsi="仿宋" w:eastAsia="仿宋" w:cs="仿宋"/>
          <w:b/>
          <w:bCs/>
          <w:color w:val="auto"/>
          <w:sz w:val="32"/>
          <w:szCs w:val="32"/>
          <w:highlight w:val="none"/>
          <w:lang w:val="zh-CN"/>
        </w:rPr>
      </w:pPr>
    </w:p>
    <w:p w14:paraId="76AD49DD">
      <w:pPr>
        <w:autoSpaceDE w:val="0"/>
        <w:autoSpaceDN w:val="0"/>
        <w:adjustRightInd w:val="0"/>
        <w:snapToGrid w:val="0"/>
        <w:spacing w:line="360" w:lineRule="auto"/>
        <w:outlineLvl w:val="9"/>
        <w:rPr>
          <w:rFonts w:hint="eastAsia" w:ascii="仿宋" w:hAnsi="仿宋" w:eastAsia="仿宋" w:cs="仿宋"/>
          <w:b/>
          <w:bCs/>
          <w:color w:val="auto"/>
          <w:sz w:val="32"/>
          <w:szCs w:val="32"/>
          <w:highlight w:val="none"/>
          <w:lang w:val="zh-CN"/>
        </w:rPr>
      </w:pPr>
    </w:p>
    <w:p w14:paraId="5527E4AA">
      <w:pPr>
        <w:autoSpaceDE w:val="0"/>
        <w:autoSpaceDN w:val="0"/>
        <w:adjustRightInd w:val="0"/>
        <w:snapToGrid w:val="0"/>
        <w:spacing w:line="360" w:lineRule="auto"/>
        <w:outlineLvl w:val="9"/>
        <w:rPr>
          <w:rFonts w:hint="eastAsia" w:ascii="仿宋" w:hAnsi="仿宋" w:eastAsia="仿宋" w:cs="仿宋"/>
          <w:b/>
          <w:bCs/>
          <w:color w:val="auto"/>
          <w:sz w:val="32"/>
          <w:szCs w:val="32"/>
          <w:highlight w:val="none"/>
          <w:lang w:val="zh-CN"/>
        </w:rPr>
      </w:pPr>
    </w:p>
    <w:p w14:paraId="65BC019D">
      <w:pPr>
        <w:autoSpaceDE w:val="0"/>
        <w:autoSpaceDN w:val="0"/>
        <w:adjustRightInd w:val="0"/>
        <w:snapToGrid w:val="0"/>
        <w:spacing w:line="360" w:lineRule="auto"/>
        <w:outlineLvl w:val="9"/>
        <w:rPr>
          <w:rFonts w:hint="eastAsia" w:ascii="仿宋" w:hAnsi="仿宋" w:eastAsia="仿宋" w:cs="仿宋"/>
          <w:b/>
          <w:bCs/>
          <w:color w:val="auto"/>
          <w:sz w:val="32"/>
          <w:szCs w:val="32"/>
          <w:highlight w:val="none"/>
          <w:lang w:val="zh-CN"/>
        </w:rPr>
      </w:pPr>
    </w:p>
    <w:p w14:paraId="11C19D0E">
      <w:pPr>
        <w:autoSpaceDE w:val="0"/>
        <w:autoSpaceDN w:val="0"/>
        <w:adjustRightInd w:val="0"/>
        <w:snapToGrid w:val="0"/>
        <w:spacing w:line="360" w:lineRule="auto"/>
        <w:outlineLvl w:val="9"/>
        <w:rPr>
          <w:rFonts w:hint="eastAsia" w:ascii="仿宋" w:hAnsi="仿宋" w:eastAsia="仿宋" w:cs="仿宋"/>
          <w:b/>
          <w:bCs/>
          <w:color w:val="auto"/>
          <w:sz w:val="32"/>
          <w:szCs w:val="32"/>
          <w:highlight w:val="none"/>
          <w:lang w:val="zh-CN"/>
        </w:rPr>
      </w:pPr>
    </w:p>
    <w:p w14:paraId="2ED8876A">
      <w:pPr>
        <w:autoSpaceDE w:val="0"/>
        <w:autoSpaceDN w:val="0"/>
        <w:adjustRightInd w:val="0"/>
        <w:snapToGrid w:val="0"/>
        <w:spacing w:line="360" w:lineRule="auto"/>
        <w:ind w:firstLine="2570" w:firstLineChars="800"/>
        <w:outlineLvl w:val="9"/>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包  号</w:t>
      </w:r>
      <w:r>
        <w:rPr>
          <w:rFonts w:hint="eastAsia" w:ascii="仿宋" w:hAnsi="仿宋" w:eastAsia="仿宋" w:cs="仿宋"/>
          <w:b/>
          <w:bCs/>
          <w:color w:val="auto"/>
          <w:sz w:val="32"/>
          <w:szCs w:val="32"/>
          <w:highlight w:val="none"/>
          <w:lang w:val="zh-CN"/>
        </w:rPr>
        <w:t>：</w:t>
      </w:r>
      <w:r>
        <w:rPr>
          <w:rFonts w:hint="eastAsia" w:ascii="仿宋" w:hAnsi="仿宋" w:eastAsia="仿宋" w:cs="仿宋"/>
          <w:b/>
          <w:bCs/>
          <w:color w:val="auto"/>
          <w:sz w:val="32"/>
          <w:szCs w:val="32"/>
          <w:highlight w:val="none"/>
          <w:u w:val="single"/>
        </w:rPr>
        <w:t xml:space="preserve">                   </w:t>
      </w:r>
    </w:p>
    <w:p w14:paraId="7B7703D3">
      <w:pPr>
        <w:autoSpaceDE w:val="0"/>
        <w:autoSpaceDN w:val="0"/>
        <w:adjustRightInd w:val="0"/>
        <w:snapToGrid w:val="0"/>
        <w:spacing w:line="360" w:lineRule="auto"/>
        <w:ind w:firstLine="2570" w:firstLineChars="800"/>
        <w:outlineLvl w:val="9"/>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lang w:val="zh-CN"/>
        </w:rPr>
        <w:t>供应商：</w:t>
      </w:r>
      <w:r>
        <w:rPr>
          <w:rFonts w:hint="eastAsia" w:ascii="仿宋" w:hAnsi="仿宋" w:eastAsia="仿宋" w:cs="仿宋"/>
          <w:b/>
          <w:bCs/>
          <w:color w:val="auto"/>
          <w:sz w:val="32"/>
          <w:szCs w:val="32"/>
          <w:highlight w:val="none"/>
          <w:u w:val="single"/>
        </w:rPr>
        <w:t xml:space="preserve">                   </w:t>
      </w:r>
    </w:p>
    <w:p w14:paraId="208BFE48">
      <w:pPr>
        <w:autoSpaceDE w:val="0"/>
        <w:autoSpaceDN w:val="0"/>
        <w:adjustRightInd w:val="0"/>
        <w:snapToGrid w:val="0"/>
        <w:spacing w:line="360" w:lineRule="auto"/>
        <w:ind w:firstLine="2570" w:firstLineChars="800"/>
        <w:outlineLvl w:val="9"/>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lang w:val="zh-CN"/>
        </w:rPr>
        <w:t>时</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间：</w:t>
      </w:r>
      <w:r>
        <w:rPr>
          <w:rFonts w:hint="eastAsia" w:ascii="仿宋" w:hAnsi="仿宋" w:eastAsia="仿宋" w:cs="仿宋"/>
          <w:b/>
          <w:bCs/>
          <w:color w:val="auto"/>
          <w:sz w:val="32"/>
          <w:szCs w:val="32"/>
          <w:highlight w:val="none"/>
          <w:u w:val="single"/>
        </w:rPr>
        <w:t xml:space="preserve">                   </w:t>
      </w:r>
    </w:p>
    <w:p w14:paraId="07B3D0E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16B68452">
      <w:pPr>
        <w:spacing w:before="260" w:after="260" w:line="416" w:lineRule="atLeast"/>
        <w:jc w:val="center"/>
        <w:outlineLvl w:val="1"/>
        <w:rPr>
          <w:rFonts w:hint="eastAsia" w:ascii="仿宋" w:hAnsi="仿宋" w:eastAsia="仿宋" w:cs="仿宋"/>
          <w:b/>
          <w:bCs/>
          <w:color w:val="auto"/>
          <w:sz w:val="32"/>
          <w:szCs w:val="32"/>
          <w:highlight w:val="none"/>
        </w:rPr>
      </w:pPr>
      <w:bookmarkStart w:id="493" w:name="_Toc22993"/>
      <w:bookmarkStart w:id="494" w:name="_Toc5679"/>
      <w:bookmarkStart w:id="495" w:name="_Toc17319"/>
      <w:r>
        <w:rPr>
          <w:rFonts w:hint="eastAsia" w:ascii="仿宋" w:hAnsi="仿宋" w:eastAsia="仿宋" w:cs="仿宋"/>
          <w:b/>
          <w:bCs/>
          <w:color w:val="auto"/>
          <w:sz w:val="32"/>
          <w:szCs w:val="32"/>
          <w:highlight w:val="none"/>
        </w:rPr>
        <w:t>一、身份证明文件</w:t>
      </w:r>
      <w:bookmarkEnd w:id="493"/>
      <w:bookmarkEnd w:id="494"/>
      <w:bookmarkEnd w:id="495"/>
    </w:p>
    <w:p w14:paraId="475C867D">
      <w:pPr>
        <w:spacing w:after="120"/>
        <w:rPr>
          <w:rFonts w:hint="eastAsia" w:ascii="仿宋" w:hAnsi="仿宋" w:eastAsia="仿宋" w:cs="仿宋"/>
          <w:color w:val="auto"/>
          <w:highlight w:val="none"/>
        </w:rPr>
      </w:pPr>
    </w:p>
    <w:p w14:paraId="22E90FAC">
      <w:pPr>
        <w:tabs>
          <w:tab w:val="left" w:pos="588"/>
        </w:tabs>
        <w:spacing w:line="360" w:lineRule="auto"/>
        <w:jc w:val="center"/>
        <w:outlineLvl w:val="2"/>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lang w:val="zh-CN"/>
        </w:rPr>
        <w:t>1、法定代表人（或单位负责人）授权书</w:t>
      </w:r>
    </w:p>
    <w:p w14:paraId="4888B948">
      <w:pPr>
        <w:autoSpaceDE w:val="0"/>
        <w:autoSpaceDN w:val="0"/>
        <w:adjustRightInd w:val="0"/>
        <w:spacing w:line="348" w:lineRule="auto"/>
        <w:ind w:firstLine="400"/>
        <w:rPr>
          <w:rFonts w:hint="eastAsia" w:ascii="仿宋" w:hAnsi="仿宋" w:eastAsia="仿宋" w:cs="仿宋"/>
          <w:b/>
          <w:bCs/>
          <w:color w:val="auto"/>
          <w:sz w:val="20"/>
          <w:highlight w:val="none"/>
        </w:rPr>
      </w:pPr>
    </w:p>
    <w:p w14:paraId="256973DB">
      <w:pPr>
        <w:autoSpaceDE w:val="0"/>
        <w:autoSpaceDN w:val="0"/>
        <w:adjustRightInd w:val="0"/>
        <w:spacing w:line="348"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陕西省采购招标有限责任公司：</w:t>
      </w:r>
    </w:p>
    <w:p w14:paraId="288F59A9">
      <w:pPr>
        <w:autoSpaceDE w:val="0"/>
        <w:autoSpaceDN w:val="0"/>
        <w:adjustRightInd w:val="0"/>
        <w:spacing w:line="348" w:lineRule="auto"/>
        <w:ind w:firstLine="64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注册于</w:t>
      </w:r>
      <w:r>
        <w:rPr>
          <w:rFonts w:hint="eastAsia" w:ascii="仿宋" w:hAnsi="仿宋" w:eastAsia="仿宋" w:cs="仿宋"/>
          <w:color w:val="auto"/>
          <w:sz w:val="24"/>
          <w:highlight w:val="none"/>
          <w:u w:val="single"/>
          <w:lang w:val="zh-CN"/>
        </w:rPr>
        <w:t>（工商行政管理局名称）</w:t>
      </w:r>
      <w:r>
        <w:rPr>
          <w:rFonts w:hint="eastAsia" w:ascii="仿宋" w:hAnsi="仿宋" w:eastAsia="仿宋" w:cs="仿宋"/>
          <w:color w:val="auto"/>
          <w:sz w:val="24"/>
          <w:highlight w:val="none"/>
          <w:lang w:val="zh-CN"/>
        </w:rPr>
        <w:t>之</w:t>
      </w:r>
      <w:r>
        <w:rPr>
          <w:rFonts w:hint="eastAsia" w:ascii="仿宋" w:hAnsi="仿宋" w:eastAsia="仿宋" w:cs="仿宋"/>
          <w:color w:val="auto"/>
          <w:sz w:val="24"/>
          <w:highlight w:val="none"/>
          <w:u w:val="single"/>
          <w:lang w:val="zh-CN"/>
        </w:rPr>
        <w:t>（供应商全称）</w:t>
      </w:r>
      <w:r>
        <w:rPr>
          <w:rFonts w:hint="eastAsia" w:ascii="仿宋" w:hAnsi="仿宋" w:eastAsia="仿宋" w:cs="仿宋"/>
          <w:color w:val="auto"/>
          <w:sz w:val="24"/>
          <w:highlight w:val="none"/>
          <w:lang w:val="zh-CN"/>
        </w:rPr>
        <w:t>法人代表</w:t>
      </w:r>
      <w:r>
        <w:rPr>
          <w:rFonts w:hint="eastAsia" w:ascii="仿宋" w:hAnsi="仿宋" w:eastAsia="仿宋" w:cs="仿宋"/>
          <w:color w:val="auto"/>
          <w:sz w:val="24"/>
          <w:highlight w:val="none"/>
          <w:u w:val="single"/>
          <w:lang w:val="zh-CN"/>
        </w:rPr>
        <w:t>（姓名、职务）</w:t>
      </w:r>
      <w:r>
        <w:rPr>
          <w:rFonts w:hint="eastAsia" w:ascii="仿宋" w:hAnsi="仿宋" w:eastAsia="仿宋" w:cs="仿宋"/>
          <w:color w:val="auto"/>
          <w:sz w:val="24"/>
          <w:highlight w:val="none"/>
          <w:lang w:val="zh-CN"/>
        </w:rPr>
        <w:t>授权</w:t>
      </w:r>
      <w:r>
        <w:rPr>
          <w:rFonts w:hint="eastAsia" w:ascii="仿宋" w:hAnsi="仿宋" w:eastAsia="仿宋" w:cs="仿宋"/>
          <w:color w:val="auto"/>
          <w:sz w:val="24"/>
          <w:highlight w:val="none"/>
          <w:u w:val="single"/>
          <w:lang w:val="zh-CN"/>
        </w:rPr>
        <w:t>（被授权人姓名、职务）</w:t>
      </w:r>
      <w:r>
        <w:rPr>
          <w:rFonts w:hint="eastAsia" w:ascii="仿宋" w:hAnsi="仿宋" w:eastAsia="仿宋" w:cs="仿宋"/>
          <w:color w:val="auto"/>
          <w:sz w:val="24"/>
          <w:highlight w:val="none"/>
          <w:lang w:val="zh-CN"/>
        </w:rPr>
        <w:t>为本公司的合法代理人，就</w:t>
      </w:r>
      <w:r>
        <w:rPr>
          <w:rFonts w:hint="eastAsia" w:ascii="仿宋" w:hAnsi="仿宋" w:eastAsia="仿宋" w:cs="仿宋"/>
          <w:color w:val="auto"/>
          <w:sz w:val="24"/>
          <w:highlight w:val="none"/>
          <w:u w:val="single"/>
          <w:lang w:val="zh-CN"/>
        </w:rPr>
        <w:t>（项目名称</w:t>
      </w:r>
      <w:r>
        <w:rPr>
          <w:rFonts w:hint="eastAsia" w:ascii="仿宋" w:hAnsi="仿宋" w:eastAsia="仿宋" w:cs="仿宋"/>
          <w:color w:val="auto"/>
          <w:sz w:val="24"/>
          <w:highlight w:val="none"/>
          <w:u w:val="single"/>
          <w:lang w:val="en-US" w:eastAsia="zh-CN"/>
        </w:rPr>
        <w:t>及包号</w:t>
      </w:r>
      <w:r>
        <w:rPr>
          <w:rFonts w:hint="eastAsia" w:ascii="仿宋" w:hAnsi="仿宋" w:eastAsia="仿宋" w:cs="仿宋"/>
          <w:color w:val="auto"/>
          <w:sz w:val="24"/>
          <w:highlight w:val="none"/>
          <w:u w:val="single"/>
          <w:lang w:val="zh-CN"/>
        </w:rPr>
        <w:t>）</w:t>
      </w:r>
      <w:r>
        <w:rPr>
          <w:rFonts w:hint="eastAsia" w:ascii="仿宋" w:hAnsi="仿宋" w:eastAsia="仿宋" w:cs="仿宋"/>
          <w:color w:val="auto"/>
          <w:sz w:val="24"/>
          <w:highlight w:val="none"/>
          <w:lang w:val="zh-CN"/>
        </w:rPr>
        <w:t>的谈判及合同的执行和完成，以本公司的名义处理一切与之有关的事宜。</w:t>
      </w:r>
    </w:p>
    <w:p w14:paraId="6CF29ACA">
      <w:pPr>
        <w:snapToGrid w:val="0"/>
        <w:spacing w:line="360" w:lineRule="auto"/>
        <w:ind w:firstLine="480" w:firstLineChars="200"/>
        <w:rPr>
          <w:rFonts w:hint="eastAsia" w:ascii="仿宋" w:hAnsi="仿宋" w:eastAsia="仿宋" w:cs="仿宋"/>
          <w:b/>
          <w:bCs/>
          <w:color w:val="auto"/>
          <w:sz w:val="24"/>
          <w:highlight w:val="none"/>
          <w:lang w:val="zh-CN"/>
        </w:rPr>
      </w:pPr>
      <w:r>
        <w:rPr>
          <w:rFonts w:hint="eastAsia" w:ascii="仿宋" w:hAnsi="仿宋" w:eastAsia="仿宋" w:cs="仿宋"/>
          <w:color w:val="auto"/>
          <w:sz w:val="24"/>
          <w:highlight w:val="none"/>
          <w:lang w:val="zh-CN"/>
        </w:rPr>
        <w:t>本授权自</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日起生效。（</w:t>
      </w:r>
      <w:r>
        <w:rPr>
          <w:rFonts w:hint="eastAsia" w:ascii="仿宋" w:hAnsi="仿宋" w:eastAsia="仿宋" w:cs="仿宋"/>
          <w:b/>
          <w:color w:val="auto"/>
          <w:sz w:val="24"/>
          <w:highlight w:val="none"/>
          <w:lang w:val="zh-CN"/>
        </w:rPr>
        <w:t>提示：此日期不应晚于谈判响应函签署日期</w:t>
      </w:r>
      <w:r>
        <w:rPr>
          <w:rFonts w:hint="eastAsia" w:ascii="仿宋" w:hAnsi="仿宋" w:eastAsia="仿宋" w:cs="仿宋"/>
          <w:color w:val="auto"/>
          <w:sz w:val="24"/>
          <w:highlight w:val="none"/>
          <w:lang w:val="zh-CN"/>
        </w:rPr>
        <w:t>）</w:t>
      </w:r>
    </w:p>
    <w:p w14:paraId="5918A323">
      <w:pPr>
        <w:autoSpaceDE w:val="0"/>
        <w:autoSpaceDN w:val="0"/>
        <w:adjustRightInd w:val="0"/>
        <w:spacing w:line="348" w:lineRule="auto"/>
        <w:rPr>
          <w:rFonts w:hint="eastAsia" w:ascii="仿宋" w:hAnsi="仿宋" w:eastAsia="仿宋" w:cs="仿宋"/>
          <w:color w:val="auto"/>
          <w:sz w:val="24"/>
          <w:highlight w:val="none"/>
        </w:rPr>
      </w:pPr>
    </w:p>
    <w:p w14:paraId="5D4F389A">
      <w:pPr>
        <w:autoSpaceDE w:val="0"/>
        <w:autoSpaceDN w:val="0"/>
        <w:adjustRightInd w:val="0"/>
        <w:spacing w:line="348"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附：</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被授权人姓名：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性别：</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年龄：</w:t>
      </w:r>
      <w:r>
        <w:rPr>
          <w:rFonts w:hint="eastAsia" w:ascii="仿宋" w:hAnsi="仿宋" w:eastAsia="仿宋" w:cs="仿宋"/>
          <w:color w:val="auto"/>
          <w:sz w:val="24"/>
          <w:highlight w:val="none"/>
          <w:u w:val="single"/>
        </w:rPr>
        <w:t xml:space="preserve">        </w:t>
      </w:r>
    </w:p>
    <w:p w14:paraId="6FD90094">
      <w:pPr>
        <w:autoSpaceDE w:val="0"/>
        <w:autoSpaceDN w:val="0"/>
        <w:adjustRightInd w:val="0"/>
        <w:spacing w:line="348" w:lineRule="auto"/>
        <w:ind w:firstLine="63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职</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身份证号码：</w:t>
      </w:r>
      <w:r>
        <w:rPr>
          <w:rFonts w:hint="eastAsia" w:ascii="仿宋" w:hAnsi="仿宋" w:eastAsia="仿宋" w:cs="仿宋"/>
          <w:color w:val="auto"/>
          <w:sz w:val="24"/>
          <w:highlight w:val="none"/>
          <w:u w:val="single"/>
        </w:rPr>
        <w:t xml:space="preserve">             </w:t>
      </w:r>
    </w:p>
    <w:p w14:paraId="763A2AE9">
      <w:pPr>
        <w:autoSpaceDE w:val="0"/>
        <w:autoSpaceDN w:val="0"/>
        <w:adjustRightInd w:val="0"/>
        <w:spacing w:line="348"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通讯地址：</w:t>
      </w:r>
      <w:r>
        <w:rPr>
          <w:rFonts w:hint="eastAsia" w:ascii="仿宋" w:hAnsi="仿宋" w:eastAsia="仿宋" w:cs="仿宋"/>
          <w:color w:val="auto"/>
          <w:sz w:val="24"/>
          <w:highlight w:val="none"/>
          <w:u w:val="single"/>
        </w:rPr>
        <w:t xml:space="preserve">                                      </w:t>
      </w:r>
    </w:p>
    <w:p w14:paraId="3F53DA8F">
      <w:pPr>
        <w:autoSpaceDE w:val="0"/>
        <w:autoSpaceDN w:val="0"/>
        <w:adjustRightInd w:val="0"/>
        <w:spacing w:line="348"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邮政编码：</w:t>
      </w:r>
      <w:r>
        <w:rPr>
          <w:rFonts w:hint="eastAsia" w:ascii="仿宋" w:hAnsi="仿宋" w:eastAsia="仿宋" w:cs="仿宋"/>
          <w:color w:val="auto"/>
          <w:sz w:val="24"/>
          <w:highlight w:val="none"/>
          <w:u w:val="single"/>
        </w:rPr>
        <w:t xml:space="preserve">                                      </w:t>
      </w:r>
    </w:p>
    <w:p w14:paraId="19335A03">
      <w:pPr>
        <w:autoSpaceDE w:val="0"/>
        <w:autoSpaceDN w:val="0"/>
        <w:adjustRightInd w:val="0"/>
        <w:spacing w:line="348" w:lineRule="auto"/>
        <w:ind w:firstLine="63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电</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传真：</w:t>
      </w:r>
      <w:r>
        <w:rPr>
          <w:rFonts w:hint="eastAsia" w:ascii="仿宋" w:hAnsi="仿宋" w:eastAsia="仿宋" w:cs="仿宋"/>
          <w:color w:val="auto"/>
          <w:sz w:val="24"/>
          <w:highlight w:val="none"/>
          <w:u w:val="single"/>
        </w:rPr>
        <w:t xml:space="preserve">           </w:t>
      </w:r>
    </w:p>
    <w:p w14:paraId="434261EB">
      <w:pPr>
        <w:autoSpaceDE w:val="0"/>
        <w:autoSpaceDN w:val="0"/>
        <w:adjustRightInd w:val="0"/>
        <w:spacing w:line="348" w:lineRule="auto"/>
        <w:rPr>
          <w:rFonts w:hint="eastAsia" w:ascii="仿宋" w:hAnsi="仿宋" w:eastAsia="仿宋" w:cs="仿宋"/>
          <w:color w:val="auto"/>
          <w:sz w:val="24"/>
          <w:highlight w:val="none"/>
        </w:rPr>
      </w:pPr>
    </w:p>
    <w:p w14:paraId="0C8CCB22">
      <w:pPr>
        <w:autoSpaceDE w:val="0"/>
        <w:autoSpaceDN w:val="0"/>
        <w:adjustRightInd w:val="0"/>
        <w:spacing w:line="348"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w:t>
      </w:r>
      <w:r>
        <w:rPr>
          <w:rFonts w:hint="eastAsia" w:ascii="仿宋" w:hAnsi="仿宋" w:eastAsia="仿宋" w:cs="仿宋"/>
          <w:color w:val="auto"/>
          <w:sz w:val="24"/>
          <w:highlight w:val="none"/>
        </w:rPr>
        <w:t>及</w:t>
      </w:r>
      <w:r>
        <w:rPr>
          <w:rFonts w:hint="eastAsia" w:ascii="仿宋" w:hAnsi="仿宋" w:eastAsia="仿宋" w:cs="仿宋"/>
          <w:color w:val="auto"/>
          <w:sz w:val="24"/>
          <w:highlight w:val="none"/>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14:paraId="6B5C39DF">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3F6336D2">
            <w:pPr>
              <w:autoSpaceDE w:val="0"/>
              <w:autoSpaceDN w:val="0"/>
              <w:adjustRightInd w:val="0"/>
              <w:spacing w:line="348"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法定代表人身份证复印件</w:t>
            </w:r>
          </w:p>
          <w:p w14:paraId="01C51218">
            <w:pPr>
              <w:autoSpaceDE w:val="0"/>
              <w:autoSpaceDN w:val="0"/>
              <w:adjustRightInd w:val="0"/>
              <w:spacing w:line="348"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559382A8">
            <w:pPr>
              <w:autoSpaceDE w:val="0"/>
              <w:autoSpaceDN w:val="0"/>
              <w:adjustRightInd w:val="0"/>
              <w:spacing w:line="348" w:lineRule="auto"/>
              <w:jc w:val="center"/>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授权代表身份证复印件</w:t>
            </w:r>
          </w:p>
          <w:p w14:paraId="638453B2">
            <w:pPr>
              <w:autoSpaceDE w:val="0"/>
              <w:autoSpaceDN w:val="0"/>
              <w:adjustRightInd w:val="0"/>
              <w:spacing w:line="348" w:lineRule="auto"/>
              <w:jc w:val="cente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（正反面）</w:t>
            </w:r>
          </w:p>
        </w:tc>
      </w:tr>
    </w:tbl>
    <w:p w14:paraId="2983B59A">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C0302A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 （</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14:paraId="6933E382">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法定代表人（或单位负责人）（签字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14:paraId="6F6B00F8">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06A2E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注：自然人投标的或法定代表人投标的无需提供</w:t>
      </w:r>
    </w:p>
    <w:p w14:paraId="7CA9E827">
      <w:pPr>
        <w:spacing w:after="12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5711FF33">
      <w:pPr>
        <w:tabs>
          <w:tab w:val="left" w:pos="588"/>
        </w:tabs>
        <w:spacing w:line="360" w:lineRule="auto"/>
        <w:jc w:val="center"/>
        <w:outlineLvl w:val="2"/>
        <w:rPr>
          <w:rFonts w:hint="eastAsia" w:ascii="仿宋" w:hAnsi="仿宋" w:eastAsia="仿宋" w:cs="仿宋"/>
          <w:b/>
          <w:bCs/>
          <w:color w:val="auto"/>
          <w:sz w:val="28"/>
          <w:szCs w:val="36"/>
          <w:highlight w:val="none"/>
          <w:lang w:val="zh-CN"/>
        </w:rPr>
      </w:pPr>
      <w:r>
        <w:rPr>
          <w:rFonts w:hint="eastAsia" w:ascii="仿宋" w:hAnsi="仿宋" w:eastAsia="仿宋" w:cs="仿宋"/>
          <w:b/>
          <w:bCs/>
          <w:color w:val="auto"/>
          <w:sz w:val="28"/>
          <w:szCs w:val="36"/>
          <w:highlight w:val="none"/>
          <w:lang w:val="zh-CN"/>
        </w:rPr>
        <w:t>2、法定代表人（或单位负责人）身份证明</w:t>
      </w:r>
    </w:p>
    <w:p w14:paraId="239C3F37">
      <w:pPr>
        <w:autoSpaceDE w:val="0"/>
        <w:autoSpaceDN w:val="0"/>
        <w:adjustRightInd w:val="0"/>
        <w:spacing w:line="360" w:lineRule="auto"/>
        <w:jc w:val="left"/>
        <w:rPr>
          <w:rFonts w:hint="eastAsia" w:ascii="仿宋" w:hAnsi="仿宋" w:eastAsia="仿宋" w:cs="仿宋"/>
          <w:color w:val="auto"/>
          <w:kern w:val="0"/>
          <w:sz w:val="24"/>
          <w:highlight w:val="none"/>
        </w:rPr>
      </w:pPr>
    </w:p>
    <w:p w14:paraId="1F3BC2D2">
      <w:pPr>
        <w:autoSpaceDE w:val="0"/>
        <w:autoSpaceDN w:val="0"/>
        <w:adjustRightInd w:val="0"/>
        <w:spacing w:line="360" w:lineRule="auto"/>
        <w:jc w:val="left"/>
        <w:rPr>
          <w:rFonts w:hint="eastAsia" w:ascii="仿宋" w:hAnsi="仿宋" w:eastAsia="仿宋" w:cs="仿宋"/>
          <w:color w:val="auto"/>
          <w:kern w:val="0"/>
          <w:sz w:val="24"/>
          <w:highlight w:val="none"/>
        </w:rPr>
      </w:pPr>
    </w:p>
    <w:p w14:paraId="56136292">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供应商名称：</w:t>
      </w:r>
      <w:r>
        <w:rPr>
          <w:rFonts w:hint="eastAsia" w:ascii="仿宋" w:hAnsi="仿宋" w:eastAsia="仿宋" w:cs="仿宋"/>
          <w:color w:val="auto"/>
          <w:kern w:val="0"/>
          <w:sz w:val="24"/>
          <w:highlight w:val="none"/>
          <w:u w:val="single"/>
        </w:rPr>
        <w:t xml:space="preserve">                     </w:t>
      </w:r>
    </w:p>
    <w:p w14:paraId="02EB4525">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单位性质： </w:t>
      </w:r>
      <w:r>
        <w:rPr>
          <w:rFonts w:hint="eastAsia" w:ascii="仿宋" w:hAnsi="仿宋" w:eastAsia="仿宋" w:cs="仿宋"/>
          <w:color w:val="auto"/>
          <w:kern w:val="0"/>
          <w:sz w:val="24"/>
          <w:highlight w:val="none"/>
          <w:u w:val="single"/>
        </w:rPr>
        <w:t xml:space="preserve">                      </w:t>
      </w:r>
    </w:p>
    <w:p w14:paraId="37BB3A24">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地    址： </w:t>
      </w:r>
      <w:r>
        <w:rPr>
          <w:rFonts w:hint="eastAsia" w:ascii="仿宋" w:hAnsi="仿宋" w:eastAsia="仿宋" w:cs="仿宋"/>
          <w:color w:val="auto"/>
          <w:kern w:val="0"/>
          <w:sz w:val="24"/>
          <w:highlight w:val="none"/>
          <w:u w:val="single"/>
        </w:rPr>
        <w:t xml:space="preserve">                      </w:t>
      </w:r>
    </w:p>
    <w:p w14:paraId="0DB9800A">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14:paraId="78EE2547">
      <w:pPr>
        <w:autoSpaceDE w:val="0"/>
        <w:autoSpaceDN w:val="0"/>
        <w:adjustRightInd w:val="0"/>
        <w:spacing w:line="360" w:lineRule="auto"/>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经营期限：</w:t>
      </w:r>
      <w:r>
        <w:rPr>
          <w:rFonts w:hint="eastAsia" w:ascii="仿宋" w:hAnsi="仿宋" w:eastAsia="仿宋" w:cs="仿宋"/>
          <w:color w:val="auto"/>
          <w:kern w:val="0"/>
          <w:sz w:val="24"/>
          <w:highlight w:val="none"/>
          <w:u w:val="single"/>
          <w:lang w:val="en-US" w:eastAsia="zh-CN"/>
        </w:rPr>
        <w:t xml:space="preserve">                    </w:t>
      </w:r>
    </w:p>
    <w:p w14:paraId="11305F11">
      <w:pPr>
        <w:autoSpaceDE w:val="0"/>
        <w:autoSpaceDN w:val="0"/>
        <w:adjustRightInd w:val="0"/>
        <w:spacing w:line="360" w:lineRule="auto"/>
        <w:jc w:val="left"/>
        <w:rPr>
          <w:rFonts w:hint="eastAsia" w:ascii="仿宋" w:hAnsi="仿宋" w:eastAsia="仿宋" w:cs="仿宋"/>
          <w:color w:val="auto"/>
          <w:kern w:val="0"/>
          <w:sz w:val="24"/>
          <w:highlight w:val="none"/>
        </w:rPr>
      </w:pPr>
    </w:p>
    <w:p w14:paraId="12D9C9CA">
      <w:pPr>
        <w:autoSpaceDE w:val="0"/>
        <w:autoSpaceDN w:val="0"/>
        <w:adjustRightInd w:val="0"/>
        <w:spacing w:line="360" w:lineRule="auto"/>
        <w:jc w:val="left"/>
        <w:rPr>
          <w:rFonts w:hint="eastAsia" w:ascii="仿宋" w:hAnsi="仿宋" w:eastAsia="仿宋" w:cs="仿宋"/>
          <w:color w:val="auto"/>
          <w:kern w:val="0"/>
          <w:sz w:val="24"/>
          <w:highlight w:val="none"/>
        </w:rPr>
      </w:pPr>
    </w:p>
    <w:p w14:paraId="77F40CA7">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职务：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名称）的法定代表人。</w:t>
      </w:r>
    </w:p>
    <w:p w14:paraId="6A3F1D38">
      <w:pPr>
        <w:autoSpaceDE w:val="0"/>
        <w:autoSpaceDN w:val="0"/>
        <w:adjustRightInd w:val="0"/>
        <w:spacing w:line="36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14:paraId="65EBF9C0">
      <w:pPr>
        <w:autoSpaceDE w:val="0"/>
        <w:autoSpaceDN w:val="0"/>
        <w:adjustRightInd w:val="0"/>
        <w:spacing w:line="360" w:lineRule="auto"/>
        <w:jc w:val="left"/>
        <w:rPr>
          <w:rFonts w:hint="eastAsia" w:ascii="仿宋" w:hAnsi="仿宋" w:eastAsia="仿宋" w:cs="仿宋"/>
          <w:color w:val="auto"/>
          <w:kern w:val="0"/>
          <w:sz w:val="24"/>
          <w:highlight w:val="none"/>
        </w:rPr>
      </w:pPr>
    </w:p>
    <w:p w14:paraId="5026E52C">
      <w:pPr>
        <w:autoSpaceDE w:val="0"/>
        <w:autoSpaceDN w:val="0"/>
        <w:adjustRightInd w:val="0"/>
        <w:spacing w:line="360" w:lineRule="auto"/>
        <w:jc w:val="left"/>
        <w:rPr>
          <w:rFonts w:hint="eastAsia" w:ascii="仿宋" w:hAnsi="仿宋" w:eastAsia="仿宋" w:cs="仿宋"/>
          <w:color w:val="auto"/>
          <w:kern w:val="0"/>
          <w:sz w:val="24"/>
          <w:highlight w:val="none"/>
        </w:rPr>
      </w:pPr>
    </w:p>
    <w:p w14:paraId="621418CB">
      <w:pPr>
        <w:autoSpaceDE w:val="0"/>
        <w:autoSpaceDN w:val="0"/>
        <w:adjustRightInd w:val="0"/>
        <w:spacing w:line="360" w:lineRule="auto"/>
        <w:jc w:val="left"/>
        <w:rPr>
          <w:rFonts w:hint="eastAsia" w:ascii="仿宋" w:hAnsi="仿宋" w:eastAsia="仿宋" w:cs="仿宋"/>
          <w:color w:val="auto"/>
          <w:kern w:val="0"/>
          <w:sz w:val="24"/>
          <w:highlight w:val="none"/>
        </w:rPr>
      </w:pPr>
    </w:p>
    <w:p w14:paraId="7E344DF9">
      <w:pPr>
        <w:autoSpaceDE w:val="0"/>
        <w:autoSpaceDN w:val="0"/>
        <w:adjustRightInd w:val="0"/>
        <w:spacing w:line="360" w:lineRule="auto"/>
        <w:jc w:val="left"/>
        <w:rPr>
          <w:rFonts w:hint="eastAsia" w:ascii="仿宋" w:hAnsi="仿宋" w:eastAsia="仿宋" w:cs="仿宋"/>
          <w:color w:val="auto"/>
          <w:kern w:val="0"/>
          <w:sz w:val="24"/>
          <w:highlight w:val="none"/>
        </w:rPr>
      </w:pPr>
    </w:p>
    <w:p w14:paraId="58819CF5">
      <w:pPr>
        <w:autoSpaceDE w:val="0"/>
        <w:autoSpaceDN w:val="0"/>
        <w:adjustRightInd w:val="0"/>
        <w:spacing w:line="360" w:lineRule="auto"/>
        <w:ind w:firstLine="4320" w:firstLineChars="18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盖</w:t>
      </w:r>
      <w:r>
        <w:rPr>
          <w:rFonts w:hint="eastAsia" w:ascii="仿宋" w:hAnsi="仿宋" w:eastAsia="仿宋" w:cs="仿宋"/>
          <w:color w:val="auto"/>
          <w:kern w:val="0"/>
          <w:sz w:val="24"/>
          <w:highlight w:val="none"/>
        </w:rPr>
        <w:t>公章）：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p>
    <w:p w14:paraId="4347F5BE">
      <w:pPr>
        <w:autoSpaceDE w:val="0"/>
        <w:autoSpaceDN w:val="0"/>
        <w:adjustRightInd w:val="0"/>
        <w:spacing w:line="360" w:lineRule="auto"/>
        <w:ind w:left="5399" w:leftChars="2571"/>
        <w:jc w:val="left"/>
        <w:rPr>
          <w:rFonts w:hint="eastAsia" w:ascii="仿宋" w:hAnsi="仿宋" w:eastAsia="仿宋" w:cs="仿宋"/>
          <w:color w:val="auto"/>
          <w:kern w:val="0"/>
          <w:sz w:val="24"/>
          <w:highlight w:val="none"/>
        </w:rPr>
      </w:pPr>
    </w:p>
    <w:p w14:paraId="759106B7">
      <w:pPr>
        <w:autoSpaceDE w:val="0"/>
        <w:autoSpaceDN w:val="0"/>
        <w:adjustRightInd w:val="0"/>
        <w:spacing w:line="360" w:lineRule="auto"/>
        <w:ind w:left="6659" w:leftChars="3171"/>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年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月</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 xml:space="preserve">  日</w:t>
      </w:r>
    </w:p>
    <w:p w14:paraId="4E95345F">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368804F">
      <w:pPr>
        <w:pStyle w:val="3"/>
        <w:jc w:val="center"/>
        <w:rPr>
          <w:rFonts w:hint="eastAsia" w:ascii="仿宋" w:hAnsi="仿宋" w:eastAsia="仿宋" w:cs="仿宋"/>
          <w:b/>
          <w:bCs/>
          <w:color w:val="auto"/>
          <w:highlight w:val="none"/>
        </w:rPr>
      </w:pPr>
      <w:bookmarkStart w:id="496" w:name="_Toc4298"/>
      <w:bookmarkStart w:id="497" w:name="_Toc20392"/>
      <w:bookmarkStart w:id="498" w:name="_Toc13205"/>
      <w:r>
        <w:rPr>
          <w:rFonts w:hint="eastAsia" w:ascii="仿宋" w:hAnsi="仿宋" w:eastAsia="仿宋" w:cs="仿宋"/>
          <w:b/>
          <w:bCs/>
          <w:color w:val="auto"/>
          <w:highlight w:val="none"/>
        </w:rPr>
        <w:t>二、资格证明文件</w:t>
      </w:r>
      <w:bookmarkEnd w:id="496"/>
      <w:bookmarkEnd w:id="497"/>
      <w:bookmarkEnd w:id="498"/>
    </w:p>
    <w:p w14:paraId="62F95607">
      <w:pPr>
        <w:pStyle w:val="23"/>
        <w:rPr>
          <w:rFonts w:hint="eastAsia" w:ascii="仿宋" w:hAnsi="仿宋" w:eastAsia="仿宋" w:cs="仿宋"/>
          <w:color w:val="auto"/>
          <w:highlight w:val="none"/>
        </w:rPr>
      </w:pPr>
    </w:p>
    <w:p w14:paraId="5EE608D0">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1. </w:t>
      </w:r>
      <w:r>
        <w:rPr>
          <w:rFonts w:hint="eastAsia" w:ascii="仿宋" w:hAnsi="仿宋" w:eastAsia="仿宋" w:cs="仿宋"/>
          <w:color w:val="auto"/>
          <w:sz w:val="24"/>
          <w:highlight w:val="none"/>
        </w:rPr>
        <w:t>供应商的企业法人营业执照副本复印件（格式要求见附件6-1）；</w:t>
      </w:r>
    </w:p>
    <w:p w14:paraId="1DA47850">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2. </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2022或2023年度</w:t>
      </w:r>
      <w:r>
        <w:rPr>
          <w:rFonts w:hint="eastAsia" w:ascii="仿宋" w:hAnsi="仿宋" w:eastAsia="仿宋" w:cs="仿宋"/>
          <w:color w:val="auto"/>
          <w:sz w:val="24"/>
          <w:highlight w:val="none"/>
        </w:rPr>
        <w:t>经审计的</w:t>
      </w:r>
      <w:r>
        <w:rPr>
          <w:rFonts w:hint="eastAsia" w:ascii="仿宋" w:hAnsi="仿宋" w:eastAsia="仿宋" w:cs="仿宋"/>
          <w:color w:val="auto"/>
          <w:sz w:val="24"/>
          <w:highlight w:val="none"/>
          <w:lang w:eastAsia="zh-CN"/>
        </w:rPr>
        <w:t>财务审计报告</w:t>
      </w:r>
      <w:r>
        <w:rPr>
          <w:rFonts w:hint="eastAsia" w:ascii="仿宋" w:hAnsi="仿宋" w:eastAsia="仿宋" w:cs="仿宋"/>
          <w:color w:val="auto"/>
          <w:sz w:val="24"/>
          <w:highlight w:val="none"/>
        </w:rPr>
        <w:t>复印件（包括资产负债表、现金流量表、利润表）</w:t>
      </w:r>
      <w:r>
        <w:rPr>
          <w:rFonts w:hint="eastAsia" w:ascii="仿宋" w:hAnsi="仿宋" w:eastAsia="仿宋" w:cs="仿宋"/>
          <w:color w:val="auto"/>
          <w:sz w:val="24"/>
          <w:highlight w:val="none"/>
          <w:lang w:val="en-US" w:eastAsia="zh-CN"/>
        </w:rPr>
        <w:t>或本年度</w:t>
      </w:r>
      <w:r>
        <w:rPr>
          <w:rFonts w:hint="eastAsia" w:ascii="仿宋" w:hAnsi="仿宋" w:eastAsia="仿宋" w:cs="仿宋"/>
          <w:color w:val="auto"/>
          <w:sz w:val="24"/>
          <w:highlight w:val="none"/>
        </w:rPr>
        <w:t>其基本户开户银行出具的资信证明（格式要求见附件6-2）；</w:t>
      </w:r>
    </w:p>
    <w:p w14:paraId="1BAA902E">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3. </w:t>
      </w:r>
      <w:r>
        <w:rPr>
          <w:rFonts w:hint="eastAsia" w:ascii="仿宋" w:hAnsi="仿宋" w:eastAsia="仿宋" w:cs="仿宋"/>
          <w:color w:val="auto"/>
          <w:sz w:val="24"/>
          <w:highlight w:val="none"/>
        </w:rPr>
        <w:t>依法缴纳税收和社会保障资金的证明材料复印件（格式见附件6-3、6-4）</w:t>
      </w:r>
      <w:r>
        <w:rPr>
          <w:rFonts w:hint="eastAsia" w:ascii="仿宋" w:hAnsi="仿宋" w:eastAsia="仿宋" w:cs="仿宋"/>
          <w:color w:val="auto"/>
          <w:sz w:val="24"/>
          <w:highlight w:val="none"/>
          <w:lang w:eastAsia="zh-CN"/>
        </w:rPr>
        <w:t>；</w:t>
      </w:r>
    </w:p>
    <w:p w14:paraId="7105E1AE">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4. </w:t>
      </w:r>
      <w:r>
        <w:rPr>
          <w:rFonts w:hint="eastAsia" w:ascii="仿宋" w:hAnsi="仿宋" w:eastAsia="仿宋" w:cs="仿宋"/>
          <w:color w:val="auto"/>
          <w:sz w:val="24"/>
          <w:highlight w:val="none"/>
        </w:rPr>
        <w:t>具备履行合同所必需的设备和专业技术能力的承诺原件（格式见附件6-5）；</w:t>
      </w:r>
    </w:p>
    <w:p w14:paraId="075DC697">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5. </w:t>
      </w:r>
      <w:r>
        <w:rPr>
          <w:rFonts w:hint="eastAsia" w:ascii="仿宋" w:hAnsi="仿宋" w:eastAsia="仿宋" w:cs="仿宋"/>
          <w:color w:val="auto"/>
          <w:sz w:val="24"/>
          <w:highlight w:val="none"/>
        </w:rPr>
        <w:t>供应商参加政府采购活动前3年内在经营活动中没有重大违法记录的书面声明原件（格式见附件6-6）</w:t>
      </w:r>
      <w:r>
        <w:rPr>
          <w:rFonts w:hint="eastAsia" w:ascii="仿宋" w:hAnsi="仿宋" w:eastAsia="仿宋" w:cs="仿宋"/>
          <w:color w:val="auto"/>
          <w:sz w:val="24"/>
          <w:highlight w:val="none"/>
          <w:lang w:eastAsia="zh-CN"/>
        </w:rPr>
        <w:t>；</w:t>
      </w:r>
    </w:p>
    <w:p w14:paraId="19630D86">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6. </w:t>
      </w:r>
      <w:r>
        <w:rPr>
          <w:rFonts w:hint="eastAsia" w:ascii="仿宋" w:hAnsi="仿宋" w:eastAsia="仿宋" w:cs="仿宋"/>
          <w:color w:val="auto"/>
          <w:sz w:val="24"/>
          <w:highlight w:val="none"/>
        </w:rPr>
        <w:t>供应商控股股东名称、控股公司的名称和存在管理、被管理关系的单位名称说明（格式见附件6-7</w:t>
      </w:r>
      <w:r>
        <w:rPr>
          <w:rFonts w:hint="eastAsia" w:ascii="仿宋" w:hAnsi="仿宋" w:eastAsia="仿宋" w:cs="仿宋"/>
          <w:color w:val="auto"/>
          <w:sz w:val="24"/>
          <w:highlight w:val="none"/>
          <w:lang w:eastAsia="zh-CN"/>
        </w:rPr>
        <w:t>）；</w:t>
      </w:r>
    </w:p>
    <w:p w14:paraId="6E1F51E9">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 xml:space="preserve">7. </w:t>
      </w:r>
      <w:r>
        <w:rPr>
          <w:rFonts w:hint="eastAsia" w:ascii="仿宋" w:hAnsi="仿宋" w:eastAsia="仿宋" w:cs="仿宋"/>
          <w:color w:val="auto"/>
          <w:sz w:val="24"/>
          <w:highlight w:val="none"/>
        </w:rPr>
        <w:t>供应商是否属于为本项目提供整体设计、规范编制或者项目管理、监理、检测等服务的供应商声明原件（格式见附件6-8</w:t>
      </w:r>
      <w:r>
        <w:rPr>
          <w:rFonts w:hint="eastAsia" w:ascii="仿宋" w:hAnsi="仿宋" w:eastAsia="仿宋" w:cs="仿宋"/>
          <w:color w:val="auto"/>
          <w:sz w:val="24"/>
          <w:highlight w:val="none"/>
          <w:lang w:eastAsia="zh-CN"/>
        </w:rPr>
        <w:t>）；</w:t>
      </w:r>
    </w:p>
    <w:p w14:paraId="56625393">
      <w:pPr>
        <w:keepNext w:val="0"/>
        <w:keepLines w:val="0"/>
        <w:pageBreakBefore w:val="0"/>
        <w:widowControl w:val="0"/>
        <w:numPr>
          <w:ilvl w:val="0"/>
          <w:numId w:val="0"/>
        </w:numPr>
        <w:tabs>
          <w:tab w:val="left" w:pos="993"/>
          <w:tab w:val="left" w:pos="1030"/>
          <w:tab w:val="left" w:pos="8364"/>
        </w:tabs>
        <w:kinsoku/>
        <w:wordWrap/>
        <w:overflowPunct/>
        <w:topLinePunct w:val="0"/>
        <w:autoSpaceDE/>
        <w:autoSpaceDN/>
        <w:bidi w:val="0"/>
        <w:snapToGrid w:val="0"/>
        <w:spacing w:line="360" w:lineRule="auto"/>
        <w:ind w:left="0" w:leftChars="0" w:right="0" w:rightChars="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 xml:space="preserve">8. </w:t>
      </w:r>
      <w:r>
        <w:rPr>
          <w:rFonts w:hint="eastAsia" w:ascii="仿宋" w:hAnsi="仿宋" w:eastAsia="仿宋" w:cs="仿宋"/>
          <w:color w:val="auto"/>
          <w:sz w:val="24"/>
          <w:highlight w:val="none"/>
        </w:rPr>
        <w:t>证明供应商符合特定资格条件的证明材料（格式见附件6-9</w:t>
      </w:r>
      <w:r>
        <w:rPr>
          <w:rFonts w:hint="eastAsia" w:ascii="仿宋" w:hAnsi="仿宋" w:eastAsia="仿宋" w:cs="仿宋"/>
          <w:color w:val="auto"/>
          <w:sz w:val="24"/>
          <w:highlight w:val="none"/>
          <w:lang w:eastAsia="zh-CN"/>
        </w:rPr>
        <w:t>）。</w:t>
      </w:r>
    </w:p>
    <w:p w14:paraId="46C98B0C">
      <w:pPr>
        <w:pStyle w:val="23"/>
        <w:rPr>
          <w:rFonts w:hint="eastAsia" w:ascii="仿宋" w:hAnsi="仿宋" w:eastAsia="仿宋" w:cs="仿宋"/>
          <w:color w:val="auto"/>
          <w:sz w:val="24"/>
          <w:highlight w:val="none"/>
        </w:rPr>
      </w:pPr>
      <w:r>
        <w:rPr>
          <w:rFonts w:hint="eastAsia" w:ascii="仿宋" w:hAnsi="仿宋" w:eastAsia="仿宋" w:cs="仿宋"/>
          <w:color w:val="auto"/>
          <w:highlight w:val="none"/>
        </w:rPr>
        <w:br w:type="page"/>
      </w:r>
    </w:p>
    <w:p w14:paraId="7C6C62BE">
      <w:pPr>
        <w:jc w:val="left"/>
        <w:outlineLvl w:val="2"/>
        <w:rPr>
          <w:rFonts w:hint="eastAsia" w:ascii="仿宋" w:hAnsi="仿宋" w:eastAsia="仿宋" w:cs="仿宋"/>
          <w:b/>
          <w:color w:val="auto"/>
          <w:sz w:val="24"/>
          <w:highlight w:val="none"/>
        </w:rPr>
      </w:pPr>
      <w:bookmarkStart w:id="499" w:name="_Toc7005120"/>
      <w:r>
        <w:rPr>
          <w:rFonts w:hint="eastAsia" w:ascii="仿宋" w:hAnsi="仿宋" w:eastAsia="仿宋" w:cs="仿宋"/>
          <w:b/>
          <w:color w:val="auto"/>
          <w:sz w:val="24"/>
          <w:highlight w:val="none"/>
        </w:rPr>
        <w:t>6-1</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供应商的企业法人营业执照副本复印件（加盖公章）</w:t>
      </w:r>
      <w:bookmarkEnd w:id="499"/>
    </w:p>
    <w:p w14:paraId="5F7E983B">
      <w:pPr>
        <w:jc w:val="left"/>
        <w:rPr>
          <w:rFonts w:hint="eastAsia" w:ascii="仿宋" w:hAnsi="仿宋" w:eastAsia="仿宋" w:cs="仿宋"/>
          <w:color w:val="auto"/>
          <w:sz w:val="24"/>
          <w:highlight w:val="none"/>
        </w:rPr>
      </w:pPr>
    </w:p>
    <w:p w14:paraId="75E7D189">
      <w:pPr>
        <w:tabs>
          <w:tab w:val="left" w:pos="993"/>
          <w:tab w:val="left" w:pos="1030"/>
          <w:tab w:val="left" w:pos="8364"/>
        </w:tabs>
        <w:snapToGrid w:val="0"/>
        <w:spacing w:after="120" w:afterLines="50"/>
        <w:ind w:right="-57"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（注：根据项目实际情况，本项内容可能要求提供“事业单位法人证书”、执业许可证、自然人身份证明等证明材料）</w:t>
      </w:r>
    </w:p>
    <w:p w14:paraId="2B75BA2B">
      <w:pPr>
        <w:adjustRightInd w:val="0"/>
        <w:spacing w:line="360" w:lineRule="atLeast"/>
        <w:jc w:val="left"/>
        <w:textAlignment w:val="baseline"/>
        <w:rPr>
          <w:rFonts w:hint="eastAsia" w:ascii="仿宋" w:hAnsi="仿宋" w:eastAsia="仿宋" w:cs="仿宋"/>
          <w:b/>
          <w:color w:val="auto"/>
          <w:sz w:val="28"/>
          <w:highlight w:val="none"/>
        </w:rPr>
      </w:pPr>
    </w:p>
    <w:p w14:paraId="343D2AF0">
      <w:pPr>
        <w:jc w:val="left"/>
        <w:outlineLvl w:val="2"/>
        <w:rPr>
          <w:rFonts w:hint="eastAsia" w:ascii="仿宋" w:hAnsi="仿宋" w:eastAsia="仿宋" w:cs="仿宋"/>
          <w:b/>
          <w:color w:val="auto"/>
          <w:sz w:val="24"/>
          <w:highlight w:val="none"/>
          <w:lang w:eastAsia="zh-CN"/>
        </w:rPr>
      </w:pPr>
      <w:bookmarkStart w:id="500" w:name="_Ref527015333"/>
      <w:bookmarkStart w:id="501" w:name="_Toc7005121"/>
      <w:r>
        <w:rPr>
          <w:rFonts w:hint="eastAsia" w:ascii="仿宋" w:hAnsi="仿宋" w:eastAsia="仿宋" w:cs="仿宋"/>
          <w:b/>
          <w:color w:val="auto"/>
          <w:sz w:val="24"/>
          <w:highlight w:val="none"/>
        </w:rPr>
        <w:t>6-2</w:t>
      </w:r>
      <w:r>
        <w:rPr>
          <w:rFonts w:hint="eastAsia" w:ascii="仿宋" w:hAnsi="仿宋" w:eastAsia="仿宋" w:cs="仿宋"/>
          <w:b/>
          <w:color w:val="auto"/>
          <w:sz w:val="24"/>
          <w:highlight w:val="none"/>
          <w:lang w:val="en-US" w:eastAsia="zh-CN"/>
        </w:rPr>
        <w:t xml:space="preserve">  </w:t>
      </w:r>
      <w:bookmarkEnd w:id="500"/>
      <w:bookmarkEnd w:id="501"/>
      <w:r>
        <w:rPr>
          <w:rFonts w:hint="eastAsia" w:ascii="仿宋" w:hAnsi="仿宋" w:eastAsia="仿宋" w:cs="仿宋"/>
          <w:b/>
          <w:color w:val="auto"/>
          <w:sz w:val="24"/>
          <w:highlight w:val="none"/>
          <w:lang w:eastAsia="zh-CN"/>
        </w:rPr>
        <w:t>财务审计报告</w:t>
      </w:r>
    </w:p>
    <w:p w14:paraId="1BECCE7A">
      <w:pPr>
        <w:spacing w:line="360" w:lineRule="auto"/>
        <w:rPr>
          <w:rFonts w:hint="eastAsia" w:ascii="仿宋" w:hAnsi="仿宋" w:eastAsia="仿宋" w:cs="仿宋"/>
          <w:color w:val="auto"/>
          <w:szCs w:val="21"/>
          <w:highlight w:val="none"/>
        </w:rPr>
      </w:pPr>
    </w:p>
    <w:p w14:paraId="522C42E3">
      <w:pPr>
        <w:tabs>
          <w:tab w:val="left" w:pos="993"/>
          <w:tab w:val="left" w:pos="1030"/>
          <w:tab w:val="left" w:pos="8364"/>
        </w:tabs>
        <w:snapToGrid w:val="0"/>
        <w:spacing w:after="120" w:afterLines="50"/>
        <w:ind w:right="-57"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提供供应商</w:t>
      </w:r>
      <w:r>
        <w:rPr>
          <w:rFonts w:hint="eastAsia" w:ascii="仿宋" w:hAnsi="仿宋" w:eastAsia="仿宋" w:cs="仿宋"/>
          <w:color w:val="auto"/>
          <w:sz w:val="24"/>
          <w:szCs w:val="24"/>
          <w:highlight w:val="none"/>
        </w:rPr>
        <w:t>具有财务审计资质单位出具的</w:t>
      </w:r>
      <w:r>
        <w:rPr>
          <w:rFonts w:hint="eastAsia" w:ascii="仿宋" w:hAnsi="仿宋" w:eastAsia="仿宋" w:cs="仿宋"/>
          <w:color w:val="auto"/>
          <w:sz w:val="24"/>
          <w:highlight w:val="none"/>
          <w:lang w:val="en-US" w:eastAsia="zh-CN"/>
        </w:rPr>
        <w:t>2022或2023年度</w:t>
      </w:r>
      <w:r>
        <w:rPr>
          <w:rFonts w:hint="eastAsia" w:ascii="仿宋" w:hAnsi="仿宋" w:eastAsia="仿宋" w:cs="仿宋"/>
          <w:color w:val="auto"/>
          <w:sz w:val="24"/>
          <w:highlight w:val="none"/>
        </w:rPr>
        <w:t>经审计的</w:t>
      </w:r>
      <w:r>
        <w:rPr>
          <w:rFonts w:hint="eastAsia" w:ascii="仿宋" w:hAnsi="仿宋" w:eastAsia="仿宋" w:cs="仿宋"/>
          <w:color w:val="auto"/>
          <w:sz w:val="24"/>
          <w:highlight w:val="none"/>
          <w:lang w:eastAsia="zh-CN"/>
        </w:rPr>
        <w:t>财务审计报告</w:t>
      </w:r>
      <w:r>
        <w:rPr>
          <w:rFonts w:hint="eastAsia" w:ascii="仿宋" w:hAnsi="仿宋" w:eastAsia="仿宋" w:cs="仿宋"/>
          <w:color w:val="auto"/>
          <w:sz w:val="24"/>
          <w:highlight w:val="none"/>
        </w:rPr>
        <w:t>（包括资产负债表、现金流量表、利润表）复印件或扫描件、所有复印件或扫描件需加盖单位公章。</w:t>
      </w:r>
    </w:p>
    <w:p w14:paraId="7B72D9B3">
      <w:pPr>
        <w:jc w:val="left"/>
        <w:outlineLvl w:val="2"/>
        <w:rPr>
          <w:rFonts w:hint="eastAsia" w:ascii="仿宋" w:hAnsi="仿宋" w:eastAsia="仿宋" w:cs="仿宋"/>
          <w:b/>
          <w:color w:val="auto"/>
          <w:sz w:val="24"/>
          <w:highlight w:val="none"/>
        </w:rPr>
      </w:pPr>
      <w:bookmarkStart w:id="502" w:name="_Toc7005122"/>
    </w:p>
    <w:p w14:paraId="76741DA2">
      <w:pPr>
        <w:jc w:val="left"/>
        <w:outlineLvl w:val="2"/>
        <w:rPr>
          <w:rFonts w:hint="eastAsia" w:ascii="仿宋" w:hAnsi="仿宋" w:eastAsia="仿宋" w:cs="仿宋"/>
          <w:b/>
          <w:color w:val="auto"/>
          <w:sz w:val="24"/>
          <w:highlight w:val="none"/>
        </w:rPr>
      </w:pPr>
    </w:p>
    <w:p w14:paraId="0ECB6A90">
      <w:pPr>
        <w:jc w:val="left"/>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或  6-2  </w:t>
      </w:r>
      <w:bookmarkEnd w:id="502"/>
      <w:r>
        <w:rPr>
          <w:rFonts w:hint="eastAsia" w:ascii="仿宋" w:hAnsi="仿宋" w:eastAsia="仿宋" w:cs="仿宋"/>
          <w:b/>
          <w:color w:val="auto"/>
          <w:sz w:val="24"/>
          <w:highlight w:val="none"/>
        </w:rPr>
        <w:t>提供</w:t>
      </w:r>
      <w:r>
        <w:rPr>
          <w:rFonts w:hint="eastAsia" w:ascii="仿宋" w:hAnsi="仿宋" w:eastAsia="仿宋" w:cs="仿宋"/>
          <w:b/>
          <w:color w:val="auto"/>
          <w:sz w:val="24"/>
          <w:highlight w:val="none"/>
          <w:lang w:val="en-US" w:eastAsia="zh-CN"/>
        </w:rPr>
        <w:t>本年度</w:t>
      </w:r>
      <w:r>
        <w:rPr>
          <w:rFonts w:hint="eastAsia" w:ascii="仿宋" w:hAnsi="仿宋" w:eastAsia="仿宋" w:cs="仿宋"/>
          <w:b/>
          <w:color w:val="auto"/>
          <w:sz w:val="24"/>
          <w:highlight w:val="none"/>
        </w:rPr>
        <w:t>其基本户开户银行出具的资信证明</w:t>
      </w:r>
    </w:p>
    <w:p w14:paraId="4DDCDEA9">
      <w:pPr>
        <w:spacing w:line="360" w:lineRule="auto"/>
        <w:rPr>
          <w:rFonts w:hint="eastAsia" w:ascii="仿宋" w:hAnsi="仿宋" w:eastAsia="仿宋" w:cs="仿宋"/>
          <w:color w:val="auto"/>
          <w:szCs w:val="21"/>
          <w:highlight w:val="none"/>
        </w:rPr>
      </w:pPr>
    </w:p>
    <w:p w14:paraId="22CDDE80">
      <w:pPr>
        <w:tabs>
          <w:tab w:val="left" w:pos="993"/>
          <w:tab w:val="left" w:pos="1030"/>
          <w:tab w:val="left" w:pos="8364"/>
        </w:tabs>
        <w:snapToGrid w:val="0"/>
        <w:spacing w:after="120" w:afterLines="50"/>
        <w:ind w:right="-57" w:rightChars="-27"/>
        <w:rPr>
          <w:rFonts w:hint="eastAsia" w:ascii="仿宋" w:hAnsi="仿宋" w:eastAsia="仿宋" w:cs="仿宋"/>
          <w:color w:val="auto"/>
          <w:sz w:val="24"/>
          <w:highlight w:val="none"/>
        </w:rPr>
      </w:pPr>
      <w:r>
        <w:rPr>
          <w:rFonts w:hint="eastAsia" w:ascii="仿宋" w:hAnsi="仿宋" w:eastAsia="仿宋" w:cs="仿宋"/>
          <w:color w:val="auto"/>
          <w:sz w:val="24"/>
          <w:highlight w:val="none"/>
        </w:rPr>
        <w:t>注：附基本帐户的“银行开户许可证</w:t>
      </w:r>
      <w:r>
        <w:rPr>
          <w:rFonts w:hint="eastAsia" w:ascii="仿宋" w:hAnsi="仿宋" w:eastAsia="仿宋" w:cs="仿宋"/>
          <w:color w:val="auto"/>
          <w:sz w:val="24"/>
          <w:highlight w:val="none"/>
          <w:lang w:val="en-US" w:eastAsia="zh-CN"/>
        </w:rPr>
        <w:t>或基本存款账户信息</w:t>
      </w:r>
      <w:r>
        <w:rPr>
          <w:rFonts w:hint="eastAsia" w:ascii="仿宋" w:hAnsi="仿宋" w:eastAsia="仿宋" w:cs="仿宋"/>
          <w:color w:val="auto"/>
          <w:sz w:val="24"/>
          <w:highlight w:val="none"/>
        </w:rPr>
        <w:t>”的复印件。</w:t>
      </w:r>
    </w:p>
    <w:p w14:paraId="72FE07ED">
      <w:pPr>
        <w:tabs>
          <w:tab w:val="left" w:pos="5580"/>
        </w:tabs>
        <w:spacing w:before="120" w:line="360" w:lineRule="auto"/>
        <w:ind w:firstLine="480" w:firstLineChars="200"/>
        <w:rPr>
          <w:rFonts w:hint="eastAsia" w:ascii="仿宋" w:hAnsi="仿宋" w:eastAsia="仿宋" w:cs="仿宋"/>
          <w:color w:val="auto"/>
          <w:sz w:val="24"/>
          <w:highlight w:val="none"/>
        </w:rPr>
      </w:pPr>
    </w:p>
    <w:p w14:paraId="36278E89">
      <w:pPr>
        <w:jc w:val="left"/>
        <w:outlineLvl w:val="2"/>
        <w:rPr>
          <w:rFonts w:hint="eastAsia" w:ascii="仿宋" w:hAnsi="仿宋" w:eastAsia="仿宋" w:cs="仿宋"/>
          <w:b/>
          <w:color w:val="auto"/>
          <w:sz w:val="24"/>
          <w:highlight w:val="none"/>
        </w:rPr>
      </w:pPr>
      <w:bookmarkStart w:id="503" w:name="_Toc7005123"/>
      <w:r>
        <w:rPr>
          <w:rFonts w:hint="eastAsia" w:ascii="仿宋" w:hAnsi="仿宋" w:eastAsia="仿宋" w:cs="仿宋"/>
          <w:b/>
          <w:color w:val="auto"/>
          <w:sz w:val="24"/>
          <w:highlight w:val="none"/>
        </w:rPr>
        <w:t>6-3</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依法缴纳税收的证明</w:t>
      </w:r>
      <w:bookmarkEnd w:id="503"/>
    </w:p>
    <w:p w14:paraId="3CF5DD1F">
      <w:pPr>
        <w:tabs>
          <w:tab w:val="left" w:pos="993"/>
          <w:tab w:val="left" w:pos="1030"/>
          <w:tab w:val="left" w:pos="8364"/>
        </w:tabs>
        <w:snapToGrid w:val="0"/>
        <w:spacing w:after="120" w:afterLines="50"/>
        <w:ind w:left="420" w:right="-57" w:rightChars="-27" w:firstLine="480" w:firstLineChars="200"/>
        <w:jc w:val="left"/>
        <w:rPr>
          <w:rFonts w:hint="eastAsia" w:ascii="仿宋" w:hAnsi="仿宋" w:eastAsia="仿宋" w:cs="仿宋"/>
          <w:color w:val="auto"/>
          <w:sz w:val="24"/>
          <w:highlight w:val="none"/>
        </w:rPr>
      </w:pPr>
    </w:p>
    <w:p w14:paraId="01393389">
      <w:pPr>
        <w:tabs>
          <w:tab w:val="left" w:pos="993"/>
          <w:tab w:val="left" w:pos="1030"/>
          <w:tab w:val="left" w:pos="8364"/>
        </w:tabs>
        <w:snapToGrid w:val="0"/>
        <w:spacing w:after="120" w:afterLines="50"/>
        <w:ind w:right="-57" w:rightChars="-27"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71AE85CD">
      <w:pPr>
        <w:keepNext w:val="0"/>
        <w:keepLines w:val="0"/>
        <w:pageBreakBefore w:val="0"/>
        <w:widowControl w:val="0"/>
        <w:tabs>
          <w:tab w:val="left" w:pos="993"/>
          <w:tab w:val="left" w:pos="1030"/>
          <w:tab w:val="left" w:pos="8364"/>
        </w:tabs>
        <w:kinsoku/>
        <w:wordWrap/>
        <w:overflowPunct/>
        <w:topLinePunct w:val="0"/>
        <w:autoSpaceDE/>
        <w:autoSpaceDN/>
        <w:bidi w:val="0"/>
        <w:adjustRightInd/>
        <w:snapToGrid w:val="0"/>
        <w:spacing w:after="120" w:afterLines="50"/>
        <w:ind w:left="420" w:leftChars="200" w:right="-57" w:rightChars="-27" w:firstLine="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1、供应商应提供</w:t>
      </w:r>
      <w:r>
        <w:rPr>
          <w:rFonts w:hint="eastAsia" w:ascii="仿宋" w:hAnsi="仿宋" w:eastAsia="仿宋" w:cs="仿宋"/>
          <w:color w:val="auto"/>
          <w:sz w:val="24"/>
          <w:highlight w:val="none"/>
          <w:lang w:val="en-US" w:eastAsia="zh-CN"/>
        </w:rPr>
        <w:t>2024年度任意一个月纳税</w:t>
      </w:r>
      <w:r>
        <w:rPr>
          <w:rFonts w:hint="eastAsia" w:ascii="仿宋" w:hAnsi="仿宋" w:eastAsia="仿宋" w:cs="仿宋"/>
          <w:color w:val="auto"/>
          <w:sz w:val="24"/>
          <w:highlight w:val="none"/>
        </w:rPr>
        <w:t>凭证，时间以税款所属时期为准（银行出具的缴税凭证或税务机关出具的证明的复印件，并加盖本单位公章）。</w:t>
      </w:r>
    </w:p>
    <w:p w14:paraId="0CAFB43B">
      <w:pPr>
        <w:keepNext w:val="0"/>
        <w:keepLines w:val="0"/>
        <w:pageBreakBefore w:val="0"/>
        <w:widowControl w:val="0"/>
        <w:tabs>
          <w:tab w:val="left" w:pos="993"/>
          <w:tab w:val="left" w:pos="1030"/>
          <w:tab w:val="left" w:pos="8364"/>
        </w:tabs>
        <w:kinsoku/>
        <w:wordWrap/>
        <w:overflowPunct/>
        <w:topLinePunct w:val="0"/>
        <w:autoSpaceDE/>
        <w:autoSpaceDN/>
        <w:bidi w:val="0"/>
        <w:adjustRightInd/>
        <w:snapToGrid w:val="0"/>
        <w:spacing w:after="120" w:afterLines="50"/>
        <w:ind w:left="420" w:leftChars="200" w:right="-57" w:rightChars="-27" w:firstLine="0" w:firstLineChars="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2、依法免税的供应商，应提供相应文件证明其依法免税。</w:t>
      </w:r>
    </w:p>
    <w:p w14:paraId="79AB2D77">
      <w:pPr>
        <w:tabs>
          <w:tab w:val="left" w:pos="993"/>
          <w:tab w:val="left" w:pos="1030"/>
          <w:tab w:val="left" w:pos="8364"/>
        </w:tabs>
        <w:snapToGrid w:val="0"/>
        <w:spacing w:after="120" w:afterLines="50"/>
        <w:ind w:right="-57" w:rightChars="-27"/>
        <w:jc w:val="left"/>
        <w:rPr>
          <w:rFonts w:hint="eastAsia" w:ascii="仿宋" w:hAnsi="仿宋" w:eastAsia="仿宋" w:cs="仿宋"/>
          <w:color w:val="auto"/>
          <w:sz w:val="24"/>
          <w:highlight w:val="none"/>
        </w:rPr>
      </w:pPr>
    </w:p>
    <w:p w14:paraId="547104C5">
      <w:pPr>
        <w:jc w:val="left"/>
        <w:outlineLvl w:val="2"/>
        <w:rPr>
          <w:rFonts w:hint="eastAsia" w:ascii="仿宋" w:hAnsi="仿宋" w:eastAsia="仿宋" w:cs="仿宋"/>
          <w:b/>
          <w:color w:val="auto"/>
          <w:sz w:val="24"/>
          <w:highlight w:val="none"/>
        </w:rPr>
      </w:pPr>
      <w:bookmarkStart w:id="504" w:name="_Toc7005124"/>
      <w:r>
        <w:rPr>
          <w:rFonts w:hint="eastAsia" w:ascii="仿宋" w:hAnsi="仿宋" w:eastAsia="仿宋" w:cs="仿宋"/>
          <w:b/>
          <w:color w:val="auto"/>
          <w:sz w:val="24"/>
          <w:highlight w:val="none"/>
        </w:rPr>
        <w:t>6-4</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社会保障资金缴纳记录</w:t>
      </w:r>
      <w:bookmarkEnd w:id="504"/>
    </w:p>
    <w:p w14:paraId="7648113A">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p>
    <w:p w14:paraId="012ADC6D">
      <w:pPr>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p w14:paraId="18126CCC">
      <w:pPr>
        <w:numPr>
          <w:ilvl w:val="0"/>
          <w:numId w:val="11"/>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供应商应提供</w:t>
      </w:r>
      <w:r>
        <w:rPr>
          <w:rFonts w:hint="eastAsia" w:ascii="仿宋" w:hAnsi="仿宋" w:eastAsia="仿宋" w:cs="仿宋"/>
          <w:color w:val="auto"/>
          <w:sz w:val="24"/>
          <w:highlight w:val="none"/>
          <w:lang w:val="en-US" w:eastAsia="zh-CN"/>
        </w:rPr>
        <w:t>2024年度任意一个月</w:t>
      </w:r>
      <w:r>
        <w:rPr>
          <w:rFonts w:hint="eastAsia" w:ascii="仿宋" w:hAnsi="仿宋" w:eastAsia="仿宋" w:cs="仿宋"/>
          <w:color w:val="auto"/>
          <w:sz w:val="24"/>
          <w:highlight w:val="none"/>
        </w:rPr>
        <w:t>的社会缴纳社会保险的凭据（专用收据或社会保险缴纳清单），并加盖本单位公章。</w:t>
      </w:r>
    </w:p>
    <w:p w14:paraId="27CC95A4">
      <w:pPr>
        <w:numPr>
          <w:ilvl w:val="0"/>
          <w:numId w:val="11"/>
        </w:numPr>
        <w:tabs>
          <w:tab w:val="left" w:pos="993"/>
          <w:tab w:val="left" w:pos="1030"/>
          <w:tab w:val="left" w:pos="8364"/>
        </w:tabs>
        <w:snapToGrid w:val="0"/>
        <w:spacing w:after="120" w:afterLines="50"/>
        <w:ind w:left="420" w:leftChars="200" w:right="-57" w:rightChars="-27"/>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不需要缴纳社会保障资金的供应商，应提供相应文件证明其不需要缴纳社会保障资金。</w:t>
      </w:r>
    </w:p>
    <w:p w14:paraId="3CDB60D2">
      <w:pPr>
        <w:rPr>
          <w:rFonts w:hint="eastAsia" w:ascii="仿宋" w:hAnsi="仿宋" w:eastAsia="仿宋" w:cs="仿宋"/>
          <w:color w:val="auto"/>
          <w:sz w:val="24"/>
          <w:highlight w:val="none"/>
        </w:rPr>
      </w:pPr>
      <w:bookmarkStart w:id="505" w:name="_Toc7005125"/>
      <w:r>
        <w:rPr>
          <w:rFonts w:hint="eastAsia" w:ascii="仿宋" w:hAnsi="仿宋" w:eastAsia="仿宋" w:cs="仿宋"/>
          <w:color w:val="auto"/>
          <w:sz w:val="24"/>
          <w:highlight w:val="none"/>
        </w:rPr>
        <w:br w:type="page"/>
      </w:r>
    </w:p>
    <w:p w14:paraId="512DC2A1">
      <w:pPr>
        <w:jc w:val="left"/>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6-5</w:t>
      </w:r>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具备履行合同所必需的设备和专业技术能力承诺书</w:t>
      </w:r>
      <w:bookmarkEnd w:id="505"/>
      <w:r>
        <w:rPr>
          <w:rFonts w:hint="eastAsia" w:ascii="仿宋" w:hAnsi="仿宋" w:eastAsia="仿宋" w:cs="仿宋"/>
          <w:b/>
          <w:color w:val="auto"/>
          <w:sz w:val="24"/>
          <w:highlight w:val="none"/>
        </w:rPr>
        <w:t xml:space="preserve"> </w:t>
      </w:r>
    </w:p>
    <w:p w14:paraId="48275B66">
      <w:pPr>
        <w:rPr>
          <w:rFonts w:hint="eastAsia" w:ascii="仿宋" w:hAnsi="仿宋" w:eastAsia="仿宋" w:cs="仿宋"/>
          <w:color w:val="auto"/>
          <w:kern w:val="0"/>
          <w:sz w:val="24"/>
          <w:highlight w:val="none"/>
        </w:rPr>
      </w:pPr>
    </w:p>
    <w:p w14:paraId="341F5838">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陕西省采购招标有限责任公司：</w:t>
      </w:r>
    </w:p>
    <w:p w14:paraId="37117AA7">
      <w:pPr>
        <w:ind w:firstLine="480"/>
        <w:rPr>
          <w:rFonts w:hint="eastAsia" w:ascii="仿宋" w:hAnsi="仿宋" w:eastAsia="仿宋" w:cs="仿宋"/>
          <w:color w:val="auto"/>
          <w:kern w:val="0"/>
          <w:sz w:val="24"/>
          <w:highlight w:val="none"/>
        </w:rPr>
      </w:pPr>
    </w:p>
    <w:p w14:paraId="73321E49">
      <w:pPr>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我公司承诺</w:t>
      </w:r>
      <w:r>
        <w:rPr>
          <w:rFonts w:hint="eastAsia" w:ascii="仿宋" w:hAnsi="仿宋" w:eastAsia="仿宋" w:cs="仿宋"/>
          <w:color w:val="auto"/>
          <w:sz w:val="24"/>
          <w:highlight w:val="none"/>
        </w:rPr>
        <w:t>具备履行合同所必需的设备和专业技术能力</w:t>
      </w:r>
      <w:r>
        <w:rPr>
          <w:rFonts w:hint="eastAsia" w:ascii="仿宋" w:hAnsi="仿宋" w:eastAsia="仿宋" w:cs="仿宋"/>
          <w:color w:val="auto"/>
          <w:kern w:val="0"/>
          <w:sz w:val="24"/>
          <w:highlight w:val="none"/>
        </w:rPr>
        <w:t>。</w:t>
      </w:r>
    </w:p>
    <w:p w14:paraId="1A8F65A0">
      <w:pPr>
        <w:ind w:firstLine="480"/>
        <w:rPr>
          <w:rFonts w:hint="eastAsia" w:ascii="仿宋" w:hAnsi="仿宋" w:eastAsia="仿宋" w:cs="仿宋"/>
          <w:b/>
          <w:color w:val="auto"/>
          <w:sz w:val="24"/>
          <w:highlight w:val="none"/>
        </w:rPr>
      </w:pPr>
    </w:p>
    <w:p w14:paraId="6922EE0B">
      <w:pPr>
        <w:ind w:firstLine="480"/>
        <w:rPr>
          <w:rFonts w:hint="eastAsia" w:ascii="仿宋" w:hAnsi="仿宋" w:eastAsia="仿宋" w:cs="仿宋"/>
          <w:b/>
          <w:color w:val="auto"/>
          <w:sz w:val="24"/>
          <w:highlight w:val="none"/>
        </w:rPr>
      </w:pPr>
    </w:p>
    <w:p w14:paraId="5953C1C7">
      <w:pPr>
        <w:ind w:firstLine="480"/>
        <w:rPr>
          <w:rFonts w:hint="eastAsia" w:ascii="仿宋" w:hAnsi="仿宋" w:eastAsia="仿宋" w:cs="仿宋"/>
          <w:b/>
          <w:color w:val="auto"/>
          <w:sz w:val="24"/>
          <w:highlight w:val="none"/>
        </w:rPr>
      </w:pPr>
    </w:p>
    <w:p w14:paraId="081931A8">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471B9138">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7B9B3868">
      <w:pP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F79685E">
      <w:pPr>
        <w:ind w:right="280"/>
        <w:rPr>
          <w:rFonts w:hint="eastAsia" w:ascii="仿宋" w:hAnsi="仿宋" w:eastAsia="仿宋" w:cs="仿宋"/>
          <w:color w:val="auto"/>
          <w:sz w:val="24"/>
          <w:highlight w:val="none"/>
        </w:rPr>
      </w:pPr>
    </w:p>
    <w:p w14:paraId="26070C7F">
      <w:pPr>
        <w:widowControl/>
        <w:jc w:val="left"/>
        <w:rPr>
          <w:rFonts w:hint="eastAsia" w:ascii="仿宋" w:hAnsi="仿宋" w:eastAsia="仿宋" w:cs="仿宋"/>
          <w:b/>
          <w:color w:val="auto"/>
          <w:sz w:val="24"/>
          <w:highlight w:val="none"/>
        </w:rPr>
      </w:pPr>
    </w:p>
    <w:p w14:paraId="01345BB7">
      <w:pPr>
        <w:pStyle w:val="68"/>
        <w:numPr>
          <w:ilvl w:val="1"/>
          <w:numId w:val="12"/>
        </w:numPr>
        <w:ind w:firstLineChars="0"/>
        <w:jc w:val="left"/>
        <w:outlineLvl w:val="2"/>
        <w:rPr>
          <w:rFonts w:hint="eastAsia" w:ascii="仿宋" w:hAnsi="仿宋" w:eastAsia="仿宋" w:cs="仿宋"/>
          <w:b/>
          <w:color w:val="auto"/>
          <w:sz w:val="24"/>
          <w:highlight w:val="none"/>
        </w:rPr>
      </w:pPr>
      <w:bookmarkStart w:id="506" w:name="_Toc7005126"/>
      <w:r>
        <w:rPr>
          <w:rFonts w:hint="eastAsia" w:ascii="仿宋" w:hAnsi="仿宋" w:eastAsia="仿宋" w:cs="仿宋"/>
          <w:b/>
          <w:color w:val="auto"/>
          <w:sz w:val="24"/>
          <w:highlight w:val="none"/>
          <w:lang w:val="en-US" w:eastAsia="zh-CN"/>
        </w:rPr>
        <w:t xml:space="preserve">  </w:t>
      </w:r>
      <w:r>
        <w:rPr>
          <w:rFonts w:hint="eastAsia" w:ascii="仿宋" w:hAnsi="仿宋" w:eastAsia="仿宋" w:cs="仿宋"/>
          <w:b/>
          <w:color w:val="auto"/>
          <w:sz w:val="24"/>
          <w:highlight w:val="none"/>
        </w:rPr>
        <w:t>供应商参加政府采购活动前3年内在经营活动中没有重大违法记录的书面声明（格式）</w:t>
      </w:r>
      <w:bookmarkEnd w:id="506"/>
    </w:p>
    <w:p w14:paraId="3B48FF13">
      <w:pPr>
        <w:jc w:val="center"/>
        <w:rPr>
          <w:rFonts w:hint="eastAsia" w:ascii="仿宋" w:hAnsi="仿宋" w:eastAsia="仿宋" w:cs="仿宋"/>
          <w:color w:val="auto"/>
          <w:sz w:val="24"/>
          <w:highlight w:val="none"/>
        </w:rPr>
      </w:pPr>
    </w:p>
    <w:p w14:paraId="4D3431E5">
      <w:pPr>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声明函</w:t>
      </w:r>
    </w:p>
    <w:p w14:paraId="7DC2612B">
      <w:pPr>
        <w:jc w:val="center"/>
        <w:rPr>
          <w:rFonts w:hint="eastAsia" w:ascii="仿宋" w:hAnsi="仿宋" w:eastAsia="仿宋" w:cs="仿宋"/>
          <w:color w:val="auto"/>
          <w:sz w:val="24"/>
          <w:highlight w:val="none"/>
        </w:rPr>
      </w:pPr>
    </w:p>
    <w:p w14:paraId="0378C51C">
      <w:pPr>
        <w:tabs>
          <w:tab w:val="left" w:pos="5580"/>
        </w:tabs>
        <w:spacing w:before="120"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1C622871">
      <w:pP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我公司郑重承诺在参加本项目政府采购活动前三年内，在经营活动中无重大违法记录。</w:t>
      </w:r>
    </w:p>
    <w:p w14:paraId="6CE9FD36">
      <w:pP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特此声明。</w:t>
      </w:r>
    </w:p>
    <w:p w14:paraId="069A2DC8">
      <w:pPr>
        <w:tabs>
          <w:tab w:val="left" w:pos="5580"/>
        </w:tabs>
        <w:spacing w:before="120" w:line="360" w:lineRule="auto"/>
        <w:ind w:firstLine="480" w:firstLineChars="200"/>
        <w:rPr>
          <w:rFonts w:hint="eastAsia" w:ascii="仿宋" w:hAnsi="仿宋" w:eastAsia="仿宋" w:cs="仿宋"/>
          <w:color w:val="auto"/>
          <w:sz w:val="24"/>
          <w:highlight w:val="none"/>
        </w:rPr>
      </w:pPr>
    </w:p>
    <w:p w14:paraId="7A5A7B1A">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6EAEBFFF">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2E634F54">
      <w:pP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633A496">
      <w:pPr>
        <w:pStyle w:val="23"/>
        <w:rPr>
          <w:rFonts w:hint="eastAsia" w:ascii="仿宋" w:hAnsi="仿宋" w:eastAsia="仿宋" w:cs="仿宋"/>
          <w:color w:val="auto"/>
          <w:highlight w:val="none"/>
        </w:rPr>
      </w:pPr>
    </w:p>
    <w:p w14:paraId="3ADA3D6E">
      <w:pPr>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68390773">
      <w:pPr>
        <w:pStyle w:val="68"/>
        <w:numPr>
          <w:ilvl w:val="0"/>
          <w:numId w:val="0"/>
        </w:numPr>
        <w:ind w:leftChars="0"/>
        <w:jc w:val="left"/>
        <w:outlineLvl w:val="2"/>
        <w:rPr>
          <w:rFonts w:hint="eastAsia" w:ascii="仿宋" w:hAnsi="仿宋" w:eastAsia="仿宋" w:cs="仿宋"/>
          <w:b/>
          <w:color w:val="auto"/>
          <w:sz w:val="24"/>
          <w:highlight w:val="none"/>
        </w:rPr>
      </w:pPr>
      <w:bookmarkStart w:id="507" w:name="_Toc7005127"/>
      <w:r>
        <w:rPr>
          <w:rFonts w:hint="eastAsia" w:ascii="仿宋" w:hAnsi="仿宋" w:eastAsia="仿宋" w:cs="仿宋"/>
          <w:b/>
          <w:color w:val="auto"/>
          <w:sz w:val="24"/>
          <w:highlight w:val="none"/>
          <w:lang w:val="en-US" w:eastAsia="zh-CN"/>
        </w:rPr>
        <w:t xml:space="preserve">6-7 </w:t>
      </w:r>
      <w:r>
        <w:rPr>
          <w:rFonts w:hint="eastAsia" w:ascii="仿宋" w:hAnsi="仿宋" w:eastAsia="仿宋" w:cs="仿宋"/>
          <w:b/>
          <w:color w:val="auto"/>
          <w:sz w:val="24"/>
          <w:highlight w:val="none"/>
        </w:rPr>
        <w:t xml:space="preserve"> 供应商控股股东名称、控股公司的名称和存在管理、被管理关系的单位名称说明</w:t>
      </w:r>
      <w:bookmarkEnd w:id="507"/>
    </w:p>
    <w:p w14:paraId="4AA5AF2E">
      <w:pPr>
        <w:ind w:firstLine="420"/>
        <w:rPr>
          <w:rFonts w:hint="eastAsia" w:ascii="仿宋" w:hAnsi="仿宋" w:eastAsia="仿宋" w:cs="仿宋"/>
          <w:color w:val="auto"/>
          <w:szCs w:val="21"/>
          <w:highlight w:val="none"/>
        </w:rPr>
      </w:pPr>
    </w:p>
    <w:p w14:paraId="18720630">
      <w:pPr>
        <w:rPr>
          <w:rFonts w:hint="eastAsia" w:ascii="仿宋" w:hAnsi="仿宋" w:eastAsia="仿宋" w:cs="仿宋"/>
          <w:color w:val="auto"/>
          <w:sz w:val="24"/>
          <w:highlight w:val="none"/>
        </w:rPr>
      </w:pPr>
    </w:p>
    <w:p w14:paraId="4A341DDC">
      <w:pPr>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014EADD8">
      <w:pPr>
        <w:pStyle w:val="23"/>
        <w:rPr>
          <w:rFonts w:hint="eastAsia" w:ascii="仿宋" w:hAnsi="仿宋" w:eastAsia="仿宋" w:cs="仿宋"/>
          <w:color w:val="auto"/>
          <w:highlight w:val="none"/>
        </w:rPr>
      </w:pPr>
    </w:p>
    <w:p w14:paraId="10322499">
      <w:pP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与我方的法定代表人（单位负责人）为同一人的企业如下：</w:t>
      </w:r>
    </w:p>
    <w:p w14:paraId="21BB2DEC">
      <w:pPr>
        <w:ind w:firstLine="426"/>
        <w:rPr>
          <w:rFonts w:hint="eastAsia" w:ascii="仿宋" w:hAnsi="仿宋" w:eastAsia="仿宋" w:cs="仿宋"/>
          <w:color w:val="auto"/>
          <w:sz w:val="24"/>
          <w:highlight w:val="none"/>
        </w:rPr>
      </w:pPr>
    </w:p>
    <w:p w14:paraId="04C87376">
      <w:pP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我方的控股股东如下：</w:t>
      </w:r>
    </w:p>
    <w:p w14:paraId="3CF3ECBA">
      <w:pPr>
        <w:ind w:firstLine="426"/>
        <w:rPr>
          <w:rFonts w:hint="eastAsia" w:ascii="仿宋" w:hAnsi="仿宋" w:eastAsia="仿宋" w:cs="仿宋"/>
          <w:color w:val="auto"/>
          <w:sz w:val="24"/>
          <w:highlight w:val="none"/>
        </w:rPr>
      </w:pPr>
    </w:p>
    <w:p w14:paraId="7E94AFB6">
      <w:pP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我方直接控股的企业如下：</w:t>
      </w:r>
    </w:p>
    <w:p w14:paraId="75AA145F">
      <w:pPr>
        <w:ind w:firstLine="426"/>
        <w:rPr>
          <w:rFonts w:hint="eastAsia" w:ascii="仿宋" w:hAnsi="仿宋" w:eastAsia="仿宋" w:cs="仿宋"/>
          <w:color w:val="auto"/>
          <w:sz w:val="24"/>
          <w:highlight w:val="none"/>
        </w:rPr>
      </w:pPr>
    </w:p>
    <w:p w14:paraId="652B8521">
      <w:pPr>
        <w:ind w:firstLine="426"/>
        <w:rPr>
          <w:rFonts w:hint="eastAsia" w:ascii="仿宋" w:hAnsi="仿宋" w:eastAsia="仿宋" w:cs="仿宋"/>
          <w:color w:val="auto"/>
          <w:sz w:val="24"/>
          <w:highlight w:val="none"/>
        </w:rPr>
      </w:pPr>
      <w:r>
        <w:rPr>
          <w:rFonts w:hint="eastAsia" w:ascii="仿宋" w:hAnsi="仿宋" w:eastAsia="仿宋" w:cs="仿宋"/>
          <w:color w:val="auto"/>
          <w:sz w:val="24"/>
          <w:highlight w:val="none"/>
        </w:rPr>
        <w:t>与我方存在管理、被管理关系的单位名称如下：</w:t>
      </w:r>
    </w:p>
    <w:p w14:paraId="46D57FAE">
      <w:pPr>
        <w:ind w:firstLine="426"/>
        <w:rPr>
          <w:rFonts w:hint="eastAsia" w:ascii="仿宋" w:hAnsi="仿宋" w:eastAsia="仿宋" w:cs="仿宋"/>
          <w:color w:val="auto"/>
          <w:sz w:val="24"/>
          <w:highlight w:val="none"/>
        </w:rPr>
      </w:pPr>
    </w:p>
    <w:p w14:paraId="19F132C0">
      <w:pPr>
        <w:ind w:firstLine="426"/>
        <w:rPr>
          <w:rFonts w:hint="eastAsia" w:ascii="仿宋" w:hAnsi="仿宋" w:eastAsia="仿宋" w:cs="仿宋"/>
          <w:color w:val="auto"/>
          <w:szCs w:val="21"/>
          <w:highlight w:val="none"/>
        </w:rPr>
      </w:pPr>
    </w:p>
    <w:p w14:paraId="250C9D39">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0D179A2C">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1D6DB157">
      <w:pP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405143A2">
      <w:pPr>
        <w:ind w:firstLine="420" w:firstLineChars="200"/>
        <w:rPr>
          <w:rFonts w:hint="eastAsia" w:ascii="仿宋" w:hAnsi="仿宋" w:eastAsia="仿宋" w:cs="仿宋"/>
          <w:color w:val="auto"/>
          <w:szCs w:val="21"/>
          <w:highlight w:val="none"/>
        </w:rPr>
      </w:pPr>
    </w:p>
    <w:p w14:paraId="1F274011">
      <w:pPr>
        <w:ind w:firstLine="420" w:firstLineChars="200"/>
        <w:rPr>
          <w:rFonts w:hint="eastAsia" w:ascii="仿宋" w:hAnsi="仿宋" w:eastAsia="仿宋" w:cs="仿宋"/>
          <w:color w:val="auto"/>
          <w:szCs w:val="21"/>
          <w:highlight w:val="none"/>
        </w:rPr>
      </w:pPr>
    </w:p>
    <w:p w14:paraId="3C4A661E">
      <w:pPr>
        <w:pStyle w:val="68"/>
        <w:numPr>
          <w:ilvl w:val="0"/>
          <w:numId w:val="0"/>
        </w:numPr>
        <w:ind w:leftChars="0"/>
        <w:jc w:val="left"/>
        <w:outlineLvl w:val="2"/>
        <w:rPr>
          <w:rFonts w:hint="eastAsia" w:ascii="仿宋" w:hAnsi="仿宋" w:eastAsia="仿宋" w:cs="仿宋"/>
          <w:b/>
          <w:color w:val="auto"/>
          <w:sz w:val="24"/>
          <w:highlight w:val="none"/>
        </w:rPr>
      </w:pPr>
      <w:bookmarkStart w:id="508" w:name="_Toc7005128"/>
      <w:r>
        <w:rPr>
          <w:rFonts w:hint="eastAsia" w:ascii="仿宋" w:hAnsi="仿宋" w:eastAsia="仿宋" w:cs="仿宋"/>
          <w:b/>
          <w:color w:val="auto"/>
          <w:sz w:val="24"/>
          <w:highlight w:val="none"/>
          <w:lang w:val="en-US" w:eastAsia="zh-CN"/>
        </w:rPr>
        <w:t xml:space="preserve">6-8 </w:t>
      </w:r>
      <w:r>
        <w:rPr>
          <w:rFonts w:hint="eastAsia" w:ascii="仿宋" w:hAnsi="仿宋" w:eastAsia="仿宋" w:cs="仿宋"/>
          <w:b/>
          <w:color w:val="auto"/>
          <w:sz w:val="24"/>
          <w:highlight w:val="none"/>
        </w:rPr>
        <w:t xml:space="preserve"> 供应商是否属于为本项目提供整体设计、规范编制或者项目管理、监理、检测等服务的供应商声明</w:t>
      </w:r>
      <w:bookmarkEnd w:id="508"/>
    </w:p>
    <w:p w14:paraId="09351846">
      <w:pPr>
        <w:spacing w:line="360" w:lineRule="auto"/>
        <w:rPr>
          <w:rFonts w:hint="eastAsia" w:ascii="仿宋" w:hAnsi="仿宋" w:eastAsia="仿宋" w:cs="仿宋"/>
          <w:color w:val="auto"/>
          <w:szCs w:val="21"/>
          <w:highlight w:val="none"/>
        </w:rPr>
      </w:pPr>
    </w:p>
    <w:p w14:paraId="0021412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32BDA81E">
      <w:pPr>
        <w:tabs>
          <w:tab w:val="left" w:pos="5580"/>
        </w:tabs>
        <w:spacing w:before="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w:t>
      </w:r>
      <w:r>
        <w:rPr>
          <w:rFonts w:hint="eastAsia" w:ascii="仿宋" w:hAnsi="仿宋" w:eastAsia="仿宋" w:cs="仿宋"/>
          <w:color w:val="auto"/>
          <w:sz w:val="24"/>
          <w:highlight w:val="none"/>
          <w:u w:val="single"/>
        </w:rPr>
        <w:t xml:space="preserve"> 不属于 </w:t>
      </w:r>
      <w:r>
        <w:rPr>
          <w:rFonts w:hint="eastAsia" w:ascii="仿宋" w:hAnsi="仿宋" w:eastAsia="仿宋" w:cs="仿宋"/>
          <w:color w:val="auto"/>
          <w:sz w:val="24"/>
          <w:highlight w:val="none"/>
        </w:rPr>
        <w:t>为本项目提供整体设计、规范编制或者项目管理、监理、检测等服务的供应商。</w:t>
      </w:r>
    </w:p>
    <w:p w14:paraId="3876CB97">
      <w:pPr>
        <w:ind w:firstLine="426"/>
        <w:rPr>
          <w:rFonts w:hint="eastAsia" w:ascii="仿宋" w:hAnsi="仿宋" w:eastAsia="仿宋" w:cs="仿宋"/>
          <w:color w:val="auto"/>
          <w:szCs w:val="21"/>
          <w:highlight w:val="none"/>
        </w:rPr>
      </w:pPr>
    </w:p>
    <w:p w14:paraId="0AD8885E">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45EE9E02">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6719772">
      <w:pPr>
        <w:spacing w:before="120" w:after="120"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545B13C3">
      <w:pPr>
        <w:spacing w:after="120"/>
        <w:rPr>
          <w:rFonts w:hint="eastAsia" w:ascii="仿宋" w:hAnsi="仿宋" w:eastAsia="仿宋" w:cs="仿宋"/>
          <w:color w:val="auto"/>
          <w:highlight w:val="none"/>
        </w:rPr>
      </w:pPr>
      <w:r>
        <w:rPr>
          <w:rFonts w:hint="eastAsia" w:ascii="仿宋" w:hAnsi="仿宋" w:eastAsia="仿宋" w:cs="仿宋"/>
          <w:b/>
          <w:color w:val="auto"/>
          <w:kern w:val="2"/>
          <w:sz w:val="24"/>
          <w:szCs w:val="22"/>
          <w:highlight w:val="none"/>
          <w:lang w:val="en-US" w:eastAsia="zh-CN" w:bidi="ar-SA"/>
        </w:rPr>
        <w:t>6-9 证明供应商符合特定资格条件的证明材料</w:t>
      </w:r>
      <w:r>
        <w:rPr>
          <w:rFonts w:hint="eastAsia" w:ascii="仿宋" w:hAnsi="仿宋" w:eastAsia="仿宋" w:cs="仿宋"/>
          <w:b/>
          <w:bCs/>
          <w:color w:val="auto"/>
          <w:highlight w:val="none"/>
        </w:rPr>
        <w:br w:type="page"/>
      </w:r>
    </w:p>
    <w:p w14:paraId="1F001514">
      <w:pPr>
        <w:autoSpaceDE w:val="0"/>
        <w:autoSpaceDN w:val="0"/>
        <w:adjustRightInd w:val="0"/>
        <w:snapToGrid w:val="0"/>
        <w:spacing w:line="360" w:lineRule="auto"/>
        <w:jc w:val="right"/>
        <w:outlineLvl w:val="9"/>
        <w:rPr>
          <w:rFonts w:hint="eastAsia" w:ascii="仿宋" w:hAnsi="仿宋" w:eastAsia="仿宋" w:cs="仿宋"/>
          <w:b/>
          <w:bCs/>
          <w:color w:val="auto"/>
          <w:sz w:val="32"/>
          <w:szCs w:val="32"/>
          <w:highlight w:val="none"/>
          <w:lang w:val="zh-CN"/>
        </w:rPr>
      </w:pPr>
      <w:bookmarkStart w:id="509" w:name="_Toc3254"/>
    </w:p>
    <w:p w14:paraId="2211B4A6">
      <w:pPr>
        <w:autoSpaceDE w:val="0"/>
        <w:autoSpaceDN w:val="0"/>
        <w:adjustRightInd w:val="0"/>
        <w:snapToGrid w:val="0"/>
        <w:spacing w:line="360" w:lineRule="auto"/>
        <w:jc w:val="left"/>
        <w:outlineLvl w:val="9"/>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政府采购项目</w:t>
      </w:r>
    </w:p>
    <w:p w14:paraId="793E20DC">
      <w:pPr>
        <w:autoSpaceDE w:val="0"/>
        <w:autoSpaceDN w:val="0"/>
        <w:adjustRightInd w:val="0"/>
        <w:snapToGrid w:val="0"/>
        <w:spacing w:line="360" w:lineRule="auto"/>
        <w:jc w:val="left"/>
        <w:outlineLvl w:val="9"/>
        <w:rPr>
          <w:rFonts w:hint="eastAsia" w:ascii="仿宋" w:hAnsi="仿宋" w:eastAsia="仿宋" w:cs="仿宋"/>
          <w:b/>
          <w:bCs/>
          <w:color w:val="auto"/>
          <w:sz w:val="32"/>
          <w:szCs w:val="32"/>
          <w:highlight w:val="none"/>
          <w:lang w:val="zh-CN"/>
        </w:rPr>
      </w:pPr>
      <w:r>
        <w:rPr>
          <w:rFonts w:hint="eastAsia" w:ascii="仿宋" w:hAnsi="仿宋" w:eastAsia="仿宋" w:cs="仿宋"/>
          <w:b/>
          <w:bCs/>
          <w:color w:val="auto"/>
          <w:sz w:val="32"/>
          <w:szCs w:val="32"/>
          <w:highlight w:val="none"/>
          <w:lang w:val="zh-CN"/>
        </w:rPr>
        <w:t>采购项目编号：</w:t>
      </w:r>
    </w:p>
    <w:p w14:paraId="002827F4">
      <w:pPr>
        <w:tabs>
          <w:tab w:val="left" w:pos="5670"/>
        </w:tabs>
        <w:autoSpaceDE w:val="0"/>
        <w:autoSpaceDN w:val="0"/>
        <w:adjustRightInd w:val="0"/>
        <w:snapToGrid w:val="0"/>
        <w:spacing w:line="360" w:lineRule="auto"/>
        <w:jc w:val="center"/>
        <w:outlineLvl w:val="9"/>
        <w:rPr>
          <w:rFonts w:hint="eastAsia" w:ascii="仿宋" w:hAnsi="仿宋" w:eastAsia="仿宋" w:cs="仿宋"/>
          <w:color w:val="auto"/>
          <w:sz w:val="19"/>
          <w:szCs w:val="19"/>
          <w:highlight w:val="none"/>
        </w:rPr>
      </w:pPr>
    </w:p>
    <w:p w14:paraId="45ECDB3F">
      <w:pPr>
        <w:widowControl w:val="0"/>
        <w:spacing w:line="360" w:lineRule="auto"/>
        <w:jc w:val="both"/>
        <w:rPr>
          <w:rFonts w:hint="eastAsia" w:ascii="仿宋" w:hAnsi="仿宋" w:eastAsia="仿宋" w:cs="仿宋"/>
          <w:color w:val="auto"/>
          <w:kern w:val="2"/>
          <w:sz w:val="19"/>
          <w:szCs w:val="19"/>
          <w:highlight w:val="none"/>
          <w:lang w:val="en-US" w:eastAsia="zh-CN" w:bidi="ar-SA"/>
        </w:rPr>
      </w:pPr>
    </w:p>
    <w:p w14:paraId="319F21D6">
      <w:pPr>
        <w:outlineLvl w:val="9"/>
        <w:rPr>
          <w:rFonts w:hint="eastAsia" w:ascii="仿宋" w:hAnsi="仿宋" w:eastAsia="仿宋" w:cs="仿宋"/>
          <w:color w:val="auto"/>
          <w:sz w:val="19"/>
          <w:szCs w:val="19"/>
          <w:highlight w:val="none"/>
        </w:rPr>
      </w:pPr>
    </w:p>
    <w:p w14:paraId="6A26433D">
      <w:pPr>
        <w:rPr>
          <w:rFonts w:hint="eastAsia" w:ascii="仿宋" w:hAnsi="仿宋" w:eastAsia="仿宋" w:cs="仿宋"/>
          <w:color w:val="auto"/>
          <w:highlight w:val="none"/>
        </w:rPr>
      </w:pPr>
    </w:p>
    <w:p w14:paraId="57523C2B">
      <w:pPr>
        <w:autoSpaceDE w:val="0"/>
        <w:autoSpaceDN w:val="0"/>
        <w:adjustRightInd w:val="0"/>
        <w:snapToGrid w:val="0"/>
        <w:spacing w:line="360" w:lineRule="auto"/>
        <w:jc w:val="center"/>
        <w:outlineLvl w:val="9"/>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u w:val="single"/>
          <w:lang w:val="en-US" w:eastAsia="zh-CN"/>
        </w:rPr>
        <w:t xml:space="preserve">              </w:t>
      </w:r>
      <w:r>
        <w:rPr>
          <w:rFonts w:hint="eastAsia" w:ascii="仿宋" w:hAnsi="仿宋" w:eastAsia="仿宋" w:cs="仿宋"/>
          <w:b/>
          <w:bCs/>
          <w:color w:val="auto"/>
          <w:sz w:val="44"/>
          <w:szCs w:val="44"/>
          <w:highlight w:val="none"/>
        </w:rPr>
        <w:t>项目</w:t>
      </w:r>
    </w:p>
    <w:p w14:paraId="170CCE72">
      <w:pPr>
        <w:tabs>
          <w:tab w:val="left" w:pos="5670"/>
        </w:tabs>
        <w:autoSpaceDE w:val="0"/>
        <w:autoSpaceDN w:val="0"/>
        <w:adjustRightInd w:val="0"/>
        <w:snapToGrid w:val="0"/>
        <w:spacing w:line="360" w:lineRule="auto"/>
        <w:jc w:val="center"/>
        <w:outlineLvl w:val="9"/>
        <w:rPr>
          <w:rFonts w:hint="eastAsia" w:ascii="仿宋" w:hAnsi="仿宋" w:eastAsia="仿宋" w:cs="仿宋"/>
          <w:b/>
          <w:bCs/>
          <w:color w:val="auto"/>
          <w:sz w:val="36"/>
          <w:szCs w:val="36"/>
          <w:highlight w:val="none"/>
          <w:lang w:val="zh-CN"/>
        </w:rPr>
      </w:pPr>
    </w:p>
    <w:p w14:paraId="4934318D">
      <w:pPr>
        <w:tabs>
          <w:tab w:val="left" w:pos="5670"/>
        </w:tabs>
        <w:autoSpaceDE w:val="0"/>
        <w:autoSpaceDN w:val="0"/>
        <w:adjustRightInd w:val="0"/>
        <w:snapToGrid w:val="0"/>
        <w:spacing w:line="360" w:lineRule="auto"/>
        <w:jc w:val="center"/>
        <w:outlineLvl w:val="9"/>
        <w:rPr>
          <w:rFonts w:hint="eastAsia" w:ascii="仿宋" w:hAnsi="仿宋" w:eastAsia="仿宋" w:cs="仿宋"/>
          <w:b/>
          <w:bCs/>
          <w:color w:val="auto"/>
          <w:sz w:val="52"/>
          <w:szCs w:val="52"/>
          <w:highlight w:val="none"/>
          <w:lang w:val="zh-CN"/>
        </w:rPr>
      </w:pPr>
      <w:r>
        <w:rPr>
          <w:rFonts w:hint="eastAsia" w:ascii="仿宋" w:hAnsi="仿宋" w:eastAsia="仿宋" w:cs="仿宋"/>
          <w:b/>
          <w:bCs/>
          <w:color w:val="auto"/>
          <w:sz w:val="52"/>
          <w:szCs w:val="52"/>
          <w:highlight w:val="none"/>
          <w:lang w:val="zh-CN"/>
        </w:rPr>
        <w:t>谈判响应文件</w:t>
      </w:r>
    </w:p>
    <w:p w14:paraId="6082FB9B">
      <w:pPr>
        <w:autoSpaceDE w:val="0"/>
        <w:autoSpaceDN w:val="0"/>
        <w:adjustRightInd w:val="0"/>
        <w:snapToGrid w:val="0"/>
        <w:spacing w:line="360" w:lineRule="auto"/>
        <w:jc w:val="center"/>
        <w:rPr>
          <w:rFonts w:ascii="Times New Roman" w:hAnsi="Times New Roman" w:eastAsia="仿宋_GB2312" w:cs="Times New Roman"/>
          <w:b/>
          <w:bCs/>
          <w:color w:val="auto"/>
          <w:sz w:val="32"/>
          <w:szCs w:val="32"/>
          <w:highlight w:val="none"/>
          <w:lang w:val="zh-CN"/>
        </w:rPr>
      </w:pPr>
      <w:r>
        <w:rPr>
          <w:rFonts w:ascii="Times New Roman" w:hAnsi="Times New Roman" w:eastAsia="仿宋_GB2312" w:cs="Times New Roman"/>
          <w:b/>
          <w:bCs/>
          <w:color w:val="auto"/>
          <w:sz w:val="32"/>
          <w:szCs w:val="32"/>
          <w:highlight w:val="none"/>
          <w:lang w:val="zh-CN"/>
        </w:rPr>
        <w:t>（</w:t>
      </w:r>
      <w:r>
        <w:rPr>
          <w:rFonts w:hint="eastAsia" w:ascii="Times New Roman" w:hAnsi="Times New Roman" w:eastAsia="仿宋_GB2312" w:cs="Times New Roman"/>
          <w:b/>
          <w:bCs/>
          <w:color w:val="auto"/>
          <w:sz w:val="32"/>
          <w:szCs w:val="32"/>
          <w:highlight w:val="none"/>
          <w:lang w:val="en-US" w:eastAsia="zh-CN"/>
        </w:rPr>
        <w:t>商务及技术文件</w:t>
      </w:r>
      <w:r>
        <w:rPr>
          <w:rFonts w:ascii="Times New Roman" w:hAnsi="Times New Roman" w:eastAsia="仿宋_GB2312" w:cs="Times New Roman"/>
          <w:b/>
          <w:bCs/>
          <w:color w:val="auto"/>
          <w:sz w:val="32"/>
          <w:szCs w:val="32"/>
          <w:highlight w:val="none"/>
          <w:lang w:val="zh-CN"/>
        </w:rPr>
        <w:t>）</w:t>
      </w:r>
    </w:p>
    <w:p w14:paraId="4031602A">
      <w:pPr>
        <w:autoSpaceDE w:val="0"/>
        <w:autoSpaceDN w:val="0"/>
        <w:adjustRightInd w:val="0"/>
        <w:snapToGrid w:val="0"/>
        <w:spacing w:line="360" w:lineRule="auto"/>
        <w:jc w:val="both"/>
        <w:outlineLvl w:val="9"/>
        <w:rPr>
          <w:rFonts w:hint="eastAsia" w:ascii="仿宋" w:hAnsi="仿宋" w:eastAsia="仿宋" w:cs="仿宋"/>
          <w:b/>
          <w:bCs/>
          <w:color w:val="auto"/>
          <w:sz w:val="32"/>
          <w:szCs w:val="32"/>
          <w:highlight w:val="none"/>
          <w:lang w:val="zh-CN"/>
        </w:rPr>
      </w:pPr>
    </w:p>
    <w:p w14:paraId="08646268">
      <w:pPr>
        <w:autoSpaceDE w:val="0"/>
        <w:autoSpaceDN w:val="0"/>
        <w:adjustRightInd w:val="0"/>
        <w:snapToGrid w:val="0"/>
        <w:spacing w:line="360" w:lineRule="auto"/>
        <w:outlineLvl w:val="9"/>
        <w:rPr>
          <w:rFonts w:hint="eastAsia" w:ascii="仿宋" w:hAnsi="仿宋" w:eastAsia="仿宋" w:cs="仿宋"/>
          <w:b/>
          <w:bCs/>
          <w:color w:val="auto"/>
          <w:sz w:val="32"/>
          <w:szCs w:val="32"/>
          <w:highlight w:val="none"/>
          <w:lang w:val="zh-CN"/>
        </w:rPr>
      </w:pPr>
    </w:p>
    <w:p w14:paraId="574A0809">
      <w:pPr>
        <w:autoSpaceDE w:val="0"/>
        <w:autoSpaceDN w:val="0"/>
        <w:adjustRightInd w:val="0"/>
        <w:snapToGrid w:val="0"/>
        <w:spacing w:line="360" w:lineRule="auto"/>
        <w:outlineLvl w:val="9"/>
        <w:rPr>
          <w:rFonts w:hint="eastAsia" w:ascii="仿宋" w:hAnsi="仿宋" w:eastAsia="仿宋" w:cs="仿宋"/>
          <w:b/>
          <w:bCs/>
          <w:color w:val="auto"/>
          <w:sz w:val="32"/>
          <w:szCs w:val="32"/>
          <w:highlight w:val="none"/>
          <w:lang w:val="zh-CN"/>
        </w:rPr>
      </w:pPr>
    </w:p>
    <w:p w14:paraId="39A1BB49">
      <w:pPr>
        <w:autoSpaceDE w:val="0"/>
        <w:autoSpaceDN w:val="0"/>
        <w:adjustRightInd w:val="0"/>
        <w:snapToGrid w:val="0"/>
        <w:spacing w:line="360" w:lineRule="auto"/>
        <w:outlineLvl w:val="9"/>
        <w:rPr>
          <w:rFonts w:hint="eastAsia" w:ascii="仿宋" w:hAnsi="仿宋" w:eastAsia="仿宋" w:cs="仿宋"/>
          <w:b/>
          <w:bCs/>
          <w:color w:val="auto"/>
          <w:sz w:val="32"/>
          <w:szCs w:val="32"/>
          <w:highlight w:val="none"/>
          <w:lang w:val="zh-CN"/>
        </w:rPr>
      </w:pPr>
    </w:p>
    <w:p w14:paraId="4240B9E7">
      <w:pPr>
        <w:autoSpaceDE w:val="0"/>
        <w:autoSpaceDN w:val="0"/>
        <w:adjustRightInd w:val="0"/>
        <w:snapToGrid w:val="0"/>
        <w:spacing w:line="360" w:lineRule="auto"/>
        <w:outlineLvl w:val="9"/>
        <w:rPr>
          <w:rFonts w:hint="eastAsia" w:ascii="仿宋" w:hAnsi="仿宋" w:eastAsia="仿宋" w:cs="仿宋"/>
          <w:b/>
          <w:bCs/>
          <w:color w:val="auto"/>
          <w:sz w:val="32"/>
          <w:szCs w:val="32"/>
          <w:highlight w:val="none"/>
          <w:lang w:val="zh-CN"/>
        </w:rPr>
      </w:pPr>
    </w:p>
    <w:p w14:paraId="1825BC06">
      <w:pPr>
        <w:autoSpaceDE w:val="0"/>
        <w:autoSpaceDN w:val="0"/>
        <w:adjustRightInd w:val="0"/>
        <w:snapToGrid w:val="0"/>
        <w:spacing w:line="360" w:lineRule="auto"/>
        <w:ind w:firstLine="2570" w:firstLineChars="800"/>
        <w:outlineLvl w:val="9"/>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包  号</w:t>
      </w:r>
      <w:r>
        <w:rPr>
          <w:rFonts w:hint="eastAsia" w:ascii="仿宋" w:hAnsi="仿宋" w:eastAsia="仿宋" w:cs="仿宋"/>
          <w:b/>
          <w:bCs/>
          <w:color w:val="auto"/>
          <w:sz w:val="32"/>
          <w:szCs w:val="32"/>
          <w:highlight w:val="none"/>
          <w:lang w:val="zh-CN"/>
        </w:rPr>
        <w:t>：</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b/>
          <w:bCs/>
          <w:color w:val="auto"/>
          <w:sz w:val="32"/>
          <w:szCs w:val="32"/>
          <w:highlight w:val="none"/>
        </w:rPr>
        <w:t xml:space="preserve">                   </w:t>
      </w:r>
    </w:p>
    <w:p w14:paraId="746AC87D">
      <w:pPr>
        <w:autoSpaceDE w:val="0"/>
        <w:autoSpaceDN w:val="0"/>
        <w:adjustRightInd w:val="0"/>
        <w:snapToGrid w:val="0"/>
        <w:spacing w:line="360" w:lineRule="auto"/>
        <w:ind w:firstLine="2570" w:firstLineChars="800"/>
        <w:outlineLvl w:val="9"/>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lang w:val="zh-CN"/>
        </w:rPr>
        <w:t>供应商：</w:t>
      </w:r>
      <w:r>
        <w:rPr>
          <w:rFonts w:hint="eastAsia" w:ascii="仿宋" w:hAnsi="仿宋" w:eastAsia="仿宋" w:cs="仿宋"/>
          <w:b/>
          <w:bCs/>
          <w:color w:val="auto"/>
          <w:sz w:val="32"/>
          <w:szCs w:val="32"/>
          <w:highlight w:val="none"/>
          <w:u w:val="single"/>
        </w:rPr>
        <w:t xml:space="preserve">                   </w:t>
      </w:r>
    </w:p>
    <w:p w14:paraId="71C6AF89">
      <w:pPr>
        <w:autoSpaceDE w:val="0"/>
        <w:autoSpaceDN w:val="0"/>
        <w:adjustRightInd w:val="0"/>
        <w:snapToGrid w:val="0"/>
        <w:spacing w:line="360" w:lineRule="auto"/>
        <w:ind w:firstLine="2570" w:firstLineChars="800"/>
        <w:outlineLvl w:val="9"/>
        <w:rPr>
          <w:rFonts w:hint="eastAsia" w:ascii="仿宋" w:hAnsi="仿宋" w:eastAsia="仿宋" w:cs="仿宋"/>
          <w:b/>
          <w:bCs/>
          <w:color w:val="auto"/>
          <w:sz w:val="32"/>
          <w:szCs w:val="32"/>
          <w:highlight w:val="none"/>
          <w:u w:val="single"/>
        </w:rPr>
      </w:pPr>
      <w:r>
        <w:rPr>
          <w:rFonts w:hint="eastAsia" w:ascii="仿宋" w:hAnsi="仿宋" w:eastAsia="仿宋" w:cs="仿宋"/>
          <w:b/>
          <w:bCs/>
          <w:color w:val="auto"/>
          <w:sz w:val="32"/>
          <w:szCs w:val="32"/>
          <w:highlight w:val="none"/>
          <w:lang w:val="zh-CN"/>
        </w:rPr>
        <w:t>时</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zh-CN"/>
        </w:rPr>
        <w:t>间：</w:t>
      </w:r>
      <w:r>
        <w:rPr>
          <w:rFonts w:hint="eastAsia" w:ascii="仿宋" w:hAnsi="仿宋" w:eastAsia="仿宋" w:cs="仿宋"/>
          <w:b/>
          <w:bCs/>
          <w:color w:val="auto"/>
          <w:sz w:val="32"/>
          <w:szCs w:val="32"/>
          <w:highlight w:val="none"/>
          <w:u w:val="single"/>
        </w:rPr>
        <w:t xml:space="preserve">                   </w:t>
      </w:r>
    </w:p>
    <w:p w14:paraId="4F19BCE9">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66E7442D">
      <w:pPr>
        <w:widowControl/>
        <w:jc w:val="left"/>
        <w:rPr>
          <w:rFonts w:ascii="Times New Roman" w:hAnsi="Times New Roman" w:eastAsia="仿宋_GB2312" w:cs="Times New Roman"/>
          <w:b/>
          <w:bCs/>
          <w:color w:val="auto"/>
          <w:sz w:val="32"/>
          <w:szCs w:val="32"/>
          <w:highlight w:val="none"/>
        </w:rPr>
      </w:pPr>
    </w:p>
    <w:p w14:paraId="2B37D269">
      <w:pPr>
        <w:widowControl w:val="0"/>
        <w:spacing w:before="260" w:after="260" w:line="416" w:lineRule="atLeast"/>
        <w:jc w:val="center"/>
        <w:outlineLvl w:val="1"/>
        <w:rPr>
          <w:rFonts w:hint="eastAsia" w:ascii="仿宋" w:hAnsi="仿宋" w:eastAsia="仿宋" w:cs="仿宋"/>
          <w:b/>
          <w:bCs/>
          <w:color w:val="auto"/>
          <w:kern w:val="2"/>
          <w:sz w:val="32"/>
          <w:szCs w:val="32"/>
          <w:highlight w:val="none"/>
          <w:lang w:val="en-US" w:eastAsia="zh-CN" w:bidi="ar-SA"/>
        </w:rPr>
      </w:pPr>
      <w:bookmarkStart w:id="510" w:name="_Toc2057"/>
      <w:bookmarkStart w:id="511" w:name="_Toc8128"/>
      <w:r>
        <w:rPr>
          <w:rFonts w:hint="eastAsia" w:ascii="仿宋" w:hAnsi="仿宋" w:eastAsia="仿宋" w:cs="仿宋"/>
          <w:b/>
          <w:bCs/>
          <w:color w:val="auto"/>
          <w:kern w:val="2"/>
          <w:sz w:val="32"/>
          <w:szCs w:val="32"/>
          <w:highlight w:val="none"/>
          <w:lang w:val="en-US" w:eastAsia="zh-CN" w:bidi="ar-SA"/>
        </w:rPr>
        <w:t>目   录</w:t>
      </w:r>
      <w:bookmarkEnd w:id="510"/>
      <w:bookmarkEnd w:id="511"/>
    </w:p>
    <w:p w14:paraId="2AB9C9CF">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第一部分  谈判响应函</w:t>
      </w:r>
    </w:p>
    <w:p w14:paraId="5718CAEF">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第二部分  谈判响应报价表 </w:t>
      </w:r>
    </w:p>
    <w:p w14:paraId="0E0C8655">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第三部分  偏离表</w:t>
      </w:r>
    </w:p>
    <w:p w14:paraId="40F1EAD1">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第四部分  响应方案说明</w:t>
      </w:r>
    </w:p>
    <w:p w14:paraId="7B3F8F37">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第五部分  中小企业、监狱企业、残疾人福利单位声明函或证明</w:t>
      </w:r>
    </w:p>
    <w:p w14:paraId="440513EF">
      <w:pPr>
        <w:widowControl w:val="0"/>
        <w:spacing w:line="48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第六部分   谈判保证金</w:t>
      </w:r>
    </w:p>
    <w:p w14:paraId="5C1FA158">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br w:type="page"/>
      </w:r>
    </w:p>
    <w:p w14:paraId="797B9EC1">
      <w:pPr>
        <w:pStyle w:val="3"/>
        <w:jc w:val="center"/>
        <w:rPr>
          <w:rFonts w:hint="eastAsia" w:ascii="仿宋" w:hAnsi="仿宋" w:eastAsia="仿宋" w:cs="仿宋"/>
          <w:b/>
          <w:bCs/>
          <w:color w:val="auto"/>
          <w:highlight w:val="none"/>
        </w:rPr>
      </w:pPr>
      <w:bookmarkStart w:id="512" w:name="_Toc13830"/>
      <w:bookmarkStart w:id="513" w:name="_Toc26831"/>
      <w:r>
        <w:rPr>
          <w:rFonts w:hint="eastAsia" w:ascii="仿宋" w:hAnsi="仿宋" w:eastAsia="仿宋" w:cs="仿宋"/>
          <w:b/>
          <w:bCs/>
          <w:color w:val="auto"/>
          <w:highlight w:val="none"/>
          <w:lang w:val="zh-CN"/>
        </w:rPr>
        <w:t>第一部分</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zh-CN"/>
        </w:rPr>
        <w:t>谈判响应函</w:t>
      </w:r>
      <w:bookmarkEnd w:id="509"/>
      <w:bookmarkEnd w:id="512"/>
      <w:bookmarkEnd w:id="513"/>
    </w:p>
    <w:p w14:paraId="3C79A559">
      <w:pPr>
        <w:autoSpaceDE w:val="0"/>
        <w:autoSpaceDN w:val="0"/>
        <w:adjustRightInd w:val="0"/>
        <w:snapToGrid w:val="0"/>
        <w:spacing w:line="312"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zh-CN"/>
        </w:rPr>
        <w:t>陕西省采购招标有限责任公司：</w:t>
      </w:r>
    </w:p>
    <w:p w14:paraId="07C281A2">
      <w:pPr>
        <w:keepNext w:val="0"/>
        <w:keepLines w:val="0"/>
        <w:pageBreakBefore w:val="0"/>
        <w:widowControl w:val="0"/>
        <w:kinsoku/>
        <w:wordWrap w:val="0"/>
        <w:overflowPunct/>
        <w:topLinePunct w:val="0"/>
        <w:autoSpaceDE w:val="0"/>
        <w:autoSpaceDN w:val="0"/>
        <w:bidi w:val="0"/>
        <w:adjustRightInd w:val="0"/>
        <w:snapToGrid w:val="0"/>
        <w:spacing w:line="312"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我单位收到贵公司</w:t>
      </w:r>
      <w:r>
        <w:rPr>
          <w:rFonts w:hint="eastAsia" w:ascii="仿宋" w:hAnsi="仿宋" w:eastAsia="仿宋" w:cs="仿宋"/>
          <w:color w:val="auto"/>
          <w:sz w:val="24"/>
          <w:highlight w:val="none"/>
          <w:u w:val="single"/>
          <w:lang w:val="zh-CN"/>
        </w:rPr>
        <w:t xml:space="preserve"> （项目名称）</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zh-CN"/>
        </w:rPr>
        <w:t>竞争性谈判文件，经详细研究，我们决定参加本次谈判活动。为此，我方郑重声明以下诸点，并负法律责任：</w:t>
      </w:r>
    </w:p>
    <w:p w14:paraId="0F1DD328">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zh-CN"/>
        </w:rPr>
        <w:t>、愿意按照竞争性谈判文件中的要求，提供谈判产品及技术服务，完成合同的责任和义务。</w:t>
      </w:r>
    </w:p>
    <w:p w14:paraId="41569551">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、按竞争性谈判文件的规定，我公司的首次谈判响应报价为（</w:t>
      </w:r>
      <w:r>
        <w:rPr>
          <w:rFonts w:hint="eastAsia" w:ascii="仿宋" w:hAnsi="仿宋" w:eastAsia="仿宋" w:cs="仿宋"/>
          <w:color w:val="auto"/>
          <w:sz w:val="24"/>
          <w:highlight w:val="none"/>
          <w:lang w:val="en-US" w:eastAsia="zh-CN"/>
        </w:rPr>
        <w:t xml:space="preserve">              元</w:t>
      </w:r>
      <w:r>
        <w:rPr>
          <w:rFonts w:hint="eastAsia" w:ascii="仿宋" w:hAnsi="仿宋" w:eastAsia="仿宋" w:cs="仿宋"/>
          <w:color w:val="auto"/>
          <w:sz w:val="24"/>
          <w:highlight w:val="none"/>
          <w:lang w:val="zh-CN"/>
        </w:rPr>
        <w:t>），并对其后的谈判报价负法律责任。</w:t>
      </w:r>
    </w:p>
    <w:p w14:paraId="5E7E4D27">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若</w:t>
      </w:r>
      <w:r>
        <w:rPr>
          <w:rFonts w:hint="eastAsia" w:ascii="仿宋" w:hAnsi="仿宋" w:eastAsia="仿宋" w:cs="仿宋"/>
          <w:color w:val="auto"/>
          <w:sz w:val="24"/>
          <w:highlight w:val="none"/>
          <w:lang w:val="zh-CN"/>
        </w:rPr>
        <w:t>我方</w:t>
      </w:r>
      <w:r>
        <w:rPr>
          <w:rFonts w:hint="eastAsia" w:ascii="仿宋" w:hAnsi="仿宋" w:eastAsia="仿宋" w:cs="仿宋"/>
          <w:color w:val="auto"/>
          <w:sz w:val="24"/>
          <w:highlight w:val="none"/>
          <w:lang w:val="en-US" w:eastAsia="zh-CN"/>
        </w:rPr>
        <w:t>成交，我方自愿按照谈判文件规定的份数提交纸质谈判响应文件</w:t>
      </w:r>
      <w:r>
        <w:rPr>
          <w:rFonts w:hint="eastAsia" w:ascii="仿宋" w:hAnsi="仿宋" w:eastAsia="仿宋" w:cs="仿宋"/>
          <w:color w:val="auto"/>
          <w:sz w:val="24"/>
          <w:highlight w:val="none"/>
          <w:lang w:val="zh-CN"/>
        </w:rPr>
        <w:t>。</w:t>
      </w:r>
    </w:p>
    <w:p w14:paraId="7DE9908E">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、我方已详细阅读了竞争性谈判文件，完全理解并放弃提出含糊不清或易形成歧义的表述和资料。</w:t>
      </w:r>
    </w:p>
    <w:p w14:paraId="3518B37F">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五、如果我方在谈判有效期内撤回响应文件，则响应保证金将被贵方不予退还。</w:t>
      </w:r>
    </w:p>
    <w:p w14:paraId="6BA8FAC7">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六</w:t>
      </w:r>
      <w:r>
        <w:rPr>
          <w:rFonts w:hint="eastAsia" w:ascii="仿宋" w:hAnsi="仿宋" w:eastAsia="仿宋" w:cs="仿宋"/>
          <w:color w:val="auto"/>
          <w:sz w:val="24"/>
          <w:highlight w:val="none"/>
          <w:lang w:val="zh-CN"/>
        </w:rPr>
        <w:t>、同意向贵方提供可能要求的与本次谈判有关的任何证据或资料，且尊重谈判小组的评审结论和结果。</w:t>
      </w:r>
    </w:p>
    <w:p w14:paraId="5D914748">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七、我方的响应文件有效期为自</w:t>
      </w:r>
      <w:r>
        <w:rPr>
          <w:rFonts w:hint="eastAsia" w:ascii="仿宋" w:hAnsi="仿宋" w:eastAsia="仿宋" w:cs="仿宋"/>
          <w:color w:val="auto"/>
          <w:sz w:val="24"/>
          <w:highlight w:val="none"/>
          <w:lang w:val="en-US" w:eastAsia="zh-CN"/>
        </w:rPr>
        <w:t>谈判响应函盖章</w:t>
      </w:r>
      <w:r>
        <w:rPr>
          <w:rFonts w:hint="eastAsia" w:ascii="仿宋" w:hAnsi="仿宋" w:eastAsia="仿宋" w:cs="仿宋"/>
          <w:color w:val="auto"/>
          <w:sz w:val="24"/>
          <w:highlight w:val="none"/>
          <w:lang w:val="zh-CN"/>
        </w:rPr>
        <w:t>之日起</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lang w:val="zh-CN"/>
        </w:rPr>
        <w:t>个日历天。若我方成交，响应文件有效期延长至合同执行完毕。</w:t>
      </w:r>
    </w:p>
    <w:p w14:paraId="5C2DD768">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val="zh-CN"/>
        </w:rPr>
        <w:t>、如我方成交：</w:t>
      </w:r>
    </w:p>
    <w:p w14:paraId="332336B8">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（1）我方承诺在收到成交通知书后，在谈判文件规定的期限内与采购人签订合同。</w:t>
      </w:r>
    </w:p>
    <w:p w14:paraId="32E265C5">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（2）我方承诺按照谈判文件规定向你方递交履约保证金。作为履行合同的担保。</w:t>
      </w:r>
    </w:p>
    <w:p w14:paraId="3CD99CF6">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（3）我方承诺按合同约定的期限和地点，提供符合谈判文件要求的全部的货物和服务。</w:t>
      </w:r>
    </w:p>
    <w:p w14:paraId="5F82E045">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（4）我方保证在领取成交通知书前按要求支付成交服务费。</w:t>
      </w:r>
    </w:p>
    <w:p w14:paraId="1B4E66D4">
      <w:pPr>
        <w:keepNext w:val="0"/>
        <w:keepLines w:val="0"/>
        <w:pageBreakBefore w:val="0"/>
        <w:widowControl w:val="0"/>
        <w:kinsoku/>
        <w:wordWrap w:val="0"/>
        <w:overflowPunct/>
        <w:topLinePunct w:val="0"/>
        <w:autoSpaceDE w:val="0"/>
        <w:autoSpaceDN w:val="0"/>
        <w:bidi w:val="0"/>
        <w:adjustRightInd w:val="0"/>
        <w:snapToGrid w:val="0"/>
        <w:spacing w:line="312" w:lineRule="auto"/>
        <w:ind w:left="0" w:leftChars="0"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九、有关于本响应文件的函电，请按下列地址联系。</w:t>
      </w:r>
    </w:p>
    <w:p w14:paraId="20CCCA3A">
      <w:pPr>
        <w:autoSpaceDE w:val="0"/>
        <w:autoSpaceDN w:val="0"/>
        <w:adjustRightInd w:val="0"/>
        <w:snapToGrid w:val="0"/>
        <w:spacing w:line="312" w:lineRule="auto"/>
        <w:rPr>
          <w:rFonts w:hint="default" w:ascii="仿宋" w:hAnsi="仿宋" w:eastAsia="仿宋" w:cs="仿宋"/>
          <w:color w:val="auto"/>
          <w:sz w:val="24"/>
          <w:highlight w:val="none"/>
          <w:u w:val="single"/>
          <w:lang w:val="en-US" w:eastAsia="zh-CN"/>
        </w:rPr>
      </w:pPr>
      <w:bookmarkStart w:id="514" w:name="_Hlt520356241"/>
      <w:bookmarkEnd w:id="514"/>
      <w:r>
        <w:rPr>
          <w:rFonts w:hint="eastAsia" w:ascii="仿宋" w:hAnsi="仿宋" w:eastAsia="仿宋" w:cs="仿宋"/>
          <w:color w:val="auto"/>
          <w:sz w:val="24"/>
          <w:highlight w:val="none"/>
          <w:lang w:val="zh-CN"/>
        </w:rPr>
        <w:t>地</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址：</w:t>
      </w:r>
      <w:r>
        <w:rPr>
          <w:rFonts w:hint="eastAsia" w:ascii="仿宋" w:hAnsi="仿宋" w:eastAsia="仿宋" w:cs="仿宋"/>
          <w:color w:val="auto"/>
          <w:sz w:val="24"/>
          <w:highlight w:val="none"/>
          <w:u w:val="single"/>
          <w:lang w:val="en-US" w:eastAsia="zh-CN"/>
        </w:rPr>
        <w:t xml:space="preserve">                                       </w:t>
      </w:r>
    </w:p>
    <w:p w14:paraId="6670AC54">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开户银行：</w:t>
      </w:r>
      <w:r>
        <w:rPr>
          <w:rFonts w:hint="eastAsia" w:ascii="仿宋" w:hAnsi="仿宋" w:eastAsia="仿宋" w:cs="仿宋"/>
          <w:color w:val="auto"/>
          <w:sz w:val="24"/>
          <w:highlight w:val="none"/>
          <w:u w:val="single"/>
          <w:lang w:val="en-US" w:eastAsia="zh-CN"/>
        </w:rPr>
        <w:t xml:space="preserve">                                       </w:t>
      </w:r>
    </w:p>
    <w:p w14:paraId="311B54D8">
      <w:pPr>
        <w:autoSpaceDE w:val="0"/>
        <w:autoSpaceDN w:val="0"/>
        <w:adjustRightInd w:val="0"/>
        <w:snapToGrid w:val="0"/>
        <w:spacing w:line="312"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帐</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号：</w:t>
      </w:r>
      <w:r>
        <w:rPr>
          <w:rFonts w:hint="eastAsia" w:ascii="仿宋" w:hAnsi="仿宋" w:eastAsia="仿宋" w:cs="仿宋"/>
          <w:color w:val="auto"/>
          <w:sz w:val="24"/>
          <w:highlight w:val="none"/>
          <w:u w:val="single"/>
          <w:lang w:val="en-US" w:eastAsia="zh-CN"/>
        </w:rPr>
        <w:t xml:space="preserve">                                       </w:t>
      </w:r>
    </w:p>
    <w:p w14:paraId="15C6A456">
      <w:pPr>
        <w:autoSpaceDE w:val="0"/>
        <w:autoSpaceDN w:val="0"/>
        <w:adjustRightInd w:val="0"/>
        <w:snapToGrid w:val="0"/>
        <w:spacing w:line="312" w:lineRule="auto"/>
        <w:rPr>
          <w:rFonts w:hint="eastAsia" w:ascii="仿宋" w:hAnsi="仿宋" w:eastAsia="仿宋" w:cs="仿宋"/>
          <w:color w:val="auto"/>
          <w:highlight w:val="none"/>
        </w:rPr>
      </w:pPr>
      <w:r>
        <w:rPr>
          <w:rFonts w:hint="eastAsia" w:ascii="仿宋" w:hAnsi="仿宋" w:eastAsia="仿宋" w:cs="仿宋"/>
          <w:color w:val="auto"/>
          <w:sz w:val="24"/>
          <w:highlight w:val="none"/>
          <w:lang w:val="zh-CN"/>
        </w:rPr>
        <w:t>电</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话：</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zh-CN"/>
        </w:rPr>
        <w:t>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zh-CN"/>
        </w:rPr>
        <w:t>真：</w:t>
      </w:r>
      <w:r>
        <w:rPr>
          <w:rFonts w:hint="eastAsia" w:ascii="仿宋" w:hAnsi="仿宋" w:eastAsia="仿宋" w:cs="仿宋"/>
          <w:color w:val="auto"/>
          <w:sz w:val="24"/>
          <w:highlight w:val="none"/>
          <w:u w:val="single"/>
          <w:lang w:val="en-US" w:eastAsia="zh-CN"/>
        </w:rPr>
        <w:t xml:space="preserve">           </w:t>
      </w:r>
    </w:p>
    <w:p w14:paraId="7C9899EA">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5CCB0F00">
      <w:pPr>
        <w:spacing w:before="120" w:after="120"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748843E5">
      <w:pPr>
        <w:spacing w:before="120" w:after="120"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DE6AB32">
      <w:pPr>
        <w:pStyle w:val="3"/>
        <w:jc w:val="center"/>
        <w:rPr>
          <w:rFonts w:hint="eastAsia" w:ascii="仿宋" w:hAnsi="仿宋" w:eastAsia="仿宋" w:cs="仿宋"/>
          <w:b/>
          <w:bCs/>
          <w:color w:val="auto"/>
          <w:highlight w:val="none"/>
        </w:rPr>
      </w:pPr>
      <w:r>
        <w:rPr>
          <w:rFonts w:hint="eastAsia" w:ascii="仿宋" w:hAnsi="仿宋" w:eastAsia="仿宋" w:cs="仿宋"/>
          <w:color w:val="auto"/>
          <w:sz w:val="24"/>
          <w:highlight w:val="none"/>
        </w:rPr>
        <w:br w:type="page"/>
      </w:r>
      <w:bookmarkStart w:id="515" w:name="_Toc27721"/>
      <w:bookmarkStart w:id="516" w:name="_Toc8664"/>
      <w:bookmarkStart w:id="517" w:name="_Toc14094"/>
      <w:bookmarkStart w:id="518" w:name="_Toc232395224"/>
      <w:bookmarkStart w:id="519" w:name="_Toc230583554"/>
      <w:bookmarkStart w:id="520" w:name="_Toc230099805"/>
      <w:bookmarkStart w:id="521" w:name="_Toc256342154"/>
      <w:bookmarkStart w:id="522" w:name="_Toc249515371"/>
      <w:bookmarkStart w:id="523" w:name="_Toc415499901"/>
      <w:bookmarkStart w:id="524" w:name="_Toc232176284"/>
      <w:bookmarkStart w:id="525" w:name="_Toc249525252"/>
      <w:bookmarkStart w:id="526" w:name="_Toc230013640"/>
      <w:bookmarkStart w:id="527" w:name="_Toc8496"/>
      <w:r>
        <w:rPr>
          <w:rFonts w:hint="eastAsia" w:ascii="仿宋" w:hAnsi="仿宋" w:eastAsia="仿宋" w:cs="仿宋"/>
          <w:b/>
          <w:bCs/>
          <w:color w:val="auto"/>
          <w:highlight w:val="none"/>
          <w:lang w:val="zh-CN"/>
        </w:rPr>
        <w:t>第二部分</w:t>
      </w:r>
      <w:r>
        <w:rPr>
          <w:rFonts w:hint="eastAsia" w:ascii="仿宋" w:hAnsi="仿宋" w:eastAsia="仿宋" w:cs="仿宋"/>
          <w:b/>
          <w:bCs/>
          <w:color w:val="auto"/>
          <w:highlight w:val="none"/>
        </w:rPr>
        <w:t xml:space="preserve">  谈判响应报价表</w:t>
      </w:r>
      <w:bookmarkEnd w:id="515"/>
      <w:bookmarkEnd w:id="516"/>
      <w:bookmarkEnd w:id="517"/>
      <w:r>
        <w:rPr>
          <w:rFonts w:hint="eastAsia" w:ascii="仿宋" w:hAnsi="仿宋" w:eastAsia="仿宋" w:cs="仿宋"/>
          <w:b/>
          <w:bCs/>
          <w:color w:val="auto"/>
          <w:highlight w:val="none"/>
        </w:rPr>
        <w:t xml:space="preserve"> </w:t>
      </w:r>
    </w:p>
    <w:p w14:paraId="47A01263">
      <w:pPr>
        <w:autoSpaceDE w:val="0"/>
        <w:autoSpaceDN w:val="0"/>
        <w:adjustRightInd w:val="0"/>
        <w:snapToGrid w:val="0"/>
        <w:spacing w:line="360" w:lineRule="auto"/>
        <w:jc w:val="center"/>
        <w:outlineLvl w:val="2"/>
        <w:rPr>
          <w:rFonts w:hint="eastAsia" w:ascii="仿宋" w:hAnsi="仿宋" w:eastAsia="仿宋" w:cs="仿宋"/>
          <w:b/>
          <w:bCs/>
          <w:color w:val="auto"/>
          <w:sz w:val="30"/>
          <w:szCs w:val="30"/>
          <w:highlight w:val="none"/>
        </w:rPr>
      </w:pPr>
      <w:bookmarkStart w:id="528" w:name="_Toc20443"/>
      <w:r>
        <w:rPr>
          <w:rFonts w:hint="eastAsia" w:ascii="仿宋" w:hAnsi="仿宋" w:eastAsia="仿宋" w:cs="仿宋"/>
          <w:b/>
          <w:bCs/>
          <w:color w:val="auto"/>
          <w:sz w:val="30"/>
          <w:szCs w:val="30"/>
          <w:highlight w:val="none"/>
        </w:rPr>
        <w:t>（首次）谈判响应报价</w:t>
      </w:r>
      <w:r>
        <w:rPr>
          <w:rFonts w:hint="eastAsia" w:ascii="仿宋" w:hAnsi="仿宋" w:eastAsia="仿宋" w:cs="仿宋"/>
          <w:b/>
          <w:bCs/>
          <w:color w:val="auto"/>
          <w:sz w:val="30"/>
          <w:szCs w:val="30"/>
          <w:highlight w:val="none"/>
          <w:lang w:val="en-US" w:eastAsia="zh-CN"/>
        </w:rPr>
        <w:t>一览</w:t>
      </w:r>
      <w:r>
        <w:rPr>
          <w:rFonts w:hint="eastAsia" w:ascii="仿宋" w:hAnsi="仿宋" w:eastAsia="仿宋" w:cs="仿宋"/>
          <w:b/>
          <w:bCs/>
          <w:color w:val="auto"/>
          <w:sz w:val="30"/>
          <w:szCs w:val="30"/>
          <w:highlight w:val="none"/>
        </w:rPr>
        <w:t>表</w:t>
      </w:r>
      <w:bookmarkEnd w:id="528"/>
    </w:p>
    <w:p w14:paraId="4A2EBC43">
      <w:pPr>
        <w:autoSpaceDE w:val="0"/>
        <w:autoSpaceDN w:val="0"/>
        <w:adjustRightInd w:val="0"/>
        <w:snapToGrid w:val="0"/>
        <w:spacing w:line="360" w:lineRule="auto"/>
        <w:jc w:val="center"/>
        <w:outlineLvl w:val="2"/>
        <w:rPr>
          <w:rFonts w:hint="eastAsia" w:ascii="仿宋" w:hAnsi="仿宋" w:eastAsia="仿宋" w:cs="仿宋"/>
          <w:b/>
          <w:bCs/>
          <w:color w:val="auto"/>
          <w:sz w:val="30"/>
          <w:szCs w:val="30"/>
          <w:highlight w:val="none"/>
        </w:rPr>
      </w:pPr>
    </w:p>
    <w:tbl>
      <w:tblPr>
        <w:tblStyle w:val="50"/>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7"/>
        <w:gridCol w:w="6492"/>
      </w:tblGrid>
      <w:tr w14:paraId="2F6B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3" w:hRule="atLeast"/>
          <w:jc w:val="center"/>
        </w:trPr>
        <w:tc>
          <w:tcPr>
            <w:tcW w:w="1887" w:type="dxa"/>
            <w:vAlign w:val="center"/>
          </w:tcPr>
          <w:p w14:paraId="50CAEF9D">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项目编号及项目名称</w:t>
            </w:r>
          </w:p>
        </w:tc>
        <w:tc>
          <w:tcPr>
            <w:tcW w:w="6492" w:type="dxa"/>
            <w:vAlign w:val="center"/>
          </w:tcPr>
          <w:p w14:paraId="4B93C65F">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240" w:firstLineChars="1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20FB643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tc>
      </w:tr>
      <w:tr w14:paraId="6747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887" w:type="dxa"/>
            <w:vAlign w:val="center"/>
          </w:tcPr>
          <w:p w14:paraId="72F391F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投标报价</w:t>
            </w:r>
          </w:p>
        </w:tc>
        <w:tc>
          <w:tcPr>
            <w:tcW w:w="6492" w:type="dxa"/>
            <w:vAlign w:val="center"/>
          </w:tcPr>
          <w:p w14:paraId="327DF11D">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仿宋" w:hAnsi="仿宋" w:eastAsia="仿宋" w:cs="仿宋"/>
                <w:color w:val="auto"/>
                <w:sz w:val="24"/>
                <w:highlight w:val="none"/>
              </w:rPr>
            </w:pPr>
          </w:p>
        </w:tc>
      </w:tr>
      <w:tr w14:paraId="7199E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887" w:type="dxa"/>
            <w:vAlign w:val="center"/>
          </w:tcPr>
          <w:p w14:paraId="26A5C80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交货</w:t>
            </w:r>
            <w:r>
              <w:rPr>
                <w:rFonts w:hint="eastAsia" w:ascii="仿宋" w:hAnsi="仿宋" w:eastAsia="仿宋" w:cs="仿宋"/>
                <w:b/>
                <w:color w:val="auto"/>
                <w:sz w:val="24"/>
                <w:highlight w:val="none"/>
                <w:lang w:eastAsia="zh-CN"/>
              </w:rPr>
              <w:t>期</w:t>
            </w:r>
          </w:p>
        </w:tc>
        <w:tc>
          <w:tcPr>
            <w:tcW w:w="6492" w:type="dxa"/>
            <w:vAlign w:val="center"/>
          </w:tcPr>
          <w:p w14:paraId="6271F92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仿宋" w:hAnsi="仿宋" w:eastAsia="仿宋" w:cs="仿宋"/>
                <w:color w:val="auto"/>
                <w:sz w:val="24"/>
                <w:highlight w:val="none"/>
              </w:rPr>
            </w:pPr>
          </w:p>
        </w:tc>
      </w:tr>
      <w:tr w14:paraId="32B8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887" w:type="dxa"/>
            <w:vAlign w:val="center"/>
          </w:tcPr>
          <w:p w14:paraId="70821074">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交货地点</w:t>
            </w:r>
          </w:p>
        </w:tc>
        <w:tc>
          <w:tcPr>
            <w:tcW w:w="6492" w:type="dxa"/>
            <w:vAlign w:val="center"/>
          </w:tcPr>
          <w:p w14:paraId="2E33C31F">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仿宋" w:hAnsi="仿宋" w:eastAsia="仿宋" w:cs="仿宋"/>
                <w:color w:val="auto"/>
                <w:sz w:val="24"/>
                <w:highlight w:val="none"/>
              </w:rPr>
            </w:pPr>
          </w:p>
        </w:tc>
      </w:tr>
      <w:tr w14:paraId="60A50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887" w:type="dxa"/>
            <w:vAlign w:val="center"/>
          </w:tcPr>
          <w:p w14:paraId="3AF104B3">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质保期</w:t>
            </w:r>
          </w:p>
        </w:tc>
        <w:tc>
          <w:tcPr>
            <w:tcW w:w="6492" w:type="dxa"/>
            <w:vAlign w:val="center"/>
          </w:tcPr>
          <w:p w14:paraId="6705C7FF">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仿宋" w:hAnsi="仿宋" w:eastAsia="仿宋" w:cs="仿宋"/>
                <w:color w:val="auto"/>
                <w:sz w:val="24"/>
                <w:highlight w:val="none"/>
              </w:rPr>
            </w:pPr>
          </w:p>
        </w:tc>
      </w:tr>
      <w:tr w14:paraId="6D84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jc w:val="center"/>
        </w:trPr>
        <w:tc>
          <w:tcPr>
            <w:tcW w:w="1887" w:type="dxa"/>
            <w:vAlign w:val="center"/>
          </w:tcPr>
          <w:p w14:paraId="3090A3D7">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c>
          <w:tcPr>
            <w:tcW w:w="6492" w:type="dxa"/>
            <w:vAlign w:val="center"/>
          </w:tcPr>
          <w:p w14:paraId="4A44639F">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rPr>
            </w:pPr>
          </w:p>
        </w:tc>
      </w:tr>
    </w:tbl>
    <w:p w14:paraId="557F8818">
      <w:pPr>
        <w:autoSpaceDE w:val="0"/>
        <w:autoSpaceDN w:val="0"/>
        <w:adjustRightInd w:val="0"/>
        <w:snapToGrid w:val="0"/>
        <w:spacing w:line="360" w:lineRule="auto"/>
        <w:jc w:val="right"/>
        <w:rPr>
          <w:rFonts w:hint="eastAsia" w:ascii="仿宋" w:hAnsi="仿宋" w:eastAsia="仿宋" w:cs="仿宋"/>
          <w:color w:val="auto"/>
          <w:sz w:val="24"/>
          <w:highlight w:val="none"/>
        </w:rPr>
      </w:pPr>
    </w:p>
    <w:p w14:paraId="52687ABC">
      <w:pPr>
        <w:autoSpaceDE w:val="0"/>
        <w:autoSpaceDN w:val="0"/>
        <w:adjustRightInd w:val="0"/>
        <w:snapToGrid w:val="0"/>
        <w:spacing w:line="360" w:lineRule="auto"/>
        <w:rPr>
          <w:rFonts w:hint="eastAsia" w:ascii="仿宋" w:hAnsi="仿宋" w:eastAsia="仿宋" w:cs="仿宋"/>
          <w:b/>
          <w:bCs/>
          <w:color w:val="auto"/>
          <w:sz w:val="24"/>
          <w:highlight w:val="none"/>
        </w:rPr>
      </w:pPr>
    </w:p>
    <w:p w14:paraId="318E3D9B">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734DEF9">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46C38D07">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19C4A77">
      <w:pPr>
        <w:autoSpaceDE w:val="0"/>
        <w:autoSpaceDN w:val="0"/>
        <w:adjustRightInd w:val="0"/>
        <w:snapToGrid w:val="0"/>
        <w:spacing w:line="360" w:lineRule="auto"/>
        <w:ind w:firstLine="240" w:firstLineChars="100"/>
        <w:rPr>
          <w:rFonts w:hint="eastAsia" w:ascii="仿宋" w:hAnsi="仿宋" w:eastAsia="仿宋" w:cs="仿宋"/>
          <w:color w:val="auto"/>
          <w:sz w:val="24"/>
          <w:highlight w:val="none"/>
          <w:lang w:val="zh-CN"/>
        </w:rPr>
      </w:pPr>
    </w:p>
    <w:p w14:paraId="299B4980">
      <w:pPr>
        <w:pStyle w:val="23"/>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518"/>
    <w:bookmarkEnd w:id="519"/>
    <w:bookmarkEnd w:id="520"/>
    <w:bookmarkEnd w:id="521"/>
    <w:bookmarkEnd w:id="522"/>
    <w:bookmarkEnd w:id="523"/>
    <w:bookmarkEnd w:id="524"/>
    <w:bookmarkEnd w:id="525"/>
    <w:bookmarkEnd w:id="526"/>
    <w:bookmarkEnd w:id="527"/>
    <w:p w14:paraId="76D4A66A">
      <w:pPr>
        <w:pStyle w:val="4"/>
        <w:jc w:val="center"/>
        <w:rPr>
          <w:rFonts w:hint="eastAsia" w:ascii="仿宋" w:hAnsi="仿宋" w:eastAsia="仿宋" w:cs="仿宋"/>
          <w:b/>
          <w:bCs/>
          <w:color w:val="auto"/>
          <w:sz w:val="28"/>
          <w:szCs w:val="36"/>
          <w:highlight w:val="none"/>
        </w:rPr>
      </w:pPr>
      <w:bookmarkStart w:id="529" w:name="_Toc4029"/>
      <w:bookmarkStart w:id="530" w:name="_Toc10803"/>
      <w:bookmarkStart w:id="531" w:name="_Toc21545"/>
      <w:bookmarkStart w:id="532" w:name="_Toc176882553"/>
      <w:bookmarkStart w:id="533" w:name="_Toc83547687"/>
      <w:bookmarkStart w:id="534" w:name="_Toc232176285"/>
      <w:bookmarkStart w:id="535" w:name="_Toc230099806"/>
      <w:bookmarkStart w:id="536" w:name="_Toc415499902"/>
      <w:bookmarkStart w:id="537" w:name="_Toc500747011"/>
      <w:bookmarkStart w:id="538" w:name="_Toc177189246"/>
      <w:bookmarkStart w:id="539" w:name="_Toc499711088"/>
      <w:bookmarkStart w:id="540" w:name="_Toc230583555"/>
      <w:bookmarkStart w:id="541" w:name="_Toc70687203"/>
      <w:bookmarkStart w:id="542" w:name="_Toc500747107"/>
      <w:bookmarkStart w:id="543" w:name="_Toc53722866"/>
      <w:bookmarkStart w:id="544" w:name="_Toc249515372"/>
      <w:bookmarkStart w:id="545" w:name="_Toc249525253"/>
      <w:bookmarkStart w:id="546" w:name="_Toc492955460"/>
      <w:bookmarkStart w:id="547" w:name="_Toc184043059"/>
      <w:bookmarkStart w:id="548" w:name="_Toc500747234"/>
      <w:bookmarkStart w:id="549" w:name="_Toc225933091"/>
      <w:bookmarkStart w:id="550" w:name="_Toc499711929"/>
      <w:bookmarkStart w:id="551" w:name="_Toc232395225"/>
      <w:bookmarkStart w:id="552" w:name="_Toc256342155"/>
      <w:bookmarkStart w:id="553" w:name="_Toc177995484"/>
      <w:bookmarkStart w:id="554" w:name="_Toc389620242"/>
      <w:bookmarkStart w:id="555" w:name="_Toc385992402"/>
      <w:bookmarkStart w:id="556" w:name="_Toc177817345"/>
      <w:bookmarkStart w:id="557" w:name="_Toc503063459"/>
      <w:bookmarkStart w:id="558" w:name="_Toc496324624"/>
      <w:bookmarkStart w:id="559" w:name="_Toc230013641"/>
      <w:r>
        <w:rPr>
          <w:rFonts w:hint="eastAsia" w:ascii="仿宋" w:hAnsi="仿宋" w:eastAsia="仿宋" w:cs="仿宋"/>
          <w:b/>
          <w:bCs/>
          <w:color w:val="auto"/>
          <w:sz w:val="28"/>
          <w:szCs w:val="36"/>
          <w:highlight w:val="none"/>
        </w:rPr>
        <w:t>（首次）响应分项报价表</w:t>
      </w:r>
    </w:p>
    <w:p w14:paraId="6C9BFED8">
      <w:pPr>
        <w:spacing w:line="360" w:lineRule="auto"/>
        <w:ind w:firstLine="1920" w:firstLineChars="800"/>
        <w:rPr>
          <w:rFonts w:hint="eastAsia" w:ascii="仿宋" w:hAnsi="仿宋" w:eastAsia="仿宋" w:cs="仿宋"/>
          <w:color w:val="auto"/>
          <w:sz w:val="24"/>
          <w:highlight w:val="none"/>
        </w:rPr>
      </w:pPr>
    </w:p>
    <w:p w14:paraId="3AA849C4">
      <w:pPr>
        <w:spacing w:line="360" w:lineRule="auto"/>
        <w:ind w:firstLine="1920" w:firstLineChars="800"/>
        <w:rPr>
          <w:rFonts w:hint="eastAsia" w:ascii="仿宋" w:hAnsi="仿宋" w:eastAsia="仿宋" w:cs="仿宋"/>
          <w:color w:val="auto"/>
          <w:sz w:val="24"/>
          <w:highlight w:val="none"/>
        </w:rPr>
      </w:pPr>
    </w:p>
    <w:p w14:paraId="2518729E">
      <w:pPr>
        <w:spacing w:line="360" w:lineRule="auto"/>
        <w:ind w:firstLine="1920" w:firstLineChars="800"/>
        <w:rPr>
          <w:rFonts w:hint="eastAsia" w:ascii="仿宋" w:hAnsi="仿宋" w:eastAsia="仿宋" w:cs="仿宋"/>
          <w:color w:val="auto"/>
          <w:sz w:val="24"/>
          <w:highlight w:val="none"/>
        </w:rPr>
      </w:pPr>
    </w:p>
    <w:p w14:paraId="4954697D">
      <w:pPr>
        <w:spacing w:line="360" w:lineRule="auto"/>
        <w:ind w:firstLine="1920" w:firstLineChars="800"/>
        <w:rPr>
          <w:rFonts w:hint="eastAsia" w:ascii="仿宋" w:hAnsi="仿宋" w:eastAsia="仿宋" w:cs="仿宋"/>
          <w:color w:val="auto"/>
          <w:sz w:val="24"/>
          <w:highlight w:val="none"/>
        </w:rPr>
      </w:pPr>
    </w:p>
    <w:p w14:paraId="03814736">
      <w:pPr>
        <w:spacing w:line="360" w:lineRule="auto"/>
        <w:ind w:firstLine="1920" w:firstLineChars="800"/>
        <w:rPr>
          <w:rFonts w:hint="eastAsia" w:ascii="仿宋" w:hAnsi="仿宋" w:eastAsia="仿宋" w:cs="仿宋"/>
          <w:color w:val="auto"/>
          <w:sz w:val="24"/>
          <w:highlight w:val="none"/>
        </w:rPr>
      </w:pPr>
    </w:p>
    <w:p w14:paraId="69B8E599">
      <w:pPr>
        <w:spacing w:line="360" w:lineRule="auto"/>
        <w:ind w:firstLine="1920" w:firstLineChars="800"/>
        <w:rPr>
          <w:rFonts w:hint="eastAsia" w:ascii="仿宋" w:hAnsi="仿宋" w:eastAsia="仿宋" w:cs="仿宋"/>
          <w:color w:val="auto"/>
          <w:sz w:val="24"/>
          <w:highlight w:val="none"/>
        </w:rPr>
      </w:pPr>
    </w:p>
    <w:p w14:paraId="7D3967FF">
      <w:pPr>
        <w:spacing w:line="360" w:lineRule="auto"/>
        <w:ind w:firstLine="1920" w:firstLineChars="800"/>
        <w:rPr>
          <w:rFonts w:hint="eastAsia" w:ascii="仿宋" w:hAnsi="仿宋" w:eastAsia="仿宋" w:cs="仿宋"/>
          <w:color w:val="auto"/>
          <w:sz w:val="24"/>
          <w:highlight w:val="none"/>
        </w:rPr>
      </w:pPr>
    </w:p>
    <w:p w14:paraId="076BF1D6">
      <w:pPr>
        <w:spacing w:line="360" w:lineRule="auto"/>
        <w:ind w:firstLine="1920" w:firstLineChars="800"/>
        <w:rPr>
          <w:rFonts w:hint="eastAsia" w:ascii="仿宋" w:hAnsi="仿宋" w:eastAsia="仿宋" w:cs="仿宋"/>
          <w:color w:val="auto"/>
          <w:sz w:val="24"/>
          <w:highlight w:val="none"/>
        </w:rPr>
      </w:pPr>
    </w:p>
    <w:p w14:paraId="0FFACC97">
      <w:pPr>
        <w:spacing w:line="360" w:lineRule="auto"/>
        <w:ind w:firstLine="1920" w:firstLineChars="800"/>
        <w:rPr>
          <w:rFonts w:hint="eastAsia" w:ascii="仿宋" w:hAnsi="仿宋" w:eastAsia="仿宋" w:cs="仿宋"/>
          <w:color w:val="auto"/>
          <w:sz w:val="24"/>
          <w:highlight w:val="none"/>
        </w:rPr>
      </w:pPr>
    </w:p>
    <w:p w14:paraId="20D79886">
      <w:pPr>
        <w:spacing w:line="360" w:lineRule="auto"/>
        <w:ind w:firstLine="1920" w:firstLineChars="800"/>
        <w:rPr>
          <w:rFonts w:hint="eastAsia" w:ascii="仿宋" w:hAnsi="仿宋" w:eastAsia="仿宋" w:cs="仿宋"/>
          <w:color w:val="auto"/>
          <w:sz w:val="24"/>
          <w:highlight w:val="none"/>
        </w:rPr>
      </w:pPr>
    </w:p>
    <w:p w14:paraId="7860944E">
      <w:pPr>
        <w:spacing w:line="360" w:lineRule="auto"/>
        <w:ind w:firstLine="1920" w:firstLineChars="800"/>
        <w:rPr>
          <w:rFonts w:hint="eastAsia" w:ascii="仿宋" w:hAnsi="仿宋" w:eastAsia="仿宋" w:cs="仿宋"/>
          <w:color w:val="auto"/>
          <w:sz w:val="24"/>
          <w:highlight w:val="none"/>
        </w:rPr>
      </w:pPr>
    </w:p>
    <w:p w14:paraId="7AB94C4B">
      <w:pPr>
        <w:spacing w:line="360" w:lineRule="auto"/>
        <w:ind w:firstLine="1920" w:firstLineChars="800"/>
        <w:rPr>
          <w:rFonts w:hint="eastAsia" w:ascii="仿宋" w:hAnsi="仿宋" w:eastAsia="仿宋" w:cs="仿宋"/>
          <w:color w:val="auto"/>
          <w:sz w:val="24"/>
          <w:highlight w:val="none"/>
        </w:rPr>
      </w:pPr>
    </w:p>
    <w:p w14:paraId="31EC3707">
      <w:pPr>
        <w:spacing w:line="360" w:lineRule="auto"/>
        <w:ind w:firstLine="1920" w:firstLineChars="800"/>
        <w:rPr>
          <w:rFonts w:hint="eastAsia" w:ascii="仿宋" w:hAnsi="仿宋" w:eastAsia="仿宋" w:cs="仿宋"/>
          <w:color w:val="auto"/>
          <w:sz w:val="24"/>
          <w:highlight w:val="none"/>
        </w:rPr>
      </w:pPr>
    </w:p>
    <w:p w14:paraId="59CF58E2">
      <w:pPr>
        <w:spacing w:line="360" w:lineRule="auto"/>
        <w:ind w:firstLine="1920" w:firstLineChars="800"/>
        <w:rPr>
          <w:rFonts w:hint="eastAsia" w:ascii="仿宋" w:hAnsi="仿宋" w:eastAsia="仿宋" w:cs="仿宋"/>
          <w:color w:val="auto"/>
          <w:sz w:val="24"/>
          <w:highlight w:val="none"/>
        </w:rPr>
      </w:pPr>
    </w:p>
    <w:p w14:paraId="5CA72062">
      <w:pPr>
        <w:spacing w:line="360" w:lineRule="auto"/>
        <w:ind w:firstLine="1920" w:firstLineChars="800"/>
        <w:rPr>
          <w:rFonts w:hint="eastAsia" w:ascii="仿宋" w:hAnsi="仿宋" w:eastAsia="仿宋" w:cs="仿宋"/>
          <w:color w:val="auto"/>
          <w:sz w:val="24"/>
          <w:highlight w:val="none"/>
        </w:rPr>
      </w:pPr>
    </w:p>
    <w:p w14:paraId="28A5E6B8">
      <w:pPr>
        <w:spacing w:line="360" w:lineRule="auto"/>
        <w:ind w:firstLine="1920" w:firstLineChars="800"/>
        <w:rPr>
          <w:rFonts w:hint="eastAsia" w:ascii="仿宋" w:hAnsi="仿宋" w:eastAsia="仿宋" w:cs="仿宋"/>
          <w:color w:val="auto"/>
          <w:sz w:val="24"/>
          <w:highlight w:val="none"/>
        </w:rPr>
      </w:pPr>
    </w:p>
    <w:p w14:paraId="6A6D686F">
      <w:pPr>
        <w:spacing w:line="360" w:lineRule="auto"/>
        <w:ind w:firstLine="1920" w:firstLineChars="800"/>
        <w:rPr>
          <w:rFonts w:hint="eastAsia" w:ascii="仿宋" w:hAnsi="仿宋" w:eastAsia="仿宋" w:cs="仿宋"/>
          <w:color w:val="auto"/>
          <w:sz w:val="24"/>
          <w:highlight w:val="none"/>
        </w:rPr>
      </w:pPr>
    </w:p>
    <w:p w14:paraId="450AF316">
      <w:pPr>
        <w:spacing w:line="360" w:lineRule="auto"/>
        <w:ind w:firstLine="1920" w:firstLineChars="800"/>
        <w:rPr>
          <w:rFonts w:hint="eastAsia" w:ascii="仿宋" w:hAnsi="仿宋" w:eastAsia="仿宋" w:cs="仿宋"/>
          <w:color w:val="auto"/>
          <w:sz w:val="24"/>
          <w:highlight w:val="none"/>
        </w:rPr>
      </w:pPr>
    </w:p>
    <w:p w14:paraId="19939709">
      <w:pPr>
        <w:spacing w:line="360" w:lineRule="auto"/>
        <w:ind w:firstLine="1920" w:firstLineChars="800"/>
        <w:rPr>
          <w:rFonts w:hint="eastAsia" w:ascii="仿宋" w:hAnsi="仿宋" w:eastAsia="仿宋" w:cs="仿宋"/>
          <w:color w:val="auto"/>
          <w:sz w:val="24"/>
          <w:highlight w:val="none"/>
        </w:rPr>
      </w:pPr>
    </w:p>
    <w:p w14:paraId="1510AE67">
      <w:pPr>
        <w:spacing w:line="360" w:lineRule="auto"/>
        <w:ind w:firstLine="1920" w:firstLineChars="800"/>
        <w:rPr>
          <w:rFonts w:hint="eastAsia" w:ascii="仿宋" w:hAnsi="仿宋" w:eastAsia="仿宋" w:cs="仿宋"/>
          <w:color w:val="auto"/>
          <w:sz w:val="24"/>
          <w:highlight w:val="none"/>
        </w:rPr>
      </w:pPr>
    </w:p>
    <w:p w14:paraId="1548DE6C">
      <w:pPr>
        <w:spacing w:line="360" w:lineRule="auto"/>
        <w:ind w:firstLine="1920" w:firstLineChars="800"/>
        <w:rPr>
          <w:rFonts w:hint="eastAsia" w:ascii="仿宋" w:hAnsi="仿宋" w:eastAsia="仿宋" w:cs="仿宋"/>
          <w:color w:val="auto"/>
          <w:sz w:val="24"/>
          <w:highlight w:val="none"/>
        </w:rPr>
      </w:pPr>
    </w:p>
    <w:p w14:paraId="2CA36D02">
      <w:pPr>
        <w:spacing w:line="360" w:lineRule="auto"/>
        <w:ind w:firstLine="1920" w:firstLineChars="800"/>
        <w:rPr>
          <w:rFonts w:hint="eastAsia" w:ascii="仿宋" w:hAnsi="仿宋" w:eastAsia="仿宋" w:cs="仿宋"/>
          <w:color w:val="auto"/>
          <w:sz w:val="24"/>
          <w:highlight w:val="none"/>
        </w:rPr>
      </w:pPr>
    </w:p>
    <w:p w14:paraId="5CB70B73">
      <w:pPr>
        <w:spacing w:line="360" w:lineRule="auto"/>
        <w:ind w:firstLine="1920" w:firstLineChars="800"/>
        <w:rPr>
          <w:rFonts w:hint="eastAsia" w:ascii="仿宋" w:hAnsi="仿宋" w:eastAsia="仿宋" w:cs="仿宋"/>
          <w:color w:val="auto"/>
          <w:sz w:val="24"/>
          <w:highlight w:val="none"/>
        </w:rPr>
      </w:pPr>
    </w:p>
    <w:p w14:paraId="4B390F4F">
      <w:pPr>
        <w:spacing w:line="360" w:lineRule="auto"/>
        <w:ind w:firstLine="1920" w:firstLineChars="800"/>
        <w:rPr>
          <w:rFonts w:hint="eastAsia" w:ascii="仿宋" w:hAnsi="仿宋" w:eastAsia="仿宋" w:cs="仿宋"/>
          <w:color w:val="auto"/>
          <w:sz w:val="24"/>
          <w:highlight w:val="none"/>
        </w:rPr>
      </w:pPr>
    </w:p>
    <w:p w14:paraId="7661A441">
      <w:pPr>
        <w:spacing w:line="360" w:lineRule="auto"/>
        <w:ind w:firstLine="1920" w:firstLineChars="800"/>
        <w:rPr>
          <w:rFonts w:hint="eastAsia" w:ascii="仿宋" w:hAnsi="仿宋" w:eastAsia="仿宋" w:cs="仿宋"/>
          <w:color w:val="auto"/>
          <w:sz w:val="24"/>
          <w:highlight w:val="none"/>
        </w:rPr>
      </w:pPr>
    </w:p>
    <w:p w14:paraId="3C8640E7">
      <w:pPr>
        <w:spacing w:line="360" w:lineRule="auto"/>
        <w:ind w:firstLine="1920" w:firstLineChars="800"/>
        <w:rPr>
          <w:rFonts w:hint="eastAsia" w:ascii="仿宋" w:hAnsi="仿宋" w:eastAsia="仿宋" w:cs="仿宋"/>
          <w:color w:val="auto"/>
          <w:sz w:val="24"/>
          <w:highlight w:val="none"/>
        </w:rPr>
      </w:pPr>
    </w:p>
    <w:p w14:paraId="5021681A">
      <w:pP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4587E0F4">
      <w:pPr>
        <w:ind w:firstLine="1920" w:firstLineChars="800"/>
        <w:rPr>
          <w:rFonts w:hint="eastAsia" w:ascii="仿宋" w:hAnsi="仿宋" w:eastAsia="仿宋" w:cs="仿宋"/>
          <w:b/>
          <w:bCs/>
          <w:color w:val="auto"/>
          <w:highlight w:val="none"/>
        </w:rPr>
      </w:pPr>
      <w:r>
        <w:rPr>
          <w:rFonts w:hint="eastAsia" w:ascii="仿宋" w:hAnsi="仿宋" w:eastAsia="仿宋" w:cs="仿宋"/>
          <w:color w:val="auto"/>
          <w:sz w:val="24"/>
          <w:highlight w:val="none"/>
        </w:rPr>
        <w:t>法定代表人或授权代表（签字或盖章）：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723F34A9">
      <w:pPr>
        <w:pStyle w:val="3"/>
        <w:jc w:val="center"/>
        <w:rPr>
          <w:rFonts w:hint="eastAsia" w:ascii="仿宋" w:hAnsi="仿宋" w:eastAsia="仿宋" w:cs="仿宋"/>
          <w:color w:val="auto"/>
          <w:highlight w:val="none"/>
        </w:rPr>
      </w:pPr>
      <w:r>
        <w:rPr>
          <w:rFonts w:hint="eastAsia" w:ascii="仿宋" w:hAnsi="仿宋" w:eastAsia="仿宋" w:cs="仿宋"/>
          <w:b/>
          <w:bCs/>
          <w:color w:val="auto"/>
          <w:highlight w:val="none"/>
        </w:rPr>
        <w:t>第三部分  偏离表</w:t>
      </w:r>
      <w:bookmarkEnd w:id="529"/>
      <w:bookmarkEnd w:id="530"/>
      <w:bookmarkEnd w:id="531"/>
    </w:p>
    <w:p w14:paraId="35B1F696">
      <w:pPr>
        <w:pStyle w:val="4"/>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一、商务、合同条款偏离表</w:t>
      </w:r>
    </w:p>
    <w:p w14:paraId="1F747B0A">
      <w:pPr>
        <w:pStyle w:val="2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5B25145F">
      <w:pPr>
        <w:pStyle w:val="29"/>
        <w:keepNext w:val="0"/>
        <w:keepLines w:val="0"/>
        <w:pageBreakBefore w:val="0"/>
        <w:widowControl w:val="0"/>
        <w:kinsoku/>
        <w:wordWrap/>
        <w:overflowPunct/>
        <w:topLinePunct w:val="0"/>
        <w:autoSpaceDE/>
        <w:autoSpaceDN/>
        <w:bidi w:val="0"/>
        <w:adjustRightInd/>
        <w:snapToGrid/>
        <w:ind w:right="561"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807"/>
        <w:gridCol w:w="1684"/>
        <w:gridCol w:w="1403"/>
        <w:gridCol w:w="2173"/>
      </w:tblGrid>
      <w:tr w14:paraId="7947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72" w:type="dxa"/>
            <w:vAlign w:val="center"/>
          </w:tcPr>
          <w:p w14:paraId="77095DCF">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807" w:type="dxa"/>
            <w:vAlign w:val="center"/>
          </w:tcPr>
          <w:p w14:paraId="0B086C3D">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谈判文件商务、合同条款</w:t>
            </w:r>
          </w:p>
        </w:tc>
        <w:tc>
          <w:tcPr>
            <w:tcW w:w="1684" w:type="dxa"/>
            <w:vAlign w:val="center"/>
          </w:tcPr>
          <w:p w14:paraId="4EBF13BA">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完全响应</w:t>
            </w:r>
          </w:p>
        </w:tc>
        <w:tc>
          <w:tcPr>
            <w:tcW w:w="1403" w:type="dxa"/>
            <w:vAlign w:val="center"/>
          </w:tcPr>
          <w:p w14:paraId="52BFE4A4">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有偏离</w:t>
            </w:r>
          </w:p>
        </w:tc>
        <w:tc>
          <w:tcPr>
            <w:tcW w:w="2173" w:type="dxa"/>
            <w:vAlign w:val="center"/>
          </w:tcPr>
          <w:p w14:paraId="46665418">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偏离简述</w:t>
            </w:r>
          </w:p>
        </w:tc>
      </w:tr>
      <w:tr w14:paraId="2411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2" w:type="dxa"/>
            <w:vAlign w:val="center"/>
          </w:tcPr>
          <w:p w14:paraId="585FC605">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807" w:type="dxa"/>
            <w:vAlign w:val="center"/>
          </w:tcPr>
          <w:p w14:paraId="632455AE">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lang w:eastAsia="zh-CN"/>
              </w:rPr>
              <w:t>）</w:t>
            </w:r>
          </w:p>
        </w:tc>
        <w:tc>
          <w:tcPr>
            <w:tcW w:w="1684" w:type="dxa"/>
            <w:vAlign w:val="center"/>
          </w:tcPr>
          <w:p w14:paraId="786424A8">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1403" w:type="dxa"/>
            <w:vAlign w:val="center"/>
          </w:tcPr>
          <w:p w14:paraId="1F01329D">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173" w:type="dxa"/>
            <w:vAlign w:val="center"/>
          </w:tcPr>
          <w:p w14:paraId="70B69FF0">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r>
      <w:tr w14:paraId="4251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72" w:type="dxa"/>
            <w:vAlign w:val="center"/>
          </w:tcPr>
          <w:p w14:paraId="7914B3DB">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807" w:type="dxa"/>
            <w:vAlign w:val="center"/>
          </w:tcPr>
          <w:p w14:paraId="5DE0EC0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交货</w:t>
            </w:r>
            <w:r>
              <w:rPr>
                <w:rFonts w:hint="eastAsia" w:ascii="仿宋" w:hAnsi="仿宋" w:eastAsia="仿宋" w:cs="仿宋"/>
                <w:bCs/>
                <w:color w:val="auto"/>
                <w:sz w:val="24"/>
                <w:highlight w:val="none"/>
                <w:lang w:eastAsia="zh-CN"/>
              </w:rPr>
              <w:t>期）</w:t>
            </w:r>
          </w:p>
        </w:tc>
        <w:tc>
          <w:tcPr>
            <w:tcW w:w="1684" w:type="dxa"/>
            <w:vAlign w:val="center"/>
          </w:tcPr>
          <w:p w14:paraId="4E9F9652">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1403" w:type="dxa"/>
            <w:vAlign w:val="center"/>
          </w:tcPr>
          <w:p w14:paraId="5B61BCD8">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173" w:type="dxa"/>
            <w:vAlign w:val="center"/>
          </w:tcPr>
          <w:p w14:paraId="6EE38386">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r>
      <w:tr w14:paraId="3471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2" w:type="dxa"/>
            <w:vAlign w:val="center"/>
          </w:tcPr>
          <w:p w14:paraId="7D83E26A">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807" w:type="dxa"/>
            <w:vAlign w:val="center"/>
          </w:tcPr>
          <w:p w14:paraId="1DCB14E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付款方式</w:t>
            </w:r>
            <w:r>
              <w:rPr>
                <w:rFonts w:hint="eastAsia" w:ascii="仿宋" w:hAnsi="仿宋" w:eastAsia="仿宋" w:cs="仿宋"/>
                <w:bCs/>
                <w:color w:val="auto"/>
                <w:sz w:val="24"/>
                <w:highlight w:val="none"/>
                <w:lang w:eastAsia="zh-CN"/>
              </w:rPr>
              <w:t>）</w:t>
            </w:r>
          </w:p>
        </w:tc>
        <w:tc>
          <w:tcPr>
            <w:tcW w:w="1684" w:type="dxa"/>
            <w:vAlign w:val="center"/>
          </w:tcPr>
          <w:p w14:paraId="1FDD1BF3">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1403" w:type="dxa"/>
            <w:vAlign w:val="center"/>
          </w:tcPr>
          <w:p w14:paraId="0375960D">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173" w:type="dxa"/>
            <w:vAlign w:val="center"/>
          </w:tcPr>
          <w:p w14:paraId="2CE3E75F">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r>
      <w:tr w14:paraId="53C6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2" w:type="dxa"/>
            <w:vAlign w:val="center"/>
          </w:tcPr>
          <w:p w14:paraId="293E757D">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807" w:type="dxa"/>
            <w:vAlign w:val="center"/>
          </w:tcPr>
          <w:p w14:paraId="7A4BBFB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（质保期）</w:t>
            </w:r>
          </w:p>
        </w:tc>
        <w:tc>
          <w:tcPr>
            <w:tcW w:w="1684" w:type="dxa"/>
            <w:vAlign w:val="center"/>
          </w:tcPr>
          <w:p w14:paraId="5CAA56E9">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1403" w:type="dxa"/>
            <w:vAlign w:val="center"/>
          </w:tcPr>
          <w:p w14:paraId="7BDD20AB">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173" w:type="dxa"/>
            <w:vAlign w:val="center"/>
          </w:tcPr>
          <w:p w14:paraId="3EEAEBC4">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r>
      <w:tr w14:paraId="6215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72" w:type="dxa"/>
            <w:vAlign w:val="center"/>
          </w:tcPr>
          <w:p w14:paraId="21B265FD">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807" w:type="dxa"/>
            <w:vAlign w:val="center"/>
          </w:tcPr>
          <w:p w14:paraId="5D3D36F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highlight w:val="none"/>
                <w:lang w:eastAsia="zh-CN"/>
              </w:rPr>
            </w:pPr>
            <w:r>
              <w:rPr>
                <w:rFonts w:hint="eastAsia" w:ascii="仿宋" w:hAnsi="仿宋" w:eastAsia="仿宋" w:cs="仿宋"/>
                <w:color w:val="auto"/>
                <w:sz w:val="24"/>
                <w:highlight w:val="none"/>
              </w:rPr>
              <w:t>….</w:t>
            </w:r>
          </w:p>
        </w:tc>
        <w:tc>
          <w:tcPr>
            <w:tcW w:w="1684" w:type="dxa"/>
            <w:vAlign w:val="center"/>
          </w:tcPr>
          <w:p w14:paraId="47B83220">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1403" w:type="dxa"/>
            <w:vAlign w:val="center"/>
          </w:tcPr>
          <w:p w14:paraId="3AECCD8D">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173" w:type="dxa"/>
            <w:vAlign w:val="center"/>
          </w:tcPr>
          <w:p w14:paraId="478A0662">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r>
      <w:tr w14:paraId="6085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72" w:type="dxa"/>
            <w:vAlign w:val="center"/>
          </w:tcPr>
          <w:p w14:paraId="33A32DBB">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807" w:type="dxa"/>
            <w:vAlign w:val="center"/>
          </w:tcPr>
          <w:p w14:paraId="242DC95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highlight w:val="none"/>
              </w:rPr>
            </w:pPr>
          </w:p>
        </w:tc>
        <w:tc>
          <w:tcPr>
            <w:tcW w:w="1684" w:type="dxa"/>
            <w:vAlign w:val="center"/>
          </w:tcPr>
          <w:p w14:paraId="30CFA516">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1403" w:type="dxa"/>
            <w:vAlign w:val="center"/>
          </w:tcPr>
          <w:p w14:paraId="01EDB2A8">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c>
          <w:tcPr>
            <w:tcW w:w="2173" w:type="dxa"/>
            <w:vAlign w:val="center"/>
          </w:tcPr>
          <w:p w14:paraId="2417D7E6">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color w:val="auto"/>
                <w:sz w:val="24"/>
                <w:szCs w:val="24"/>
                <w:highlight w:val="none"/>
              </w:rPr>
            </w:pPr>
          </w:p>
        </w:tc>
      </w:tr>
    </w:tbl>
    <w:p w14:paraId="643FFB6B">
      <w:pPr>
        <w:pStyle w:val="29"/>
        <w:ind w:left="1080" w:leftChars="257" w:hanging="540"/>
        <w:rPr>
          <w:rFonts w:hint="eastAsia" w:ascii="仿宋" w:hAnsi="仿宋" w:eastAsia="仿宋" w:cs="仿宋"/>
          <w:color w:val="auto"/>
          <w:sz w:val="24"/>
          <w:szCs w:val="24"/>
          <w:highlight w:val="none"/>
        </w:rPr>
      </w:pPr>
    </w:p>
    <w:p w14:paraId="47294A98">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07090493">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5B3A049A">
      <w:pPr>
        <w:spacing w:before="120" w:after="120" w:line="360" w:lineRule="auto"/>
        <w:ind w:firstLine="1440" w:firstLineChars="600"/>
        <w:rPr>
          <w:rFonts w:hint="eastAsia" w:ascii="仿宋" w:hAnsi="仿宋" w:eastAsia="仿宋" w:cs="仿宋"/>
          <w:color w:val="auto"/>
          <w:sz w:val="32"/>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0CBA9E7B">
      <w:pPr>
        <w:spacing w:before="120" w:after="120" w:line="360" w:lineRule="auto"/>
        <w:rPr>
          <w:rFonts w:hint="eastAsia" w:ascii="仿宋" w:hAnsi="仿宋" w:eastAsia="仿宋" w:cs="仿宋"/>
          <w:color w:val="auto"/>
          <w:sz w:val="24"/>
          <w:highlight w:val="none"/>
        </w:rPr>
      </w:pPr>
    </w:p>
    <w:p w14:paraId="79F08033">
      <w:pPr>
        <w:snapToGrid w:val="0"/>
        <w:spacing w:after="156" w:afterLines="50"/>
        <w:ind w:left="844" w:leftChars="201" w:hanging="422" w:hangingChars="201"/>
        <w:rPr>
          <w:rFonts w:hint="eastAsia" w:ascii="仿宋" w:hAnsi="仿宋" w:eastAsia="仿宋" w:cs="仿宋"/>
          <w:color w:val="auto"/>
          <w:highlight w:val="none"/>
        </w:rPr>
      </w:pPr>
      <w:bookmarkStart w:id="560" w:name="_Toc416103825"/>
      <w:bookmarkStart w:id="561" w:name="_Toc414445775"/>
      <w:bookmarkStart w:id="562" w:name="_Toc410631184"/>
      <w:bookmarkStart w:id="563" w:name="_Toc7005136"/>
      <w:r>
        <w:rPr>
          <w:rFonts w:hint="eastAsia" w:ascii="仿宋" w:hAnsi="仿宋" w:eastAsia="仿宋" w:cs="仿宋"/>
          <w:color w:val="auto"/>
          <w:szCs w:val="21"/>
          <w:highlight w:val="none"/>
        </w:rPr>
        <w:t>注：</w:t>
      </w:r>
      <w:r>
        <w:rPr>
          <w:rFonts w:hint="eastAsia" w:ascii="仿宋" w:hAnsi="仿宋" w:eastAsia="仿宋" w:cs="仿宋"/>
          <w:color w:val="auto"/>
          <w:highlight w:val="none"/>
        </w:rPr>
        <w:tab/>
      </w:r>
      <w:r>
        <w:rPr>
          <w:rFonts w:hint="eastAsia" w:ascii="仿宋" w:hAnsi="仿宋" w:eastAsia="仿宋" w:cs="仿宋"/>
          <w:color w:val="auto"/>
          <w:highlight w:val="none"/>
        </w:rPr>
        <w:t>1. 对完全响应的，在下表相应列中标注“○”。对有偏离的条目在本表相应列中标注“正偏离”或“负偏离”，并在“偏离简述”栏中加以说明。</w:t>
      </w:r>
    </w:p>
    <w:p w14:paraId="6198483B">
      <w:pPr>
        <w:snapToGrid w:val="0"/>
        <w:spacing w:after="156"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2. 正偏离是指应答的条件高于谈判文件要求，负偏离是指应答的条件低于谈判文件要求，正偏离项目不作扣分处理。</w:t>
      </w:r>
    </w:p>
    <w:p w14:paraId="04926888">
      <w:pPr>
        <w:snapToGrid w:val="0"/>
        <w:spacing w:after="156"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3. 供应商须完整填写响应表。如果未完整填写本表的各项内容则视作供应商已经对谈判文件相关要求和内容完全理解并同意，其报价为在此基础上的完全价格。</w:t>
      </w:r>
    </w:p>
    <w:p w14:paraId="6721152B">
      <w:pPr>
        <w:snapToGrid w:val="0"/>
        <w:spacing w:after="156"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4. 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4C4E6C5A">
      <w:pP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br w:type="page"/>
      </w:r>
    </w:p>
    <w:p w14:paraId="356C838D">
      <w:pPr>
        <w:pStyle w:val="4"/>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二、技术偏离表</w:t>
      </w:r>
      <w:bookmarkEnd w:id="560"/>
      <w:bookmarkEnd w:id="561"/>
      <w:bookmarkEnd w:id="562"/>
      <w:bookmarkEnd w:id="563"/>
    </w:p>
    <w:p w14:paraId="0A6FB232">
      <w:pPr>
        <w:pStyle w:val="2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p>
    <w:p w14:paraId="6E2B3E8B">
      <w:pPr>
        <w:pStyle w:val="23"/>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tbl>
      <w:tblPr>
        <w:tblStyle w:val="50"/>
        <w:tblW w:w="907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71"/>
        <w:gridCol w:w="1934"/>
        <w:gridCol w:w="1237"/>
        <w:gridCol w:w="1237"/>
        <w:gridCol w:w="2397"/>
      </w:tblGrid>
      <w:tr w14:paraId="5053B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271" w:type="dxa"/>
          </w:tcPr>
          <w:p w14:paraId="3B17943E">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谈判文件条目号</w:t>
            </w:r>
          </w:p>
        </w:tc>
        <w:tc>
          <w:tcPr>
            <w:tcW w:w="1934" w:type="dxa"/>
          </w:tcPr>
          <w:p w14:paraId="71454A04">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技术条款要求</w:t>
            </w:r>
          </w:p>
        </w:tc>
        <w:tc>
          <w:tcPr>
            <w:tcW w:w="1237" w:type="dxa"/>
          </w:tcPr>
          <w:p w14:paraId="73BADD3E">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完全响应</w:t>
            </w:r>
          </w:p>
        </w:tc>
        <w:tc>
          <w:tcPr>
            <w:tcW w:w="1237" w:type="dxa"/>
          </w:tcPr>
          <w:p w14:paraId="11124587">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有偏离</w:t>
            </w:r>
          </w:p>
        </w:tc>
        <w:tc>
          <w:tcPr>
            <w:tcW w:w="2397" w:type="dxa"/>
          </w:tcPr>
          <w:p w14:paraId="50F4467F">
            <w:pPr>
              <w:spacing w:line="40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偏离简述</w:t>
            </w:r>
          </w:p>
        </w:tc>
      </w:tr>
      <w:tr w14:paraId="5A9F8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271" w:type="dxa"/>
          </w:tcPr>
          <w:p w14:paraId="5CC3A05C">
            <w:pPr>
              <w:spacing w:line="400" w:lineRule="exact"/>
              <w:rPr>
                <w:rFonts w:hint="eastAsia" w:ascii="仿宋" w:hAnsi="仿宋" w:eastAsia="仿宋" w:cs="仿宋"/>
                <w:color w:val="auto"/>
                <w:sz w:val="24"/>
                <w:highlight w:val="none"/>
              </w:rPr>
            </w:pPr>
          </w:p>
        </w:tc>
        <w:tc>
          <w:tcPr>
            <w:tcW w:w="1934" w:type="dxa"/>
          </w:tcPr>
          <w:p w14:paraId="1C479578">
            <w:pPr>
              <w:spacing w:line="400" w:lineRule="exact"/>
              <w:rPr>
                <w:rFonts w:hint="eastAsia" w:ascii="仿宋" w:hAnsi="仿宋" w:eastAsia="仿宋" w:cs="仿宋"/>
                <w:color w:val="auto"/>
                <w:sz w:val="24"/>
                <w:highlight w:val="none"/>
              </w:rPr>
            </w:pPr>
          </w:p>
        </w:tc>
        <w:tc>
          <w:tcPr>
            <w:tcW w:w="1237" w:type="dxa"/>
          </w:tcPr>
          <w:p w14:paraId="623CE0FC">
            <w:pPr>
              <w:spacing w:line="400" w:lineRule="exact"/>
              <w:rPr>
                <w:rFonts w:hint="eastAsia" w:ascii="仿宋" w:hAnsi="仿宋" w:eastAsia="仿宋" w:cs="仿宋"/>
                <w:color w:val="auto"/>
                <w:sz w:val="24"/>
                <w:highlight w:val="none"/>
              </w:rPr>
            </w:pPr>
          </w:p>
        </w:tc>
        <w:tc>
          <w:tcPr>
            <w:tcW w:w="1237" w:type="dxa"/>
          </w:tcPr>
          <w:p w14:paraId="68AC172C">
            <w:pPr>
              <w:spacing w:line="400" w:lineRule="exact"/>
              <w:rPr>
                <w:rFonts w:hint="eastAsia" w:ascii="仿宋" w:hAnsi="仿宋" w:eastAsia="仿宋" w:cs="仿宋"/>
                <w:color w:val="auto"/>
                <w:sz w:val="24"/>
                <w:highlight w:val="none"/>
              </w:rPr>
            </w:pPr>
          </w:p>
        </w:tc>
        <w:tc>
          <w:tcPr>
            <w:tcW w:w="2397" w:type="dxa"/>
          </w:tcPr>
          <w:p w14:paraId="54888C2D">
            <w:pPr>
              <w:spacing w:line="400" w:lineRule="exact"/>
              <w:rPr>
                <w:rFonts w:hint="eastAsia" w:ascii="仿宋" w:hAnsi="仿宋" w:eastAsia="仿宋" w:cs="仿宋"/>
                <w:color w:val="auto"/>
                <w:sz w:val="24"/>
                <w:highlight w:val="none"/>
              </w:rPr>
            </w:pPr>
          </w:p>
        </w:tc>
      </w:tr>
      <w:tr w14:paraId="77BC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271" w:type="dxa"/>
          </w:tcPr>
          <w:p w14:paraId="0F2257EC">
            <w:pPr>
              <w:spacing w:line="400" w:lineRule="exact"/>
              <w:rPr>
                <w:rFonts w:hint="eastAsia" w:ascii="仿宋" w:hAnsi="仿宋" w:eastAsia="仿宋" w:cs="仿宋"/>
                <w:color w:val="auto"/>
                <w:sz w:val="24"/>
                <w:highlight w:val="none"/>
              </w:rPr>
            </w:pPr>
          </w:p>
        </w:tc>
        <w:tc>
          <w:tcPr>
            <w:tcW w:w="1934" w:type="dxa"/>
          </w:tcPr>
          <w:p w14:paraId="259DE620">
            <w:pPr>
              <w:spacing w:line="400" w:lineRule="exact"/>
              <w:rPr>
                <w:rFonts w:hint="eastAsia" w:ascii="仿宋" w:hAnsi="仿宋" w:eastAsia="仿宋" w:cs="仿宋"/>
                <w:color w:val="auto"/>
                <w:sz w:val="24"/>
                <w:highlight w:val="none"/>
              </w:rPr>
            </w:pPr>
          </w:p>
        </w:tc>
        <w:tc>
          <w:tcPr>
            <w:tcW w:w="1237" w:type="dxa"/>
          </w:tcPr>
          <w:p w14:paraId="00D02420">
            <w:pPr>
              <w:spacing w:line="400" w:lineRule="exact"/>
              <w:rPr>
                <w:rFonts w:hint="eastAsia" w:ascii="仿宋" w:hAnsi="仿宋" w:eastAsia="仿宋" w:cs="仿宋"/>
                <w:color w:val="auto"/>
                <w:sz w:val="24"/>
                <w:highlight w:val="none"/>
              </w:rPr>
            </w:pPr>
          </w:p>
        </w:tc>
        <w:tc>
          <w:tcPr>
            <w:tcW w:w="1237" w:type="dxa"/>
          </w:tcPr>
          <w:p w14:paraId="6A985456">
            <w:pPr>
              <w:spacing w:line="400" w:lineRule="exact"/>
              <w:rPr>
                <w:rFonts w:hint="eastAsia" w:ascii="仿宋" w:hAnsi="仿宋" w:eastAsia="仿宋" w:cs="仿宋"/>
                <w:color w:val="auto"/>
                <w:sz w:val="24"/>
                <w:highlight w:val="none"/>
              </w:rPr>
            </w:pPr>
          </w:p>
        </w:tc>
        <w:tc>
          <w:tcPr>
            <w:tcW w:w="2397" w:type="dxa"/>
          </w:tcPr>
          <w:p w14:paraId="2656CE57">
            <w:pPr>
              <w:spacing w:line="400" w:lineRule="exact"/>
              <w:rPr>
                <w:rFonts w:hint="eastAsia" w:ascii="仿宋" w:hAnsi="仿宋" w:eastAsia="仿宋" w:cs="仿宋"/>
                <w:color w:val="auto"/>
                <w:sz w:val="24"/>
                <w:highlight w:val="none"/>
              </w:rPr>
            </w:pPr>
          </w:p>
        </w:tc>
      </w:tr>
      <w:tr w14:paraId="57ED4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271" w:type="dxa"/>
          </w:tcPr>
          <w:p w14:paraId="33E96338">
            <w:pPr>
              <w:spacing w:line="400" w:lineRule="exact"/>
              <w:rPr>
                <w:rFonts w:hint="eastAsia" w:ascii="仿宋" w:hAnsi="仿宋" w:eastAsia="仿宋" w:cs="仿宋"/>
                <w:color w:val="auto"/>
                <w:sz w:val="24"/>
                <w:highlight w:val="none"/>
              </w:rPr>
            </w:pPr>
          </w:p>
        </w:tc>
        <w:tc>
          <w:tcPr>
            <w:tcW w:w="1934" w:type="dxa"/>
          </w:tcPr>
          <w:p w14:paraId="5E1F4F05">
            <w:pPr>
              <w:spacing w:line="400" w:lineRule="exact"/>
              <w:rPr>
                <w:rFonts w:hint="eastAsia" w:ascii="仿宋" w:hAnsi="仿宋" w:eastAsia="仿宋" w:cs="仿宋"/>
                <w:color w:val="auto"/>
                <w:sz w:val="24"/>
                <w:highlight w:val="none"/>
              </w:rPr>
            </w:pPr>
          </w:p>
        </w:tc>
        <w:tc>
          <w:tcPr>
            <w:tcW w:w="1237" w:type="dxa"/>
          </w:tcPr>
          <w:p w14:paraId="547C0B79">
            <w:pPr>
              <w:spacing w:line="400" w:lineRule="exact"/>
              <w:rPr>
                <w:rFonts w:hint="eastAsia" w:ascii="仿宋" w:hAnsi="仿宋" w:eastAsia="仿宋" w:cs="仿宋"/>
                <w:color w:val="auto"/>
                <w:sz w:val="24"/>
                <w:highlight w:val="none"/>
              </w:rPr>
            </w:pPr>
          </w:p>
        </w:tc>
        <w:tc>
          <w:tcPr>
            <w:tcW w:w="1237" w:type="dxa"/>
          </w:tcPr>
          <w:p w14:paraId="53BB163F">
            <w:pPr>
              <w:spacing w:line="400" w:lineRule="exact"/>
              <w:rPr>
                <w:rFonts w:hint="eastAsia" w:ascii="仿宋" w:hAnsi="仿宋" w:eastAsia="仿宋" w:cs="仿宋"/>
                <w:color w:val="auto"/>
                <w:sz w:val="24"/>
                <w:highlight w:val="none"/>
              </w:rPr>
            </w:pPr>
          </w:p>
        </w:tc>
        <w:tc>
          <w:tcPr>
            <w:tcW w:w="2397" w:type="dxa"/>
          </w:tcPr>
          <w:p w14:paraId="0B1AFFF8">
            <w:pPr>
              <w:spacing w:line="400" w:lineRule="exact"/>
              <w:rPr>
                <w:rFonts w:hint="eastAsia" w:ascii="仿宋" w:hAnsi="仿宋" w:eastAsia="仿宋" w:cs="仿宋"/>
                <w:color w:val="auto"/>
                <w:sz w:val="24"/>
                <w:highlight w:val="none"/>
              </w:rPr>
            </w:pPr>
          </w:p>
        </w:tc>
      </w:tr>
      <w:tr w14:paraId="5815A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271" w:type="dxa"/>
          </w:tcPr>
          <w:p w14:paraId="1D4C4211">
            <w:pPr>
              <w:spacing w:line="400" w:lineRule="exact"/>
              <w:rPr>
                <w:rFonts w:hint="eastAsia" w:ascii="仿宋" w:hAnsi="仿宋" w:eastAsia="仿宋" w:cs="仿宋"/>
                <w:color w:val="auto"/>
                <w:sz w:val="24"/>
                <w:highlight w:val="none"/>
              </w:rPr>
            </w:pPr>
          </w:p>
        </w:tc>
        <w:tc>
          <w:tcPr>
            <w:tcW w:w="1934" w:type="dxa"/>
          </w:tcPr>
          <w:p w14:paraId="62C1C6F5">
            <w:pPr>
              <w:spacing w:line="400" w:lineRule="exact"/>
              <w:rPr>
                <w:rFonts w:hint="eastAsia" w:ascii="仿宋" w:hAnsi="仿宋" w:eastAsia="仿宋" w:cs="仿宋"/>
                <w:color w:val="auto"/>
                <w:sz w:val="24"/>
                <w:highlight w:val="none"/>
              </w:rPr>
            </w:pPr>
          </w:p>
        </w:tc>
        <w:tc>
          <w:tcPr>
            <w:tcW w:w="1237" w:type="dxa"/>
          </w:tcPr>
          <w:p w14:paraId="6564F27A">
            <w:pPr>
              <w:spacing w:line="400" w:lineRule="exact"/>
              <w:rPr>
                <w:rFonts w:hint="eastAsia" w:ascii="仿宋" w:hAnsi="仿宋" w:eastAsia="仿宋" w:cs="仿宋"/>
                <w:color w:val="auto"/>
                <w:sz w:val="24"/>
                <w:highlight w:val="none"/>
              </w:rPr>
            </w:pPr>
          </w:p>
        </w:tc>
        <w:tc>
          <w:tcPr>
            <w:tcW w:w="1237" w:type="dxa"/>
          </w:tcPr>
          <w:p w14:paraId="6C5CAC3E">
            <w:pPr>
              <w:spacing w:line="400" w:lineRule="exact"/>
              <w:rPr>
                <w:rFonts w:hint="eastAsia" w:ascii="仿宋" w:hAnsi="仿宋" w:eastAsia="仿宋" w:cs="仿宋"/>
                <w:color w:val="auto"/>
                <w:sz w:val="24"/>
                <w:highlight w:val="none"/>
              </w:rPr>
            </w:pPr>
          </w:p>
        </w:tc>
        <w:tc>
          <w:tcPr>
            <w:tcW w:w="2397" w:type="dxa"/>
          </w:tcPr>
          <w:p w14:paraId="13858824">
            <w:pPr>
              <w:spacing w:line="400" w:lineRule="exact"/>
              <w:rPr>
                <w:rFonts w:hint="eastAsia" w:ascii="仿宋" w:hAnsi="仿宋" w:eastAsia="仿宋" w:cs="仿宋"/>
                <w:color w:val="auto"/>
                <w:sz w:val="24"/>
                <w:highlight w:val="none"/>
              </w:rPr>
            </w:pPr>
          </w:p>
        </w:tc>
      </w:tr>
      <w:tr w14:paraId="26880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271" w:type="dxa"/>
          </w:tcPr>
          <w:p w14:paraId="54B9F2B4">
            <w:pPr>
              <w:spacing w:line="400" w:lineRule="exact"/>
              <w:rPr>
                <w:rFonts w:hint="eastAsia" w:ascii="仿宋" w:hAnsi="仿宋" w:eastAsia="仿宋" w:cs="仿宋"/>
                <w:color w:val="auto"/>
                <w:sz w:val="24"/>
                <w:highlight w:val="none"/>
              </w:rPr>
            </w:pPr>
          </w:p>
        </w:tc>
        <w:tc>
          <w:tcPr>
            <w:tcW w:w="1934" w:type="dxa"/>
          </w:tcPr>
          <w:p w14:paraId="39405E89">
            <w:pPr>
              <w:spacing w:line="400" w:lineRule="exact"/>
              <w:rPr>
                <w:rFonts w:hint="eastAsia" w:ascii="仿宋" w:hAnsi="仿宋" w:eastAsia="仿宋" w:cs="仿宋"/>
                <w:color w:val="auto"/>
                <w:sz w:val="24"/>
                <w:highlight w:val="none"/>
              </w:rPr>
            </w:pPr>
          </w:p>
        </w:tc>
        <w:tc>
          <w:tcPr>
            <w:tcW w:w="1237" w:type="dxa"/>
          </w:tcPr>
          <w:p w14:paraId="24C4B924">
            <w:pPr>
              <w:spacing w:line="400" w:lineRule="exact"/>
              <w:rPr>
                <w:rFonts w:hint="eastAsia" w:ascii="仿宋" w:hAnsi="仿宋" w:eastAsia="仿宋" w:cs="仿宋"/>
                <w:color w:val="auto"/>
                <w:sz w:val="24"/>
                <w:highlight w:val="none"/>
              </w:rPr>
            </w:pPr>
          </w:p>
        </w:tc>
        <w:tc>
          <w:tcPr>
            <w:tcW w:w="1237" w:type="dxa"/>
          </w:tcPr>
          <w:p w14:paraId="0D01BA35">
            <w:pPr>
              <w:spacing w:line="400" w:lineRule="exact"/>
              <w:rPr>
                <w:rFonts w:hint="eastAsia" w:ascii="仿宋" w:hAnsi="仿宋" w:eastAsia="仿宋" w:cs="仿宋"/>
                <w:color w:val="auto"/>
                <w:sz w:val="24"/>
                <w:highlight w:val="none"/>
              </w:rPr>
            </w:pPr>
          </w:p>
        </w:tc>
        <w:tc>
          <w:tcPr>
            <w:tcW w:w="2397" w:type="dxa"/>
          </w:tcPr>
          <w:p w14:paraId="0003AB38">
            <w:pPr>
              <w:spacing w:line="400" w:lineRule="exact"/>
              <w:rPr>
                <w:rFonts w:hint="eastAsia" w:ascii="仿宋" w:hAnsi="仿宋" w:eastAsia="仿宋" w:cs="仿宋"/>
                <w:color w:val="auto"/>
                <w:sz w:val="24"/>
                <w:highlight w:val="none"/>
              </w:rPr>
            </w:pPr>
          </w:p>
        </w:tc>
      </w:tr>
      <w:tr w14:paraId="28931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1" w:hRule="atLeast"/>
          <w:jc w:val="center"/>
        </w:trPr>
        <w:tc>
          <w:tcPr>
            <w:tcW w:w="2271" w:type="dxa"/>
          </w:tcPr>
          <w:p w14:paraId="6E33C53F">
            <w:pPr>
              <w:spacing w:line="400" w:lineRule="exact"/>
              <w:rPr>
                <w:rFonts w:hint="eastAsia" w:ascii="仿宋" w:hAnsi="仿宋" w:eastAsia="仿宋" w:cs="仿宋"/>
                <w:color w:val="auto"/>
                <w:sz w:val="24"/>
                <w:highlight w:val="none"/>
              </w:rPr>
            </w:pPr>
          </w:p>
        </w:tc>
        <w:tc>
          <w:tcPr>
            <w:tcW w:w="1934" w:type="dxa"/>
          </w:tcPr>
          <w:p w14:paraId="699D302E">
            <w:pPr>
              <w:spacing w:line="400" w:lineRule="exact"/>
              <w:rPr>
                <w:rFonts w:hint="eastAsia" w:ascii="仿宋" w:hAnsi="仿宋" w:eastAsia="仿宋" w:cs="仿宋"/>
                <w:bCs/>
                <w:color w:val="auto"/>
                <w:sz w:val="24"/>
                <w:highlight w:val="none"/>
              </w:rPr>
            </w:pPr>
          </w:p>
        </w:tc>
        <w:tc>
          <w:tcPr>
            <w:tcW w:w="1237" w:type="dxa"/>
          </w:tcPr>
          <w:p w14:paraId="74D99529">
            <w:pPr>
              <w:spacing w:line="400" w:lineRule="exact"/>
              <w:rPr>
                <w:rFonts w:hint="eastAsia" w:ascii="仿宋" w:hAnsi="仿宋" w:eastAsia="仿宋" w:cs="仿宋"/>
                <w:color w:val="auto"/>
                <w:sz w:val="24"/>
                <w:highlight w:val="none"/>
              </w:rPr>
            </w:pPr>
          </w:p>
        </w:tc>
        <w:tc>
          <w:tcPr>
            <w:tcW w:w="1237" w:type="dxa"/>
          </w:tcPr>
          <w:p w14:paraId="6AE9646A">
            <w:pPr>
              <w:spacing w:line="400" w:lineRule="exact"/>
              <w:rPr>
                <w:rFonts w:hint="eastAsia" w:ascii="仿宋" w:hAnsi="仿宋" w:eastAsia="仿宋" w:cs="仿宋"/>
                <w:color w:val="auto"/>
                <w:sz w:val="24"/>
                <w:highlight w:val="none"/>
              </w:rPr>
            </w:pPr>
          </w:p>
        </w:tc>
        <w:tc>
          <w:tcPr>
            <w:tcW w:w="2397" w:type="dxa"/>
          </w:tcPr>
          <w:p w14:paraId="24267588">
            <w:pPr>
              <w:spacing w:line="400" w:lineRule="exact"/>
              <w:rPr>
                <w:rFonts w:hint="eastAsia" w:ascii="仿宋" w:hAnsi="仿宋" w:eastAsia="仿宋" w:cs="仿宋"/>
                <w:color w:val="auto"/>
                <w:sz w:val="24"/>
                <w:highlight w:val="none"/>
              </w:rPr>
            </w:pPr>
          </w:p>
        </w:tc>
      </w:tr>
      <w:tr w14:paraId="2076F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7" w:hRule="atLeast"/>
          <w:jc w:val="center"/>
        </w:trPr>
        <w:tc>
          <w:tcPr>
            <w:tcW w:w="2271" w:type="dxa"/>
          </w:tcPr>
          <w:p w14:paraId="19FA1A95">
            <w:pPr>
              <w:spacing w:line="400" w:lineRule="exact"/>
              <w:rPr>
                <w:rFonts w:hint="eastAsia" w:ascii="仿宋" w:hAnsi="仿宋" w:eastAsia="仿宋" w:cs="仿宋"/>
                <w:color w:val="auto"/>
                <w:sz w:val="24"/>
                <w:highlight w:val="none"/>
              </w:rPr>
            </w:pPr>
          </w:p>
        </w:tc>
        <w:tc>
          <w:tcPr>
            <w:tcW w:w="1934" w:type="dxa"/>
          </w:tcPr>
          <w:p w14:paraId="15516E7F">
            <w:pPr>
              <w:spacing w:line="400" w:lineRule="exact"/>
              <w:rPr>
                <w:rFonts w:hint="eastAsia" w:ascii="仿宋" w:hAnsi="仿宋" w:eastAsia="仿宋" w:cs="仿宋"/>
                <w:bCs/>
                <w:color w:val="auto"/>
                <w:sz w:val="24"/>
                <w:highlight w:val="none"/>
              </w:rPr>
            </w:pPr>
          </w:p>
        </w:tc>
        <w:tc>
          <w:tcPr>
            <w:tcW w:w="1237" w:type="dxa"/>
          </w:tcPr>
          <w:p w14:paraId="6C29A79C">
            <w:pPr>
              <w:spacing w:line="400" w:lineRule="exact"/>
              <w:rPr>
                <w:rFonts w:hint="eastAsia" w:ascii="仿宋" w:hAnsi="仿宋" w:eastAsia="仿宋" w:cs="仿宋"/>
                <w:color w:val="auto"/>
                <w:sz w:val="24"/>
                <w:highlight w:val="none"/>
              </w:rPr>
            </w:pPr>
          </w:p>
        </w:tc>
        <w:tc>
          <w:tcPr>
            <w:tcW w:w="1237" w:type="dxa"/>
          </w:tcPr>
          <w:p w14:paraId="24CED86B">
            <w:pPr>
              <w:spacing w:line="400" w:lineRule="exact"/>
              <w:rPr>
                <w:rFonts w:hint="eastAsia" w:ascii="仿宋" w:hAnsi="仿宋" w:eastAsia="仿宋" w:cs="仿宋"/>
                <w:color w:val="auto"/>
                <w:sz w:val="24"/>
                <w:highlight w:val="none"/>
              </w:rPr>
            </w:pPr>
          </w:p>
        </w:tc>
        <w:tc>
          <w:tcPr>
            <w:tcW w:w="2397" w:type="dxa"/>
          </w:tcPr>
          <w:p w14:paraId="353CFBF5">
            <w:pPr>
              <w:spacing w:line="400" w:lineRule="exact"/>
              <w:rPr>
                <w:rFonts w:hint="eastAsia" w:ascii="仿宋" w:hAnsi="仿宋" w:eastAsia="仿宋" w:cs="仿宋"/>
                <w:color w:val="auto"/>
                <w:sz w:val="24"/>
                <w:highlight w:val="none"/>
              </w:rPr>
            </w:pPr>
          </w:p>
        </w:tc>
      </w:tr>
    </w:tbl>
    <w:p w14:paraId="25301B81">
      <w:pPr>
        <w:snapToGrid w:val="0"/>
        <w:spacing w:after="156" w:afterLines="50"/>
        <w:ind w:left="844" w:leftChars="201" w:hanging="422" w:hangingChars="201"/>
        <w:rPr>
          <w:rFonts w:hint="eastAsia" w:ascii="仿宋" w:hAnsi="仿宋" w:eastAsia="仿宋" w:cs="仿宋"/>
          <w:color w:val="auto"/>
          <w:highlight w:val="none"/>
        </w:rPr>
      </w:pPr>
      <w:r>
        <w:rPr>
          <w:rFonts w:hint="eastAsia" w:ascii="仿宋" w:hAnsi="仿宋" w:eastAsia="仿宋" w:cs="仿宋"/>
          <w:color w:val="auto"/>
          <w:szCs w:val="21"/>
          <w:highlight w:val="none"/>
        </w:rPr>
        <w:t>注：</w:t>
      </w:r>
      <w:r>
        <w:rPr>
          <w:rFonts w:hint="eastAsia" w:ascii="仿宋" w:hAnsi="仿宋" w:eastAsia="仿宋" w:cs="仿宋"/>
          <w:color w:val="auto"/>
          <w:highlight w:val="none"/>
        </w:rPr>
        <w:tab/>
      </w:r>
      <w:r>
        <w:rPr>
          <w:rFonts w:hint="eastAsia" w:ascii="仿宋" w:hAnsi="仿宋" w:eastAsia="仿宋" w:cs="仿宋"/>
          <w:color w:val="auto"/>
          <w:highlight w:val="none"/>
        </w:rPr>
        <w:t>1. 对完全响应的，在下表相应列中标注“○”。对有偏离的条目在本表相应列中标注“正偏离”或“负偏离”，并在“偏离简述”栏中加以说明。</w:t>
      </w:r>
    </w:p>
    <w:p w14:paraId="5A24E197">
      <w:pPr>
        <w:snapToGrid w:val="0"/>
        <w:spacing w:after="156"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2. 正偏离是指应答的条件高于谈判文件要求，负偏离是指应答的条件低于谈判文件要求。</w:t>
      </w:r>
    </w:p>
    <w:p w14:paraId="2A0FC2D0">
      <w:pPr>
        <w:snapToGrid w:val="0"/>
        <w:spacing w:after="156"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3. 供应商须完整填写响应表。如果未完整填写本表的各项内容则视作供应商已经对谈判文件相关要求和内容完全理解并同意，其报价为在此基础上的完全价格。</w:t>
      </w:r>
    </w:p>
    <w:p w14:paraId="25D697CA">
      <w:pPr>
        <w:snapToGrid w:val="0"/>
        <w:spacing w:after="156" w:afterLines="50"/>
        <w:ind w:left="842" w:leftChars="401"/>
        <w:rPr>
          <w:rFonts w:hint="eastAsia" w:ascii="仿宋" w:hAnsi="仿宋" w:eastAsia="仿宋" w:cs="仿宋"/>
          <w:color w:val="auto"/>
          <w:highlight w:val="none"/>
        </w:rPr>
      </w:pPr>
      <w:r>
        <w:rPr>
          <w:rFonts w:hint="eastAsia" w:ascii="仿宋" w:hAnsi="仿宋" w:eastAsia="仿宋" w:cs="仿宋"/>
          <w:color w:val="auto"/>
          <w:highlight w:val="none"/>
        </w:rPr>
        <w:t>4. 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14:paraId="5C52478D">
      <w:pPr>
        <w:spacing w:line="360" w:lineRule="auto"/>
        <w:ind w:firstLine="1920" w:firstLineChars="800"/>
        <w:rPr>
          <w:rFonts w:hint="eastAsia" w:ascii="仿宋" w:hAnsi="仿宋" w:eastAsia="仿宋" w:cs="仿宋"/>
          <w:color w:val="auto"/>
          <w:sz w:val="24"/>
          <w:highlight w:val="none"/>
          <w:lang w:val="en-US" w:eastAsia="zh-CN"/>
        </w:rPr>
      </w:pPr>
    </w:p>
    <w:p w14:paraId="566D7F02">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BC04B34">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14:paraId="6D66FD45">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11BDD50">
      <w:pPr>
        <w:spacing w:line="360" w:lineRule="auto"/>
        <w:rPr>
          <w:rFonts w:hint="eastAsia" w:ascii="仿宋" w:hAnsi="仿宋" w:eastAsia="仿宋" w:cs="仿宋"/>
          <w:color w:val="auto"/>
          <w:highlight w:val="none"/>
        </w:rPr>
      </w:pPr>
    </w:p>
    <w:p w14:paraId="428D9DD0">
      <w:pPr>
        <w:autoSpaceDE w:val="0"/>
        <w:autoSpaceDN w:val="0"/>
        <w:adjustRightInd w:val="0"/>
        <w:snapToGrid w:val="0"/>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7C43F883">
      <w:pPr>
        <w:pStyle w:val="3"/>
        <w:jc w:val="center"/>
        <w:rPr>
          <w:rFonts w:hint="eastAsia" w:ascii="仿宋" w:hAnsi="仿宋" w:eastAsia="仿宋" w:cs="仿宋"/>
          <w:b/>
          <w:bCs/>
          <w:color w:val="auto"/>
          <w:highlight w:val="none"/>
          <w:lang w:val="en-US" w:eastAsia="zh-CN"/>
        </w:rPr>
      </w:pPr>
      <w:bookmarkStart w:id="564" w:name="_Toc5558"/>
      <w:bookmarkStart w:id="565" w:name="_Toc15452"/>
      <w:bookmarkStart w:id="566" w:name="_Toc26136"/>
      <w:r>
        <w:rPr>
          <w:rFonts w:hint="eastAsia" w:ascii="仿宋" w:hAnsi="仿宋" w:eastAsia="仿宋" w:cs="仿宋"/>
          <w:b/>
          <w:bCs/>
          <w:color w:val="auto"/>
          <w:highlight w:val="none"/>
          <w:lang w:val="zh-CN"/>
        </w:rPr>
        <w:t>第四部分</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zh-CN"/>
        </w:rPr>
        <w:t>响应方案说明</w:t>
      </w:r>
      <w:bookmarkEnd w:id="564"/>
      <w:bookmarkEnd w:id="565"/>
      <w:bookmarkEnd w:id="566"/>
    </w:p>
    <w:p w14:paraId="3B694424">
      <w:pPr>
        <w:pStyle w:val="23"/>
        <w:rPr>
          <w:rFonts w:hint="eastAsia" w:ascii="仿宋" w:hAnsi="仿宋" w:eastAsia="仿宋" w:cs="仿宋"/>
          <w:color w:val="auto"/>
          <w:highlight w:val="none"/>
          <w:lang w:val="zh-CN"/>
        </w:rPr>
      </w:pPr>
    </w:p>
    <w:p w14:paraId="09E6238C">
      <w:pPr>
        <w:autoSpaceDE w:val="0"/>
        <w:autoSpaceDN w:val="0"/>
        <w:adjustRightInd w:val="0"/>
        <w:spacing w:line="360" w:lineRule="auto"/>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（格式自拟，内容需符合评审办法中要求的内容要求）</w:t>
      </w:r>
    </w:p>
    <w:p w14:paraId="143F4881">
      <w:pPr>
        <w:pStyle w:val="23"/>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78F5F056">
      <w:pPr>
        <w:pStyle w:val="3"/>
        <w:jc w:val="center"/>
        <w:rPr>
          <w:rFonts w:hint="eastAsia" w:ascii="仿宋" w:hAnsi="仿宋" w:eastAsia="仿宋" w:cs="仿宋"/>
          <w:b/>
          <w:bCs/>
          <w:color w:val="auto"/>
          <w:highlight w:val="none"/>
        </w:rPr>
      </w:pPr>
      <w:bookmarkStart w:id="567" w:name="_Toc4990"/>
      <w:bookmarkStart w:id="568" w:name="_Toc19000"/>
      <w:bookmarkStart w:id="569" w:name="_Toc20393"/>
      <w:r>
        <w:rPr>
          <w:rFonts w:hint="eastAsia" w:ascii="仿宋" w:hAnsi="仿宋" w:eastAsia="仿宋" w:cs="仿宋"/>
          <w:b/>
          <w:bCs/>
          <w:color w:val="auto"/>
          <w:highlight w:val="none"/>
          <w:lang w:val="zh-CN"/>
        </w:rPr>
        <w:t>第五部分</w:t>
      </w:r>
      <w:r>
        <w:rPr>
          <w:rFonts w:hint="eastAsia" w:ascii="仿宋" w:hAnsi="仿宋" w:eastAsia="仿宋" w:cs="仿宋"/>
          <w:b/>
          <w:bCs/>
          <w:color w:val="auto"/>
          <w:highlight w:val="none"/>
        </w:rPr>
        <w:t xml:space="preserve">  </w:t>
      </w:r>
      <w:r>
        <w:rPr>
          <w:rFonts w:hint="eastAsia" w:ascii="仿宋" w:hAnsi="仿宋" w:eastAsia="仿宋" w:cs="仿宋"/>
          <w:b/>
          <w:bCs/>
          <w:color w:val="auto"/>
          <w:highlight w:val="none"/>
          <w:lang w:val="en-US" w:eastAsia="zh-CN"/>
        </w:rPr>
        <w:t>中小</w:t>
      </w:r>
      <w:r>
        <w:rPr>
          <w:rFonts w:hint="eastAsia" w:ascii="仿宋" w:hAnsi="仿宋" w:eastAsia="仿宋" w:cs="仿宋"/>
          <w:b/>
          <w:bCs/>
          <w:color w:val="auto"/>
          <w:highlight w:val="none"/>
        </w:rPr>
        <w:t>企业、监狱企业、残疾人福利单位声明函或证明</w:t>
      </w:r>
      <w:bookmarkEnd w:id="567"/>
      <w:bookmarkEnd w:id="568"/>
      <w:bookmarkEnd w:id="569"/>
    </w:p>
    <w:p w14:paraId="2B26468D">
      <w:pPr>
        <w:pStyle w:val="68"/>
        <w:numPr>
          <w:ilvl w:val="0"/>
          <w:numId w:val="0"/>
        </w:numPr>
        <w:spacing w:line="360" w:lineRule="auto"/>
        <w:ind w:left="284" w:leftChars="0"/>
        <w:jc w:val="center"/>
        <w:outlineLvl w:val="2"/>
        <w:rPr>
          <w:rFonts w:hint="eastAsia" w:ascii="仿宋" w:hAnsi="仿宋" w:eastAsia="仿宋" w:cs="仿宋"/>
          <w:b/>
          <w:color w:val="auto"/>
          <w:sz w:val="28"/>
          <w:szCs w:val="28"/>
          <w:highlight w:val="none"/>
        </w:rPr>
      </w:pPr>
      <w:bookmarkStart w:id="570" w:name="_Toc7005132"/>
      <w:bookmarkStart w:id="571" w:name="_Toc19528"/>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中小企业声明函</w:t>
      </w:r>
      <w:bookmarkEnd w:id="570"/>
      <w:r>
        <w:rPr>
          <w:rFonts w:hint="eastAsia" w:ascii="仿宋" w:hAnsi="仿宋" w:eastAsia="仿宋" w:cs="仿宋"/>
          <w:b/>
          <w:color w:val="auto"/>
          <w:sz w:val="28"/>
          <w:szCs w:val="28"/>
          <w:highlight w:val="none"/>
        </w:rPr>
        <w:t>（货物）</w:t>
      </w:r>
      <w:bookmarkEnd w:id="571"/>
    </w:p>
    <w:p w14:paraId="52B64FD8">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（注：符合中小企业划型标准的企业请提供本函，不符合的不提供本函）</w:t>
      </w:r>
    </w:p>
    <w:p w14:paraId="3EC5186A">
      <w:pPr>
        <w:snapToGrid w:val="0"/>
        <w:spacing w:before="120" w:beforeLines="50"/>
        <w:ind w:firstLine="480" w:firstLineChars="200"/>
        <w:rPr>
          <w:rFonts w:hint="eastAsia" w:ascii="仿宋" w:hAnsi="仿宋" w:eastAsia="仿宋" w:cs="仿宋"/>
          <w:color w:val="auto"/>
          <w:sz w:val="24"/>
          <w:highlight w:val="none"/>
        </w:rPr>
      </w:pPr>
    </w:p>
    <w:p w14:paraId="19893984">
      <w:pPr>
        <w:spacing w:line="560" w:lineRule="exact"/>
        <w:ind w:firstLine="480" w:firstLineChars="200"/>
        <w:rPr>
          <w:rFonts w:hint="eastAsia" w:ascii="仿宋" w:hAnsi="仿宋" w:eastAsia="仿宋" w:cs="仿宋"/>
          <w:color w:val="auto"/>
          <w:kern w:val="0"/>
          <w:sz w:val="24"/>
          <w:highlight w:val="none"/>
        </w:rPr>
      </w:pPr>
      <w:bookmarkStart w:id="572" w:name="_Toc7005133"/>
      <w:r>
        <w:rPr>
          <w:rFonts w:hint="eastAsia" w:ascii="仿宋" w:hAnsi="仿宋" w:eastAsia="仿宋" w:cs="仿宋"/>
          <w:color w:val="auto"/>
          <w:kern w:val="0"/>
          <w:sz w:val="24"/>
          <w:highlight w:val="none"/>
        </w:rPr>
        <w:t>本公司</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联合体</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郑重声明，根据《政府采购促进中小企业发展管理办法》</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财库﹝2020﹞46号</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的规定，本公司</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联合体</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参加</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单位名称</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项目名称</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rPr>
        <w:t xml:space="preserve"> 采购</w:t>
      </w:r>
      <w:r>
        <w:rPr>
          <w:rFonts w:hint="eastAsia" w:ascii="仿宋" w:hAnsi="仿宋" w:eastAsia="仿宋" w:cs="仿宋"/>
          <w:color w:val="auto"/>
          <w:kern w:val="0"/>
          <w:sz w:val="24"/>
          <w:highlight w:val="none"/>
        </w:rPr>
        <w:t>活动，提供的货物全部由符合政策要求的中小企业制造。相关企业</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含联合体中的中小企业、签订分包意向协议的中小企业</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的具体情况如下：</w:t>
      </w:r>
    </w:p>
    <w:p w14:paraId="750CB284">
      <w:pPr>
        <w:pStyle w:val="6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lang w:val="en-US" w:eastAsia="zh-CN"/>
        </w:rPr>
        <w:t>1.</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行业</w:t>
      </w:r>
      <w:r>
        <w:rPr>
          <w:rFonts w:hint="eastAsia" w:ascii="仿宋" w:hAnsi="仿宋" w:eastAsia="仿宋" w:cs="仿宋"/>
          <w:color w:val="auto"/>
          <w:kern w:val="0"/>
          <w:sz w:val="24"/>
          <w:szCs w:val="24"/>
          <w:highlight w:val="none"/>
        </w:rPr>
        <w:t xml:space="preserve"> ；制造商为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万元，属于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3DFE0D82">
      <w:pPr>
        <w:pStyle w:val="6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none"/>
          <w:lang w:val="en-US" w:eastAsia="zh-CN"/>
        </w:rPr>
        <w:t>2.</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行业</w:t>
      </w:r>
      <w:r>
        <w:rPr>
          <w:rFonts w:hint="eastAsia" w:ascii="仿宋" w:hAnsi="仿宋" w:eastAsia="仿宋" w:cs="仿宋"/>
          <w:color w:val="auto"/>
          <w:kern w:val="0"/>
          <w:sz w:val="24"/>
          <w:szCs w:val="24"/>
          <w:highlight w:val="none"/>
        </w:rPr>
        <w:t xml:space="preserve"> ；制造商为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万元，属于 </w:t>
      </w:r>
      <w:r>
        <w:rPr>
          <w:rFonts w:hint="eastAsia" w:ascii="仿宋" w:hAnsi="仿宋" w:eastAsia="仿宋" w:cs="仿宋"/>
          <w:color w:val="auto"/>
          <w:kern w:val="0"/>
          <w:sz w:val="24"/>
          <w:szCs w:val="24"/>
          <w:highlight w:val="none"/>
          <w:u w:val="single"/>
          <w:lang w:eastAsia="zh-CN"/>
        </w:rPr>
        <w:t>（</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3B190BDD">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14:paraId="03202CA5">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14:paraId="530C143F">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本企业对上述声明内容的真实性负责。如有虚假，将依法承担相应责任。</w:t>
      </w:r>
    </w:p>
    <w:p w14:paraId="3F0034DA">
      <w:pPr>
        <w:spacing w:line="560" w:lineRule="exact"/>
        <w:ind w:firstLine="3480" w:firstLineChars="1450"/>
        <w:rPr>
          <w:rFonts w:hint="eastAsia" w:ascii="仿宋" w:hAnsi="仿宋" w:eastAsia="仿宋" w:cs="仿宋"/>
          <w:color w:val="auto"/>
          <w:kern w:val="0"/>
          <w:sz w:val="24"/>
          <w:highlight w:val="none"/>
        </w:rPr>
      </w:pPr>
    </w:p>
    <w:p w14:paraId="37D41F0C">
      <w:pPr>
        <w:spacing w:line="560" w:lineRule="exact"/>
        <w:ind w:firstLine="3480" w:firstLineChars="145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企业名称</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盖章</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u w:val="single"/>
          <w:lang w:val="en-US" w:eastAsia="zh-CN"/>
        </w:rPr>
        <w:t xml:space="preserve">               </w:t>
      </w:r>
    </w:p>
    <w:p w14:paraId="1D062D58">
      <w:pPr>
        <w:spacing w:line="560" w:lineRule="exact"/>
        <w:ind w:firstLine="3480" w:firstLineChars="1450"/>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日期：</w:t>
      </w:r>
      <w:r>
        <w:rPr>
          <w:rFonts w:hint="eastAsia" w:ascii="仿宋" w:hAnsi="仿宋" w:eastAsia="仿宋" w:cs="仿宋"/>
          <w:color w:val="auto"/>
          <w:kern w:val="0"/>
          <w:sz w:val="24"/>
          <w:highlight w:val="none"/>
          <w:u w:val="single"/>
          <w:lang w:val="en-US" w:eastAsia="zh-CN"/>
        </w:rPr>
        <w:t xml:space="preserve">                </w:t>
      </w:r>
    </w:p>
    <w:p w14:paraId="231D7EE2">
      <w:pPr>
        <w:pStyle w:val="23"/>
        <w:ind w:firstLine="480"/>
        <w:rPr>
          <w:rFonts w:hint="eastAsia" w:ascii="仿宋" w:hAnsi="仿宋" w:eastAsia="仿宋" w:cs="仿宋"/>
          <w:color w:val="auto"/>
          <w:highlight w:val="none"/>
        </w:rPr>
      </w:pPr>
    </w:p>
    <w:p w14:paraId="5FA6330A">
      <w:pPr>
        <w:pStyle w:val="23"/>
        <w:ind w:firstLine="480"/>
        <w:rPr>
          <w:rFonts w:hint="eastAsia" w:ascii="仿宋" w:hAnsi="仿宋" w:eastAsia="仿宋" w:cs="仿宋"/>
          <w:color w:val="auto"/>
          <w:highlight w:val="none"/>
        </w:rPr>
      </w:pPr>
    </w:p>
    <w:p w14:paraId="0513A38B">
      <w:pPr>
        <w:ind w:left="315" w:leftChars="150" w:firstLine="270" w:firstLineChars="150"/>
        <w:rPr>
          <w:rFonts w:hint="eastAsia"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（从业人员、营业收入、资产总额填报上一年度数据，无上一年度数据的新成立企业可不填报）</w:t>
      </w:r>
    </w:p>
    <w:p w14:paraId="62A339BE">
      <w:pPr>
        <w:pStyle w:val="23"/>
        <w:rPr>
          <w:rFonts w:hint="eastAsia" w:ascii="仿宋" w:hAnsi="仿宋" w:eastAsia="仿宋" w:cs="仿宋"/>
          <w:b/>
          <w:color w:val="auto"/>
          <w:kern w:val="0"/>
          <w:sz w:val="30"/>
          <w:szCs w:val="30"/>
          <w:highlight w:val="none"/>
        </w:rPr>
      </w:pPr>
      <w:r>
        <w:rPr>
          <w:rFonts w:hint="eastAsia" w:ascii="仿宋" w:hAnsi="仿宋" w:eastAsia="仿宋" w:cs="仿宋"/>
          <w:color w:val="auto"/>
          <w:highlight w:val="none"/>
        </w:rPr>
        <w:br w:type="page"/>
      </w:r>
    </w:p>
    <w:p w14:paraId="251BB942">
      <w:pPr>
        <w:jc w:val="center"/>
        <w:outlineLvl w:val="2"/>
        <w:rPr>
          <w:rFonts w:hint="eastAsia" w:ascii="仿宋" w:hAnsi="仿宋" w:eastAsia="仿宋" w:cs="仿宋"/>
          <w:b/>
          <w:color w:val="auto"/>
          <w:sz w:val="28"/>
          <w:szCs w:val="28"/>
          <w:highlight w:val="none"/>
        </w:rPr>
      </w:pPr>
      <w:bookmarkStart w:id="573" w:name="_Toc13171"/>
      <w:r>
        <w:rPr>
          <w:rFonts w:hint="eastAsia" w:ascii="仿宋" w:hAnsi="仿宋" w:eastAsia="仿宋" w:cs="仿宋"/>
          <w:b/>
          <w:color w:val="auto"/>
          <w:sz w:val="28"/>
          <w:szCs w:val="28"/>
          <w:highlight w:val="none"/>
        </w:rPr>
        <w:t>二、监狱企业</w:t>
      </w:r>
      <w:bookmarkEnd w:id="572"/>
      <w:r>
        <w:rPr>
          <w:rFonts w:hint="eastAsia" w:ascii="仿宋" w:hAnsi="仿宋" w:eastAsia="仿宋" w:cs="仿宋"/>
          <w:b/>
          <w:color w:val="auto"/>
          <w:sz w:val="28"/>
          <w:szCs w:val="28"/>
          <w:highlight w:val="none"/>
        </w:rPr>
        <w:t>声明函</w:t>
      </w:r>
      <w:bookmarkEnd w:id="573"/>
    </w:p>
    <w:p w14:paraId="0B464FD7">
      <w:pPr>
        <w:spacing w:line="360" w:lineRule="auto"/>
        <w:rPr>
          <w:rFonts w:hint="eastAsia" w:ascii="仿宋" w:hAnsi="仿宋" w:eastAsia="仿宋" w:cs="仿宋"/>
          <w:b/>
          <w:color w:val="auto"/>
          <w:kern w:val="0"/>
          <w:sz w:val="24"/>
          <w:szCs w:val="20"/>
          <w:highlight w:val="none"/>
        </w:rPr>
      </w:pPr>
    </w:p>
    <w:p w14:paraId="7E95DA86">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本单位郑重声明下列事项（按照实际情况勾选或填空）：</w:t>
      </w:r>
    </w:p>
    <w:p w14:paraId="66FD53B6">
      <w:pPr>
        <w:widowControl/>
        <w:spacing w:before="100" w:beforeAutospacing="1" w:after="100" w:afterAutospacing="1"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本单位为直接供应商，提供本单位制造的货物。</w:t>
      </w:r>
    </w:p>
    <w:p w14:paraId="3369DCF6">
      <w:pPr>
        <w:widowControl/>
        <w:spacing w:before="100" w:beforeAutospacing="1" w:after="100" w:afterAutospacing="1" w:line="360" w:lineRule="auto"/>
        <w:ind w:firstLine="360" w:firstLineChars="1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（请填写：是、不是）监狱企业。如果是，后附省级以上监狱管理局、戒毒管理局（含新疆生产建设兵团）出具的属于监狱企业的证明文件。</w:t>
      </w:r>
    </w:p>
    <w:p w14:paraId="785FB06A">
      <w:pPr>
        <w:widowControl/>
        <w:spacing w:before="100" w:beforeAutospacing="1" w:after="100" w:afterAutospacing="1" w:line="360" w:lineRule="auto"/>
        <w:ind w:firstLine="4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（2）本企业（单位）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（请填写：是、不是）为联合体一方，提供本企业（单位）制造的货物，由本企业（单位）承担工程、提供服务。本企业（单位）提供协议合同金额占到共同投标协议合同总金额的比例为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4AAB612">
      <w:pPr>
        <w:widowControl/>
        <w:spacing w:before="100" w:beforeAutospacing="1" w:after="100" w:afterAutospacing="1" w:line="360" w:lineRule="auto"/>
        <w:ind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本企业（单位）对上述声明的真实性负责。如有虚假，将依法承担相应责任。</w:t>
      </w:r>
    </w:p>
    <w:p w14:paraId="0E58D2B9">
      <w:pPr>
        <w:spacing w:before="120" w:after="120" w:line="360" w:lineRule="auto"/>
        <w:ind w:firstLine="1440" w:firstLineChars="600"/>
        <w:rPr>
          <w:rFonts w:hint="eastAsia" w:ascii="仿宋" w:hAnsi="仿宋" w:eastAsia="仿宋" w:cs="仿宋"/>
          <w:color w:val="auto"/>
          <w:sz w:val="24"/>
          <w:highlight w:val="none"/>
        </w:rPr>
      </w:pPr>
    </w:p>
    <w:p w14:paraId="20C23995">
      <w:pPr>
        <w:spacing w:before="120" w:after="120" w:line="360" w:lineRule="auto"/>
        <w:ind w:firstLine="1440" w:firstLineChars="600"/>
        <w:rPr>
          <w:rFonts w:hint="eastAsia" w:ascii="仿宋" w:hAnsi="仿宋" w:eastAsia="仿宋" w:cs="仿宋"/>
          <w:color w:val="auto"/>
          <w:sz w:val="24"/>
          <w:highlight w:val="none"/>
        </w:rPr>
      </w:pPr>
    </w:p>
    <w:p w14:paraId="035B2E24">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 xml:space="preserve">公章）： </w:t>
      </w:r>
      <w:r>
        <w:rPr>
          <w:rFonts w:hint="eastAsia" w:ascii="仿宋" w:hAnsi="仿宋" w:eastAsia="仿宋" w:cs="仿宋"/>
          <w:color w:val="auto"/>
          <w:sz w:val="24"/>
          <w:highlight w:val="none"/>
          <w:u w:val="single"/>
        </w:rPr>
        <w:t xml:space="preserve">              </w:t>
      </w:r>
    </w:p>
    <w:p w14:paraId="5ED7BEE9">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p>
    <w:p w14:paraId="5B3F8EE2">
      <w:pPr>
        <w:spacing w:line="360" w:lineRule="auto"/>
        <w:ind w:firstLine="1440" w:firstLineChars="6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r>
        <w:rPr>
          <w:rFonts w:hint="eastAsia" w:ascii="仿宋" w:hAnsi="仿宋" w:eastAsia="仿宋" w:cs="仿宋"/>
          <w:color w:val="auto"/>
          <w:sz w:val="32"/>
          <w:highlight w:val="none"/>
          <w:u w:val="single"/>
        </w:rPr>
        <w:t xml:space="preserve">           </w:t>
      </w:r>
    </w:p>
    <w:p w14:paraId="159DED9A">
      <w:pPr>
        <w:widowControl/>
        <w:spacing w:before="100" w:beforeAutospacing="1" w:after="100" w:afterAutospacing="1" w:line="360" w:lineRule="auto"/>
        <w:jc w:val="lef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注：符合《关于政府采购支持监狱企业发展有关问题的通知》价格扣减条件的供应商须提交。需提供</w:t>
      </w:r>
      <w:r>
        <w:rPr>
          <w:rFonts w:hint="eastAsia" w:ascii="仿宋" w:hAnsi="仿宋" w:eastAsia="仿宋" w:cs="仿宋"/>
          <w:color w:val="auto"/>
          <w:sz w:val="24"/>
          <w:highlight w:val="none"/>
        </w:rPr>
        <w:t>省级以上监狱管理局、戒毒管理局（含新疆生产建设兵团）出具的属于监狱企业的证明文件。</w:t>
      </w:r>
    </w:p>
    <w:p w14:paraId="3CAB2EC9">
      <w:pPr>
        <w:widowControl/>
        <w:jc w:val="left"/>
        <w:rPr>
          <w:rFonts w:hint="eastAsia" w:ascii="仿宋" w:hAnsi="仿宋" w:eastAsia="仿宋" w:cs="仿宋"/>
          <w:color w:val="auto"/>
          <w:sz w:val="32"/>
          <w:szCs w:val="32"/>
          <w:highlight w:val="none"/>
        </w:rPr>
      </w:pPr>
      <w:bookmarkStart w:id="574" w:name="_Toc7005134"/>
      <w:r>
        <w:rPr>
          <w:rFonts w:hint="eastAsia" w:ascii="仿宋" w:hAnsi="仿宋" w:eastAsia="仿宋" w:cs="仿宋"/>
          <w:color w:val="auto"/>
          <w:sz w:val="32"/>
          <w:szCs w:val="32"/>
          <w:highlight w:val="none"/>
        </w:rPr>
        <w:br w:type="page"/>
      </w:r>
    </w:p>
    <w:p w14:paraId="7C354C4B">
      <w:pPr>
        <w:jc w:val="center"/>
        <w:outlineLvl w:val="2"/>
        <w:rPr>
          <w:rFonts w:hint="eastAsia" w:ascii="仿宋" w:hAnsi="仿宋" w:eastAsia="仿宋" w:cs="仿宋"/>
          <w:b/>
          <w:color w:val="auto"/>
          <w:sz w:val="28"/>
          <w:szCs w:val="28"/>
          <w:highlight w:val="none"/>
        </w:rPr>
      </w:pPr>
      <w:bookmarkStart w:id="575" w:name="_Toc210"/>
      <w:r>
        <w:rPr>
          <w:rFonts w:hint="eastAsia" w:ascii="仿宋" w:hAnsi="仿宋" w:eastAsia="仿宋" w:cs="仿宋"/>
          <w:b/>
          <w:color w:val="auto"/>
          <w:sz w:val="28"/>
          <w:szCs w:val="28"/>
          <w:highlight w:val="none"/>
        </w:rPr>
        <w:t>三、残疾人福利性单位声明函</w:t>
      </w:r>
      <w:bookmarkEnd w:id="574"/>
      <w:bookmarkEnd w:id="575"/>
    </w:p>
    <w:p w14:paraId="3B8C6CA4">
      <w:pPr>
        <w:pStyle w:val="23"/>
        <w:rPr>
          <w:rFonts w:hint="eastAsia" w:ascii="仿宋" w:hAnsi="仿宋" w:eastAsia="仿宋" w:cs="仿宋"/>
          <w:color w:val="auto"/>
          <w:highlight w:val="none"/>
        </w:rPr>
      </w:pPr>
    </w:p>
    <w:p w14:paraId="05CD4919">
      <w:pPr>
        <w:jc w:val="center"/>
        <w:rPr>
          <w:rFonts w:hint="eastAsia" w:ascii="仿宋" w:hAnsi="仿宋" w:eastAsia="仿宋" w:cs="仿宋"/>
          <w:color w:val="auto"/>
          <w:sz w:val="24"/>
          <w:highlight w:val="none"/>
        </w:rPr>
      </w:pPr>
      <w:r>
        <w:rPr>
          <w:rFonts w:hint="eastAsia" w:ascii="仿宋" w:hAnsi="仿宋" w:eastAsia="仿宋" w:cs="仿宋"/>
          <w:color w:val="auto"/>
          <w:szCs w:val="21"/>
          <w:highlight w:val="none"/>
        </w:rPr>
        <w:t>（注：符合条件的残疾人福利性单位请提供本函，不符合的不提供本函）</w:t>
      </w:r>
    </w:p>
    <w:p w14:paraId="2DBE01A8">
      <w:pPr>
        <w:rPr>
          <w:rFonts w:hint="eastAsia" w:ascii="仿宋" w:hAnsi="仿宋" w:eastAsia="仿宋" w:cs="仿宋"/>
          <w:color w:val="auto"/>
          <w:sz w:val="24"/>
          <w:highlight w:val="none"/>
        </w:rPr>
      </w:pPr>
    </w:p>
    <w:p w14:paraId="2637658F">
      <w:pPr>
        <w:spacing w:line="360" w:lineRule="auto"/>
        <w:rPr>
          <w:rFonts w:hint="eastAsia" w:ascii="仿宋" w:hAnsi="仿宋" w:eastAsia="仿宋" w:cs="仿宋"/>
          <w:color w:val="auto"/>
          <w:sz w:val="24"/>
          <w:highlight w:val="none"/>
        </w:rPr>
      </w:pPr>
    </w:p>
    <w:p w14:paraId="025B28A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D1DE8AD">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1ACC59F3">
      <w:pPr>
        <w:spacing w:line="360" w:lineRule="auto"/>
        <w:rPr>
          <w:rFonts w:hint="eastAsia" w:ascii="仿宋" w:hAnsi="仿宋" w:eastAsia="仿宋" w:cs="仿宋"/>
          <w:color w:val="auto"/>
          <w:sz w:val="24"/>
          <w:highlight w:val="none"/>
        </w:rPr>
      </w:pPr>
    </w:p>
    <w:p w14:paraId="53CC8FB1">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085638FE">
      <w:pPr>
        <w:spacing w:before="120" w:after="120" w:line="360" w:lineRule="auto"/>
        <w:ind w:firstLine="1440" w:firstLineChars="6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7238B327">
      <w:pPr>
        <w:spacing w:before="120" w:after="120" w:line="360" w:lineRule="auto"/>
        <w:ind w:firstLine="1440" w:firstLineChars="6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B07B9A5">
      <w:pPr>
        <w:snapToGrid w:val="0"/>
        <w:spacing w:before="120" w:beforeLines="50"/>
        <w:jc w:val="center"/>
        <w:rPr>
          <w:rFonts w:hint="eastAsia" w:ascii="仿宋" w:hAnsi="仿宋" w:eastAsia="仿宋" w:cs="仿宋"/>
          <w:b/>
          <w:color w:val="auto"/>
          <w:sz w:val="24"/>
          <w:szCs w:val="21"/>
          <w:highlight w:val="none"/>
        </w:rPr>
      </w:pPr>
    </w:p>
    <w:p w14:paraId="1EDA175B">
      <w:pPr>
        <w:widowControl/>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04EB2DEA">
      <w:pPr>
        <w:jc w:val="center"/>
        <w:outlineLvl w:val="2"/>
        <w:rPr>
          <w:rFonts w:hint="eastAsia" w:ascii="仿宋" w:hAnsi="仿宋" w:eastAsia="仿宋" w:cs="仿宋"/>
          <w:b/>
          <w:color w:val="auto"/>
          <w:sz w:val="28"/>
          <w:szCs w:val="28"/>
          <w:highlight w:val="none"/>
        </w:rPr>
      </w:pPr>
      <w:bookmarkStart w:id="576" w:name="_Toc9972"/>
      <w:r>
        <w:rPr>
          <w:rFonts w:hint="eastAsia" w:ascii="仿宋" w:hAnsi="仿宋" w:eastAsia="仿宋" w:cs="仿宋"/>
          <w:b/>
          <w:color w:val="auto"/>
          <w:sz w:val="28"/>
          <w:szCs w:val="28"/>
          <w:highlight w:val="none"/>
        </w:rPr>
        <w:t>四、响应承诺书</w:t>
      </w:r>
      <w:bookmarkEnd w:id="576"/>
    </w:p>
    <w:p w14:paraId="1705B81B">
      <w:pPr>
        <w:spacing w:line="360" w:lineRule="auto"/>
        <w:rPr>
          <w:rFonts w:hint="eastAsia" w:ascii="仿宋" w:hAnsi="仿宋" w:eastAsia="仿宋" w:cs="仿宋"/>
          <w:color w:val="auto"/>
          <w:sz w:val="24"/>
          <w:highlight w:val="none"/>
        </w:rPr>
      </w:pPr>
    </w:p>
    <w:p w14:paraId="6E8FAB8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陕西省采购招标有限责任公司：</w:t>
      </w:r>
    </w:p>
    <w:p w14:paraId="48606D9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我方在此声明，我方以下事项进行承诺：</w:t>
      </w:r>
    </w:p>
    <w:p w14:paraId="2407903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 在本次谈判中我公司无与其他供应商相互串通，或与采购人串通的行为；</w:t>
      </w:r>
    </w:p>
    <w:p w14:paraId="523E89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在本次谈判中我公司无向采购人或谈判小组成员行贿的手段谋取成交的行为；</w:t>
      </w:r>
    </w:p>
    <w:p w14:paraId="33FAAFB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 在本次谈判中我公司无出借或借用资质行为、在响应文件中所附资料（业绩、项目负责人资料等）无弄虚作假；</w:t>
      </w:r>
    </w:p>
    <w:p w14:paraId="155494B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 我公司没有处于被责令停产、停业、投标资格被取消状态；</w:t>
      </w:r>
    </w:p>
    <w:p w14:paraId="397FDE8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（5）我公司不采用非法手段获取证据进行质疑、投诉，在质疑、投诉过程中不提供虚假情况或进行恶意质疑、投诉。</w:t>
      </w:r>
    </w:p>
    <w:p w14:paraId="0444CD2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上述承诺内容如有不实，我公司愿意承担由此造成的一切法律责任，并承诺以谈判保证金赔偿给采购人造成的损失。</w:t>
      </w:r>
    </w:p>
    <w:p w14:paraId="4628C3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3118C2E9">
      <w:pPr>
        <w:spacing w:line="360" w:lineRule="auto"/>
        <w:ind w:firstLine="480" w:firstLineChars="200"/>
        <w:rPr>
          <w:rFonts w:hint="eastAsia" w:ascii="仿宋" w:hAnsi="仿宋" w:eastAsia="仿宋" w:cs="仿宋"/>
          <w:color w:val="auto"/>
          <w:sz w:val="24"/>
          <w:highlight w:val="none"/>
        </w:rPr>
      </w:pPr>
    </w:p>
    <w:p w14:paraId="7563528A">
      <w:pPr>
        <w:spacing w:before="120" w:after="120" w:line="360" w:lineRule="auto"/>
        <w:ind w:firstLine="1440" w:firstLineChars="6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盖</w:t>
      </w: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607B8DD">
      <w:pPr>
        <w:spacing w:before="120" w:after="120" w:line="360" w:lineRule="auto"/>
        <w:ind w:firstLine="1440" w:firstLineChars="6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en-US" w:eastAsia="zh-CN"/>
        </w:rPr>
        <w:t>或盖章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p>
    <w:p w14:paraId="372E5AFF">
      <w:pPr>
        <w:spacing w:before="120" w:after="120" w:line="360" w:lineRule="auto"/>
        <w:ind w:firstLine="1440" w:firstLineChars="6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368A9045">
      <w:pPr>
        <w:pStyle w:val="23"/>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B251F4C">
      <w:pPr>
        <w:pStyle w:val="28"/>
        <w:jc w:val="center"/>
        <w:outlineLvl w:val="1"/>
        <w:rPr>
          <w:rFonts w:hint="eastAsia" w:ascii="仿宋" w:hAnsi="仿宋" w:eastAsia="仿宋" w:cs="仿宋"/>
          <w:b/>
          <w:bCs/>
          <w:iCs w:val="0"/>
          <w:color w:val="auto"/>
          <w:sz w:val="28"/>
          <w:szCs w:val="28"/>
          <w:highlight w:val="none"/>
          <w:lang w:val="zh-CN"/>
        </w:rPr>
      </w:pPr>
      <w:bookmarkStart w:id="577" w:name="_Toc21179"/>
      <w:bookmarkStart w:id="578" w:name="_Toc1152"/>
      <w:bookmarkStart w:id="579" w:name="_Toc21086"/>
      <w:r>
        <w:rPr>
          <w:rFonts w:hint="eastAsia" w:ascii="仿宋" w:hAnsi="仿宋" w:eastAsia="仿宋" w:cs="仿宋"/>
          <w:b/>
          <w:bCs/>
          <w:iCs w:val="0"/>
          <w:color w:val="auto"/>
          <w:sz w:val="28"/>
          <w:szCs w:val="28"/>
          <w:highlight w:val="none"/>
          <w:lang w:val="zh-CN"/>
        </w:rPr>
        <w:t>第六部分  谈判保证金支付凭证或担保函（复印件）</w:t>
      </w:r>
      <w:bookmarkEnd w:id="577"/>
      <w:bookmarkEnd w:id="578"/>
      <w:bookmarkEnd w:id="579"/>
    </w:p>
    <w:p w14:paraId="403AB278">
      <w:pPr>
        <w:pStyle w:val="23"/>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br w:type="page"/>
      </w:r>
    </w:p>
    <w:p w14:paraId="10521FF5">
      <w:pPr>
        <w:pStyle w:val="44"/>
        <w:snapToGrid w:val="0"/>
        <w:spacing w:line="360" w:lineRule="auto"/>
        <w:jc w:val="both"/>
        <w:outlineLvl w:val="2"/>
        <w:rPr>
          <w:rFonts w:hint="eastAsia" w:ascii="仿宋" w:hAnsi="仿宋" w:eastAsia="仿宋" w:cs="仿宋"/>
          <w:b/>
          <w:bCs/>
          <w:color w:val="auto"/>
          <w:sz w:val="28"/>
          <w:szCs w:val="28"/>
          <w:highlight w:val="none"/>
        </w:rPr>
      </w:pPr>
      <w:bookmarkStart w:id="580" w:name="_Toc19443"/>
      <w:r>
        <w:rPr>
          <w:rFonts w:hint="eastAsia" w:ascii="仿宋" w:hAnsi="仿宋" w:eastAsia="仿宋" w:cs="仿宋"/>
          <w:b/>
          <w:bCs/>
          <w:color w:val="auto"/>
          <w:sz w:val="28"/>
          <w:szCs w:val="28"/>
          <w:highlight w:val="none"/>
        </w:rPr>
        <w:t>附件1</w:t>
      </w:r>
      <w:bookmarkEnd w:id="580"/>
    </w:p>
    <w:p w14:paraId="6DACD40B">
      <w:pPr>
        <w:pStyle w:val="44"/>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谈判担保函（适用于保证金保函）</w:t>
      </w:r>
    </w:p>
    <w:p w14:paraId="502B6A26">
      <w:pPr>
        <w:snapToGrid w:val="0"/>
        <w:spacing w:line="288" w:lineRule="auto"/>
        <w:ind w:right="480" w:firstLine="7440" w:firstLineChars="3100"/>
        <w:jc w:val="both"/>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保函编号</w:t>
      </w:r>
      <w:r>
        <w:rPr>
          <w:rFonts w:hint="eastAsia" w:ascii="仿宋" w:hAnsi="仿宋" w:eastAsia="仿宋" w:cs="仿宋"/>
          <w:color w:val="auto"/>
          <w:sz w:val="24"/>
          <w:highlight w:val="none"/>
          <w:lang w:eastAsia="zh-CN"/>
        </w:rPr>
        <w:t>：</w:t>
      </w:r>
    </w:p>
    <w:p w14:paraId="32D10CC7">
      <w:pPr>
        <w:snapToGrid w:val="0"/>
        <w:spacing w:line="288" w:lineRule="auto"/>
        <w:jc w:val="left"/>
        <w:rPr>
          <w:rFonts w:hint="eastAsia" w:ascii="仿宋" w:hAnsi="仿宋" w:eastAsia="仿宋" w:cs="仿宋"/>
          <w:color w:val="auto"/>
          <w:sz w:val="24"/>
          <w:highlight w:val="none"/>
          <w:u w:val="single"/>
          <w:lang w:eastAsia="zh-CN"/>
        </w:rPr>
      </w:pPr>
    </w:p>
    <w:p w14:paraId="2ED87043">
      <w:pPr>
        <w:snapToGrid w:val="0"/>
        <w:spacing w:line="288"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陕西省采购招标有限责任公司</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下称受益人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p>
    <w:p w14:paraId="50C9BD48">
      <w:pPr>
        <w:snapToGrid w:val="0"/>
        <w:spacing w:line="288"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鉴于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下称被保证人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将于</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参加贵方竞争性谈判文件编号为</w:t>
      </w:r>
      <w:r>
        <w:rPr>
          <w:rFonts w:hint="eastAsia" w:ascii="仿宋" w:hAnsi="仿宋" w:eastAsia="仿宋" w:cs="仿宋"/>
          <w:color w:val="auto"/>
          <w:sz w:val="24"/>
          <w:highlight w:val="none"/>
          <w:u w:val="single"/>
        </w:rPr>
        <w:t>（采购项目编号）</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（项目名称） </w:t>
      </w:r>
      <w:r>
        <w:rPr>
          <w:rFonts w:hint="eastAsia" w:ascii="仿宋" w:hAnsi="仿宋" w:eastAsia="仿宋" w:cs="仿宋"/>
          <w:color w:val="auto"/>
          <w:sz w:val="24"/>
          <w:highlight w:val="none"/>
        </w:rPr>
        <w:t>的竞争性谈判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我方接受被保证人的委托</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在此向受益人提供不可撤销的谈判保证：</w:t>
      </w:r>
    </w:p>
    <w:p w14:paraId="10430723">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一、</w:t>
      </w:r>
      <w:r>
        <w:rPr>
          <w:rFonts w:hint="eastAsia" w:ascii="仿宋" w:hAnsi="仿宋" w:eastAsia="仿宋" w:cs="仿宋"/>
          <w:color w:val="auto"/>
          <w:sz w:val="24"/>
          <w:highlight w:val="none"/>
        </w:rPr>
        <w:t>本保证担保的担保金额为</w:t>
      </w:r>
      <w:r>
        <w:rPr>
          <w:rFonts w:hint="eastAsia" w:ascii="仿宋" w:hAnsi="仿宋" w:eastAsia="仿宋" w:cs="仿宋"/>
          <w:color w:val="auto"/>
          <w:sz w:val="24"/>
          <w:highlight w:val="none"/>
          <w:u w:val="single"/>
        </w:rPr>
        <w:t>人民币</w:t>
      </w:r>
      <w:r>
        <w:rPr>
          <w:rFonts w:hint="eastAsia" w:ascii="仿宋" w:hAnsi="仿宋" w:eastAsia="仿宋" w:cs="仿宋"/>
          <w:color w:val="auto"/>
          <w:sz w:val="24"/>
          <w:highlight w:val="none"/>
        </w:rPr>
        <w:t>（币种</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元（小写）</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元</w:t>
      </w:r>
      <w:r>
        <w:rPr>
          <w:rFonts w:hint="eastAsia" w:ascii="仿宋" w:hAnsi="仿宋" w:eastAsia="仿宋" w:cs="仿宋"/>
          <w:color w:val="auto"/>
          <w:sz w:val="24"/>
          <w:highlight w:val="none"/>
        </w:rPr>
        <w:t>（大写）。</w:t>
      </w:r>
    </w:p>
    <w:p w14:paraId="4110405A">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二、本保证担保的保证期间为响应文件的有效期（或延长的有效期）,延长有效期无须通知我方。</w:t>
      </w:r>
    </w:p>
    <w:p w14:paraId="126A36B2">
      <w:pPr>
        <w:keepNext w:val="0"/>
        <w:keepLines w:val="0"/>
        <w:pageBreakBefore w:val="0"/>
        <w:widowControl w:val="0"/>
        <w:numPr>
          <w:ilvl w:val="0"/>
          <w:numId w:val="0"/>
        </w:numPr>
        <w:kinsoku/>
        <w:wordWrap/>
        <w:overflowPunct/>
        <w:topLinePunct w:val="0"/>
        <w:autoSpaceDE/>
        <w:autoSpaceDN/>
        <w:bidi w:val="0"/>
        <w:adjustRightInd/>
        <w:snapToGrid w:val="0"/>
        <w:spacing w:line="288"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三、在本保证担保的保证期间内,如果被保证人出现下列情形之一,受益人可以向我方提起索赔：</w:t>
      </w:r>
    </w:p>
    <w:p w14:paraId="2EE64AFD">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 被保证人在响应文件有效期内撤回其响应文件；</w:t>
      </w:r>
    </w:p>
    <w:p w14:paraId="15157628">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2. 被保证人在响应文件有效期内收到受益人发出的成交通知书后,不能或拒绝按竞争性谈判文件的要求签署合同；</w:t>
      </w:r>
    </w:p>
    <w:p w14:paraId="36C2EDFF">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3. 被保证人在有效期内收到受益人发出的成交通知书后,不能或拒绝按竞争性谈判文件的规定提交履约担保；</w:t>
      </w:r>
    </w:p>
    <w:p w14:paraId="21DB7C99">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4. 被保证人成交后未按照竞争性谈判文件规定交纳代理服务费。</w:t>
      </w:r>
    </w:p>
    <w:p w14:paraId="0747D010">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四、在本保证担保的保证期间内,我方收到受益人经法定代表人或其授权委托代理人签字并加盖公章的书面索赔通知后,将不争辩、不挑剔、不可撤销地立即向受益人支付本保证担保的担保金额。</w:t>
      </w:r>
    </w:p>
    <w:p w14:paraId="46CC841D">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五、受益人的索赔通知应当说明索赔理由,并必须在本保证担保的保证期间内送达我方。</w:t>
      </w:r>
    </w:p>
    <w:p w14:paraId="64F6DB85">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六、本保证担保项下的权利不得转让。</w:t>
      </w:r>
    </w:p>
    <w:p w14:paraId="16ACA4F4">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七、本保证担保的保证期间届满,或我方已向受益人支付本保证担保的担保金额,我方的保证责任免除。</w:t>
      </w:r>
    </w:p>
    <w:p w14:paraId="4D353BA7">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八、本保证担保适用中华人民共和国法律。</w:t>
      </w:r>
    </w:p>
    <w:p w14:paraId="05848183">
      <w:pPr>
        <w:numPr>
          <w:ilvl w:val="0"/>
          <w:numId w:val="0"/>
        </w:numPr>
        <w:snapToGrid w:val="0"/>
        <w:spacing w:line="288"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九、本保证担保以中文文本为准,涂改无效。</w:t>
      </w:r>
    </w:p>
    <w:p w14:paraId="59A957CF">
      <w:pPr>
        <w:snapToGrid w:val="0"/>
        <w:spacing w:line="288" w:lineRule="auto"/>
        <w:rPr>
          <w:rFonts w:hint="eastAsia" w:ascii="仿宋" w:hAnsi="仿宋" w:eastAsia="仿宋" w:cs="仿宋"/>
          <w:color w:val="auto"/>
          <w:sz w:val="24"/>
          <w:highlight w:val="none"/>
          <w:lang w:eastAsia="zh-CN"/>
        </w:rPr>
      </w:pPr>
    </w:p>
    <w:p w14:paraId="655F6552">
      <w:pPr>
        <w:snapToGrid w:val="0"/>
        <w:spacing w:line="288"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保证人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3A7BD142">
      <w:pPr>
        <w:snapToGrid w:val="0"/>
        <w:spacing w:line="288"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法定代表人或其授权委托代理人</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签字或盖章）： </w:t>
      </w:r>
      <w:r>
        <w:rPr>
          <w:rFonts w:hint="eastAsia" w:ascii="仿宋" w:hAnsi="仿宋" w:eastAsia="仿宋" w:cs="仿宋"/>
          <w:color w:val="auto"/>
          <w:sz w:val="24"/>
          <w:highlight w:val="none"/>
          <w:u w:val="single"/>
        </w:rPr>
        <w:t xml:space="preserve">            </w:t>
      </w:r>
    </w:p>
    <w:p w14:paraId="5C165E2F">
      <w:pPr>
        <w:snapToGrid w:val="0"/>
        <w:spacing w:line="288"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单位地址</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4C872765">
      <w:pPr>
        <w:snapToGrid w:val="0"/>
        <w:spacing w:line="288" w:lineRule="auto"/>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14:paraId="4290E511">
      <w:pPr>
        <w:snapToGrid w:val="0"/>
        <w:spacing w:line="288" w:lineRule="auto"/>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lang w:eastAsia="zh-CN"/>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rPr>
        <w:t>年</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rPr>
        <w:t>月</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rPr>
        <w:t>日</w:t>
      </w:r>
    </w:p>
    <w:p w14:paraId="4F7E1642">
      <w:pPr>
        <w:pStyle w:val="44"/>
        <w:snapToGrid w:val="0"/>
        <w:spacing w:line="360" w:lineRule="auto"/>
        <w:jc w:val="both"/>
        <w:outlineLvl w:val="2"/>
        <w:rPr>
          <w:rFonts w:hint="eastAsia" w:ascii="仿宋" w:hAnsi="仿宋" w:eastAsia="仿宋" w:cs="仿宋"/>
          <w:b/>
          <w:bCs/>
          <w:color w:val="auto"/>
          <w:sz w:val="32"/>
          <w:szCs w:val="32"/>
          <w:highlight w:val="none"/>
        </w:rPr>
      </w:pPr>
      <w:bookmarkStart w:id="581" w:name="_Toc532473491"/>
      <w:bookmarkStart w:id="582" w:name="_Toc515647799"/>
      <w:bookmarkStart w:id="583" w:name="_Toc21748"/>
      <w:bookmarkStart w:id="584" w:name="_Toc16186"/>
      <w:r>
        <w:rPr>
          <w:rFonts w:hint="eastAsia" w:ascii="仿宋" w:hAnsi="仿宋" w:eastAsia="仿宋" w:cs="仿宋"/>
          <w:color w:val="auto"/>
          <w:highlight w:val="none"/>
        </w:rPr>
        <w:br w:type="page"/>
      </w:r>
      <w:bookmarkEnd w:id="581"/>
      <w:bookmarkEnd w:id="582"/>
      <w:bookmarkEnd w:id="583"/>
      <w:bookmarkEnd w:id="584"/>
      <w:bookmarkStart w:id="585" w:name="_Toc9606"/>
      <w:bookmarkStart w:id="586" w:name="_Toc532473492"/>
      <w:bookmarkStart w:id="587" w:name="_Toc515647800"/>
      <w:bookmarkStart w:id="588" w:name="_Toc10951"/>
      <w:bookmarkStart w:id="589" w:name="_Toc6548"/>
      <w:bookmarkStart w:id="590" w:name="_Toc20660404"/>
      <w:r>
        <w:rPr>
          <w:rFonts w:hint="eastAsia" w:ascii="仿宋" w:hAnsi="仿宋" w:eastAsia="仿宋" w:cs="仿宋"/>
          <w:b/>
          <w:bCs/>
          <w:color w:val="auto"/>
          <w:sz w:val="28"/>
          <w:szCs w:val="28"/>
          <w:highlight w:val="none"/>
        </w:rPr>
        <w:t>附件2</w:t>
      </w:r>
      <w:bookmarkEnd w:id="585"/>
    </w:p>
    <w:p w14:paraId="1947BF5F">
      <w:pPr>
        <w:pStyle w:val="44"/>
        <w:snapToGrid w:val="0"/>
        <w:spacing w:line="360" w:lineRule="auto"/>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履约担保函格式</w:t>
      </w:r>
      <w:bookmarkEnd w:id="586"/>
      <w:bookmarkEnd w:id="587"/>
      <w:bookmarkEnd w:id="588"/>
      <w:bookmarkEnd w:id="589"/>
      <w:bookmarkEnd w:id="590"/>
    </w:p>
    <w:p w14:paraId="79995E34">
      <w:pPr>
        <w:snapToGrid w:val="0"/>
        <w:spacing w:line="336" w:lineRule="auto"/>
        <w:ind w:firstLine="6720" w:firstLineChars="28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编号：</w:t>
      </w:r>
    </w:p>
    <w:p w14:paraId="54679EC6">
      <w:pPr>
        <w:snapToGrid w:val="0"/>
        <w:spacing w:line="336" w:lineRule="auto"/>
        <w:rPr>
          <w:rFonts w:hint="eastAsia" w:ascii="仿宋" w:hAnsi="仿宋" w:eastAsia="仿宋" w:cs="仿宋"/>
          <w:color w:val="auto"/>
          <w:sz w:val="28"/>
          <w:szCs w:val="28"/>
          <w:highlight w:val="none"/>
        </w:rPr>
      </w:pPr>
    </w:p>
    <w:p w14:paraId="7B9393DB">
      <w:pPr>
        <w:snapToGrid w:val="0"/>
        <w:spacing w:line="336"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（采购人名称）：</w:t>
      </w:r>
    </w:p>
    <w:p w14:paraId="286CEAE6">
      <w:pPr>
        <w:keepNext w:val="0"/>
        <w:keepLines w:val="0"/>
        <w:pageBreakBefore w:val="0"/>
        <w:widowControl w:val="0"/>
        <w:kinsoku/>
        <w:wordWrap w:val="0"/>
        <w:overflowPunct/>
        <w:topLinePunct w:val="0"/>
        <w:autoSpaceDE/>
        <w:autoSpaceDN/>
        <w:bidi w:val="0"/>
        <w:adjustRightInd/>
        <w:snapToGrid w:val="0"/>
        <w:spacing w:line="336"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（以下简称供应商）于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政府采购合同》（以下简称主合同），且依据该合同的约定，供应商应在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日前向你方交纳履约保证金，且可以履约担保函的形式交纳履约保证金。应供应商的申请，我方以保证的方式向你方提供如下履约保证金担保：</w:t>
      </w:r>
    </w:p>
    <w:p w14:paraId="604CAE7A">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14:paraId="7FF00998">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（一）在供应商出现下列情形之一时，我方承担保证责任：</w:t>
      </w:r>
    </w:p>
    <w:p w14:paraId="1FC89DDB">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1．将成交项目转让给他人，或者在谈判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中未说明，且未经采购人同意，将成交项目分包给他人的；</w:t>
      </w:r>
    </w:p>
    <w:p w14:paraId="0294F7BA">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2．主合同约定的应当缴纳履约保证金的情形</w:t>
      </w:r>
      <w:r>
        <w:rPr>
          <w:rFonts w:hint="eastAsia" w:ascii="仿宋" w:hAnsi="仿宋" w:eastAsia="仿宋" w:cs="仿宋"/>
          <w:color w:val="auto"/>
          <w:sz w:val="24"/>
          <w:highlight w:val="none"/>
          <w:lang w:eastAsia="zh-CN"/>
        </w:rPr>
        <w:t>：</w:t>
      </w:r>
    </w:p>
    <w:p w14:paraId="7B77EED4">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14:paraId="1C3E99FA">
      <w:pPr>
        <w:snapToGrid w:val="0"/>
        <w:spacing w:line="336"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2C3CE9D">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14:paraId="24656DAF">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14:paraId="73B79889">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14:paraId="67051514">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我方保证的期间为：自本合同生效之日起至供应商按照主合同约定的供货/完工期限届满后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14:paraId="5D335F37">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如果供应商未按主合同约定向贵方供应货物/提供服务/完成工程的，由我方在保证金额内向你方支付上述款项。</w:t>
      </w:r>
    </w:p>
    <w:p w14:paraId="1EBEB92D">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14:paraId="34A0F6A8">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1．你方要求我方承担保证责任的，应在本保函保证期间内向我方发出书面索赔通知。索赔通知应写明要求索赔的金额，支付款项应到达的账号。并附有证明供应商违约事实的证明材料。</w:t>
      </w:r>
    </w:p>
    <w:p w14:paraId="1CEA4203">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如果你方与供应商因货物质量问题产生争议，你方还需同时提供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14:paraId="02B70CD1">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14:paraId="54A1FE13">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14:paraId="5CBD82D2">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70E95D68">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14:paraId="280996D7">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14:paraId="32ED22A6">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23FA772">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14:paraId="7F4D27FA">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1．因你方违反主合同约定致使供应商不能履行义务的，我方不承担保证责任。</w:t>
      </w:r>
    </w:p>
    <w:p w14:paraId="45E31549">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2．依照法律法规的规定或你方与供应商的另行约定，全部或者部分免除供应商应缴纳的保证金义务的，我方亦免除相应的保证责任。</w:t>
      </w:r>
    </w:p>
    <w:p w14:paraId="692D11AD">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3．因不可抗力造成供应商不能履行供货义务的，我方不承担保证责任。</w:t>
      </w:r>
    </w:p>
    <w:p w14:paraId="4F7DC43A">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14:paraId="2C821059">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14:paraId="14B5514C">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14:paraId="37160475">
      <w:pPr>
        <w:snapToGrid w:val="0"/>
        <w:spacing w:line="336"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14:paraId="4F99E366">
      <w:pPr>
        <w:snapToGrid w:val="0"/>
        <w:spacing w:line="336" w:lineRule="auto"/>
        <w:rPr>
          <w:rFonts w:hint="eastAsia" w:ascii="仿宋" w:hAnsi="仿宋" w:eastAsia="仿宋" w:cs="仿宋"/>
          <w:color w:val="auto"/>
          <w:sz w:val="24"/>
          <w:highlight w:val="none"/>
        </w:rPr>
      </w:pPr>
    </w:p>
    <w:p w14:paraId="482DD0C9">
      <w:pPr>
        <w:pStyle w:val="29"/>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出具保函单位名称（盖公章）：</w:t>
      </w:r>
      <w:r>
        <w:rPr>
          <w:rFonts w:hint="eastAsia" w:ascii="仿宋" w:hAnsi="仿宋" w:eastAsia="仿宋" w:cs="仿宋"/>
          <w:color w:val="auto"/>
          <w:sz w:val="24"/>
          <w:szCs w:val="24"/>
          <w:highlight w:val="none"/>
          <w:u w:val="single"/>
        </w:rPr>
        <w:t xml:space="preserve">                   </w:t>
      </w:r>
    </w:p>
    <w:p w14:paraId="1E24610E">
      <w:pPr>
        <w:pStyle w:val="29"/>
        <w:ind w:left="1080" w:leftChars="257" w:hanging="54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签字人姓名和职务：</w:t>
      </w:r>
      <w:r>
        <w:rPr>
          <w:rFonts w:hint="eastAsia" w:ascii="仿宋" w:hAnsi="仿宋" w:eastAsia="仿宋" w:cs="仿宋"/>
          <w:color w:val="auto"/>
          <w:sz w:val="24"/>
          <w:szCs w:val="24"/>
          <w:highlight w:val="none"/>
          <w:u w:val="single"/>
        </w:rPr>
        <w:t xml:space="preserve">                             </w:t>
      </w:r>
    </w:p>
    <w:p w14:paraId="3BD00CE0">
      <w:pPr>
        <w:pStyle w:val="29"/>
        <w:ind w:left="1080" w:leftChars="257" w:hanging="54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签字人签名：</w:t>
      </w:r>
      <w:r>
        <w:rPr>
          <w:rFonts w:hint="eastAsia" w:ascii="仿宋" w:hAnsi="仿宋" w:eastAsia="仿宋" w:cs="仿宋"/>
          <w:color w:val="auto"/>
          <w:sz w:val="24"/>
          <w:szCs w:val="24"/>
          <w:highlight w:val="none"/>
          <w:u w:val="single"/>
        </w:rPr>
        <w:t xml:space="preserve">                                   </w:t>
      </w:r>
    </w:p>
    <w:p w14:paraId="2B2CD984">
      <w:pPr>
        <w:pStyle w:val="29"/>
        <w:ind w:left="1080" w:leftChars="257" w:hanging="540"/>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rPr>
        <w:t>日</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4AD4237D">
      <w:pPr>
        <w:pStyle w:val="29"/>
        <w:ind w:left="1080" w:leftChars="257" w:hanging="540"/>
        <w:rPr>
          <w:rFonts w:hint="eastAsia" w:ascii="仿宋" w:hAnsi="仿宋" w:eastAsia="仿宋" w:cs="仿宋"/>
          <w:color w:val="auto"/>
          <w:sz w:val="24"/>
          <w:szCs w:val="24"/>
          <w:highlight w:val="none"/>
          <w:u w:val="none"/>
        </w:rPr>
      </w:pPr>
    </w:p>
    <w:p w14:paraId="54F02F0B">
      <w:pPr>
        <w:pStyle w:val="4"/>
        <w:rPr>
          <w:rFonts w:hint="eastAsia" w:ascii="仿宋" w:hAnsi="仿宋" w:eastAsia="仿宋" w:cs="仿宋"/>
          <w:b/>
          <w:bCs/>
          <w:color w:val="auto"/>
          <w:sz w:val="28"/>
          <w:szCs w:val="36"/>
          <w:highlight w:val="none"/>
          <w:lang w:val="zh-CN"/>
        </w:rPr>
      </w:pPr>
      <w:r>
        <w:rPr>
          <w:rFonts w:hint="eastAsia" w:ascii="仿宋" w:hAnsi="仿宋" w:eastAsia="仿宋" w:cs="仿宋"/>
          <w:b/>
          <w:bCs/>
          <w:color w:val="auto"/>
          <w:sz w:val="28"/>
          <w:szCs w:val="36"/>
          <w:highlight w:val="none"/>
          <w:lang w:val="zh-CN"/>
        </w:rPr>
        <w:t>附件3</w:t>
      </w:r>
    </w:p>
    <w:p w14:paraId="20145528">
      <w:pPr>
        <w:pStyle w:val="4"/>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 xml:space="preserve"> （最后）</w:t>
      </w:r>
      <w:r>
        <w:rPr>
          <w:rFonts w:hint="eastAsia" w:ascii="仿宋" w:hAnsi="仿宋" w:eastAsia="仿宋" w:cs="仿宋"/>
          <w:b/>
          <w:bCs/>
          <w:color w:val="auto"/>
          <w:sz w:val="28"/>
          <w:szCs w:val="36"/>
          <w:highlight w:val="none"/>
          <w:lang w:val="en-US" w:eastAsia="zh-CN"/>
        </w:rPr>
        <w:t>谈判</w:t>
      </w:r>
      <w:r>
        <w:rPr>
          <w:rFonts w:hint="eastAsia" w:ascii="仿宋" w:hAnsi="仿宋" w:eastAsia="仿宋" w:cs="仿宋"/>
          <w:b/>
          <w:bCs/>
          <w:color w:val="auto"/>
          <w:sz w:val="28"/>
          <w:szCs w:val="36"/>
          <w:highlight w:val="none"/>
        </w:rPr>
        <w:t>响应报价一览表</w:t>
      </w:r>
    </w:p>
    <w:p w14:paraId="39786E73">
      <w:pPr>
        <w:spacing w:after="120"/>
        <w:rPr>
          <w:rFonts w:hint="eastAsia" w:ascii="仿宋" w:hAnsi="仿宋" w:eastAsia="仿宋" w:cs="仿宋"/>
          <w:color w:val="auto"/>
          <w:highlight w:val="none"/>
          <w:lang w:val="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zh-CN"/>
        </w:rPr>
        <w:t>（随身携带，单独提供，无需装订在响应文件中）</w:t>
      </w:r>
    </w:p>
    <w:p w14:paraId="0EF964AF">
      <w:pPr>
        <w:pStyle w:val="23"/>
        <w:rPr>
          <w:rFonts w:hint="eastAsia" w:ascii="仿宋" w:hAnsi="仿宋" w:eastAsia="仿宋" w:cs="仿宋"/>
          <w:color w:val="auto"/>
          <w:highlight w:val="none"/>
          <w:lang w:val="zh-CN"/>
        </w:rPr>
      </w:pPr>
    </w:p>
    <w:tbl>
      <w:tblPr>
        <w:tblStyle w:val="50"/>
        <w:tblW w:w="8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87"/>
        <w:gridCol w:w="6492"/>
      </w:tblGrid>
      <w:tr w14:paraId="46D6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3" w:hRule="atLeast"/>
          <w:jc w:val="center"/>
        </w:trPr>
        <w:tc>
          <w:tcPr>
            <w:tcW w:w="1887" w:type="dxa"/>
            <w:vAlign w:val="center"/>
          </w:tcPr>
          <w:p w14:paraId="782BD174">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项目编号及项目名称</w:t>
            </w:r>
          </w:p>
        </w:tc>
        <w:tc>
          <w:tcPr>
            <w:tcW w:w="6492" w:type="dxa"/>
            <w:vAlign w:val="center"/>
          </w:tcPr>
          <w:p w14:paraId="20720A0F">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240" w:firstLineChars="1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136BBD2B">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240" w:firstLineChars="1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tc>
      </w:tr>
      <w:tr w14:paraId="4658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887" w:type="dxa"/>
            <w:vAlign w:val="center"/>
          </w:tcPr>
          <w:p w14:paraId="0AD70CB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投标报价</w:t>
            </w:r>
          </w:p>
        </w:tc>
        <w:tc>
          <w:tcPr>
            <w:tcW w:w="6492" w:type="dxa"/>
            <w:vAlign w:val="center"/>
          </w:tcPr>
          <w:p w14:paraId="0EE3403B">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仿宋" w:hAnsi="仿宋" w:eastAsia="仿宋" w:cs="仿宋"/>
                <w:color w:val="auto"/>
                <w:sz w:val="24"/>
                <w:highlight w:val="none"/>
              </w:rPr>
            </w:pPr>
          </w:p>
        </w:tc>
      </w:tr>
      <w:tr w14:paraId="797F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887" w:type="dxa"/>
            <w:vAlign w:val="center"/>
          </w:tcPr>
          <w:p w14:paraId="28033CB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交货</w:t>
            </w:r>
            <w:r>
              <w:rPr>
                <w:rFonts w:hint="eastAsia" w:ascii="仿宋" w:hAnsi="仿宋" w:eastAsia="仿宋" w:cs="仿宋"/>
                <w:b/>
                <w:color w:val="auto"/>
                <w:sz w:val="24"/>
                <w:highlight w:val="none"/>
                <w:lang w:eastAsia="zh-CN"/>
              </w:rPr>
              <w:t>期</w:t>
            </w:r>
          </w:p>
        </w:tc>
        <w:tc>
          <w:tcPr>
            <w:tcW w:w="6492" w:type="dxa"/>
            <w:vAlign w:val="center"/>
          </w:tcPr>
          <w:p w14:paraId="59AE1CB9">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仿宋" w:hAnsi="仿宋" w:eastAsia="仿宋" w:cs="仿宋"/>
                <w:color w:val="auto"/>
                <w:sz w:val="24"/>
                <w:highlight w:val="none"/>
              </w:rPr>
            </w:pPr>
          </w:p>
        </w:tc>
      </w:tr>
      <w:tr w14:paraId="11484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887" w:type="dxa"/>
            <w:vAlign w:val="center"/>
          </w:tcPr>
          <w:p w14:paraId="0E7B654A">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交货地点</w:t>
            </w:r>
          </w:p>
        </w:tc>
        <w:tc>
          <w:tcPr>
            <w:tcW w:w="6492" w:type="dxa"/>
            <w:vAlign w:val="center"/>
          </w:tcPr>
          <w:p w14:paraId="63BC0884">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仿宋" w:hAnsi="仿宋" w:eastAsia="仿宋" w:cs="仿宋"/>
                <w:color w:val="auto"/>
                <w:sz w:val="24"/>
                <w:highlight w:val="none"/>
              </w:rPr>
            </w:pPr>
          </w:p>
        </w:tc>
      </w:tr>
      <w:tr w14:paraId="0BBF3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2" w:hRule="atLeast"/>
          <w:jc w:val="center"/>
        </w:trPr>
        <w:tc>
          <w:tcPr>
            <w:tcW w:w="1887" w:type="dxa"/>
            <w:vAlign w:val="center"/>
          </w:tcPr>
          <w:p w14:paraId="47875531">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质保期</w:t>
            </w:r>
          </w:p>
        </w:tc>
        <w:tc>
          <w:tcPr>
            <w:tcW w:w="6492" w:type="dxa"/>
            <w:vAlign w:val="center"/>
          </w:tcPr>
          <w:p w14:paraId="38706726">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textAlignment w:val="auto"/>
              <w:rPr>
                <w:rFonts w:hint="eastAsia" w:ascii="仿宋" w:hAnsi="仿宋" w:eastAsia="仿宋" w:cs="仿宋"/>
                <w:color w:val="auto"/>
                <w:sz w:val="24"/>
                <w:highlight w:val="none"/>
              </w:rPr>
            </w:pPr>
          </w:p>
        </w:tc>
      </w:tr>
      <w:tr w14:paraId="1FDA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jc w:val="center"/>
        </w:trPr>
        <w:tc>
          <w:tcPr>
            <w:tcW w:w="1887" w:type="dxa"/>
            <w:vAlign w:val="center"/>
          </w:tcPr>
          <w:p w14:paraId="19837D05">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c>
          <w:tcPr>
            <w:tcW w:w="6492" w:type="dxa"/>
            <w:vAlign w:val="center"/>
          </w:tcPr>
          <w:p w14:paraId="7425BF96">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rPr>
            </w:pPr>
          </w:p>
        </w:tc>
      </w:tr>
    </w:tbl>
    <w:p w14:paraId="3ACFD5EB">
      <w:pPr>
        <w:pStyle w:val="23"/>
        <w:rPr>
          <w:rFonts w:hint="eastAsia" w:ascii="仿宋" w:hAnsi="仿宋" w:eastAsia="仿宋" w:cs="仿宋"/>
          <w:color w:val="auto"/>
          <w:highlight w:val="none"/>
          <w:lang w:val="zh-CN"/>
        </w:rPr>
      </w:pPr>
    </w:p>
    <w:p w14:paraId="71AAA018">
      <w:pPr>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 xml:space="preserve">                                                                                     </w:t>
      </w:r>
    </w:p>
    <w:p w14:paraId="5C404495">
      <w:pP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3AE4D75E">
      <w:pP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法定代表人或授权代表（签字或盖章）：</w:t>
      </w:r>
      <w:r>
        <w:rPr>
          <w:rFonts w:hint="eastAsia" w:ascii="仿宋" w:hAnsi="仿宋" w:eastAsia="仿宋" w:cs="仿宋"/>
          <w:color w:val="auto"/>
          <w:sz w:val="24"/>
          <w:highlight w:val="none"/>
          <w:u w:val="single"/>
        </w:rPr>
        <w:t xml:space="preserve">         </w:t>
      </w:r>
    </w:p>
    <w:p w14:paraId="69E53C08">
      <w:pPr>
        <w:spacing w:line="360" w:lineRule="auto"/>
        <w:ind w:firstLine="1920" w:firstLineChars="800"/>
        <w:rPr>
          <w:rFonts w:hint="eastAsia" w:ascii="仿宋" w:hAnsi="仿宋" w:eastAsia="仿宋" w:cs="仿宋"/>
          <w:color w:val="auto"/>
          <w:kern w:val="0"/>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p w14:paraId="7347955B">
      <w:pP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br w:type="page"/>
      </w:r>
    </w:p>
    <w:p w14:paraId="34D608D4">
      <w:pPr>
        <w:pStyle w:val="4"/>
        <w:jc w:val="center"/>
        <w:rPr>
          <w:rFonts w:hint="eastAsia" w:ascii="仿宋" w:hAnsi="仿宋" w:eastAsia="仿宋" w:cs="仿宋"/>
          <w:b/>
          <w:bCs/>
          <w:color w:val="auto"/>
          <w:sz w:val="28"/>
          <w:szCs w:val="36"/>
          <w:highlight w:val="none"/>
        </w:rPr>
      </w:pPr>
      <w:r>
        <w:rPr>
          <w:rFonts w:hint="eastAsia" w:ascii="仿宋" w:hAnsi="仿宋" w:eastAsia="仿宋" w:cs="仿宋"/>
          <w:b/>
          <w:bCs/>
          <w:color w:val="auto"/>
          <w:sz w:val="28"/>
          <w:szCs w:val="36"/>
          <w:highlight w:val="none"/>
        </w:rPr>
        <w:t>（最后）响应分项报价表</w:t>
      </w:r>
    </w:p>
    <w:p w14:paraId="60595B01">
      <w:pPr>
        <w:pStyle w:val="23"/>
        <w:rPr>
          <w:rFonts w:hint="eastAsia" w:ascii="仿宋" w:hAnsi="仿宋" w:eastAsia="仿宋" w:cs="仿宋"/>
          <w:color w:val="auto"/>
          <w:highlight w:val="none"/>
        </w:rPr>
      </w:pPr>
      <w:r>
        <w:rPr>
          <w:rFonts w:hint="eastAsia" w:ascii="仿宋" w:hAnsi="仿宋" w:eastAsia="仿宋" w:cs="仿宋"/>
          <w:color w:val="auto"/>
          <w:highlight w:val="none"/>
        </w:rPr>
        <w:t xml:space="preserve">                      （随身携带，单独提供，无需装订在响应文件中）</w:t>
      </w:r>
    </w:p>
    <w:p w14:paraId="0CF55470">
      <w:pPr>
        <w:autoSpaceDE w:val="0"/>
        <w:autoSpaceDN w:val="0"/>
        <w:adjustRightInd w:val="0"/>
        <w:snapToGrid w:val="0"/>
        <w:spacing w:before="120" w:line="360" w:lineRule="auto"/>
        <w:ind w:left="-206" w:leftChars="-98"/>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10E6F31">
      <w:pPr>
        <w:spacing w:line="360" w:lineRule="auto"/>
        <w:ind w:firstLine="1920" w:firstLineChars="800"/>
        <w:rPr>
          <w:rFonts w:hint="eastAsia" w:ascii="仿宋" w:hAnsi="仿宋" w:eastAsia="仿宋" w:cs="仿宋"/>
          <w:color w:val="auto"/>
          <w:sz w:val="24"/>
          <w:highlight w:val="none"/>
        </w:rPr>
      </w:pPr>
    </w:p>
    <w:p w14:paraId="60BFB007">
      <w:pPr>
        <w:spacing w:line="360" w:lineRule="auto"/>
        <w:ind w:firstLine="1920" w:firstLineChars="800"/>
        <w:rPr>
          <w:rFonts w:hint="eastAsia" w:ascii="仿宋" w:hAnsi="仿宋" w:eastAsia="仿宋" w:cs="仿宋"/>
          <w:color w:val="auto"/>
          <w:sz w:val="24"/>
          <w:highlight w:val="none"/>
        </w:rPr>
      </w:pPr>
    </w:p>
    <w:p w14:paraId="394A899A">
      <w:pPr>
        <w:spacing w:line="360" w:lineRule="auto"/>
        <w:ind w:firstLine="1920" w:firstLineChars="800"/>
        <w:rPr>
          <w:rFonts w:hint="eastAsia" w:ascii="仿宋" w:hAnsi="仿宋" w:eastAsia="仿宋" w:cs="仿宋"/>
          <w:color w:val="auto"/>
          <w:sz w:val="24"/>
          <w:highlight w:val="none"/>
        </w:rPr>
      </w:pPr>
    </w:p>
    <w:p w14:paraId="133A4082">
      <w:pPr>
        <w:spacing w:line="360" w:lineRule="auto"/>
        <w:ind w:firstLine="1920" w:firstLineChars="800"/>
        <w:rPr>
          <w:rFonts w:hint="eastAsia" w:ascii="仿宋" w:hAnsi="仿宋" w:eastAsia="仿宋" w:cs="仿宋"/>
          <w:color w:val="auto"/>
          <w:sz w:val="24"/>
          <w:highlight w:val="none"/>
        </w:rPr>
      </w:pPr>
    </w:p>
    <w:p w14:paraId="0B2F0A2A">
      <w:pPr>
        <w:spacing w:line="360" w:lineRule="auto"/>
        <w:ind w:firstLine="1920" w:firstLineChars="800"/>
        <w:rPr>
          <w:rFonts w:hint="eastAsia" w:ascii="仿宋" w:hAnsi="仿宋" w:eastAsia="仿宋" w:cs="仿宋"/>
          <w:color w:val="auto"/>
          <w:sz w:val="24"/>
          <w:highlight w:val="none"/>
        </w:rPr>
      </w:pPr>
    </w:p>
    <w:p w14:paraId="6BD966B9">
      <w:pPr>
        <w:spacing w:line="360" w:lineRule="auto"/>
        <w:ind w:firstLine="1920" w:firstLineChars="800"/>
        <w:rPr>
          <w:rFonts w:hint="eastAsia" w:ascii="仿宋" w:hAnsi="仿宋" w:eastAsia="仿宋" w:cs="仿宋"/>
          <w:color w:val="auto"/>
          <w:sz w:val="24"/>
          <w:highlight w:val="none"/>
        </w:rPr>
      </w:pPr>
    </w:p>
    <w:p w14:paraId="072FFFA6">
      <w:pPr>
        <w:spacing w:line="360" w:lineRule="auto"/>
        <w:ind w:firstLine="1920" w:firstLineChars="800"/>
        <w:rPr>
          <w:rFonts w:hint="eastAsia" w:ascii="仿宋" w:hAnsi="仿宋" w:eastAsia="仿宋" w:cs="仿宋"/>
          <w:color w:val="auto"/>
          <w:sz w:val="24"/>
          <w:highlight w:val="none"/>
        </w:rPr>
      </w:pPr>
    </w:p>
    <w:p w14:paraId="451F01EA">
      <w:pPr>
        <w:spacing w:line="360" w:lineRule="auto"/>
        <w:ind w:firstLine="1920" w:firstLineChars="800"/>
        <w:rPr>
          <w:rFonts w:hint="eastAsia" w:ascii="仿宋" w:hAnsi="仿宋" w:eastAsia="仿宋" w:cs="仿宋"/>
          <w:color w:val="auto"/>
          <w:sz w:val="24"/>
          <w:highlight w:val="none"/>
        </w:rPr>
      </w:pPr>
    </w:p>
    <w:p w14:paraId="50D007D5">
      <w:pPr>
        <w:spacing w:line="360" w:lineRule="auto"/>
        <w:ind w:firstLine="1920" w:firstLineChars="800"/>
        <w:rPr>
          <w:rFonts w:hint="eastAsia" w:ascii="仿宋" w:hAnsi="仿宋" w:eastAsia="仿宋" w:cs="仿宋"/>
          <w:color w:val="auto"/>
          <w:sz w:val="24"/>
          <w:highlight w:val="none"/>
        </w:rPr>
      </w:pPr>
    </w:p>
    <w:p w14:paraId="637B8DB4">
      <w:pPr>
        <w:spacing w:line="360" w:lineRule="auto"/>
        <w:ind w:firstLine="1920" w:firstLineChars="800"/>
        <w:rPr>
          <w:rFonts w:hint="eastAsia" w:ascii="仿宋" w:hAnsi="仿宋" w:eastAsia="仿宋" w:cs="仿宋"/>
          <w:color w:val="auto"/>
          <w:sz w:val="24"/>
          <w:highlight w:val="none"/>
        </w:rPr>
      </w:pPr>
    </w:p>
    <w:p w14:paraId="5F942F67">
      <w:pPr>
        <w:spacing w:line="360" w:lineRule="auto"/>
        <w:ind w:firstLine="1920" w:firstLineChars="800"/>
        <w:rPr>
          <w:rFonts w:hint="eastAsia" w:ascii="仿宋" w:hAnsi="仿宋" w:eastAsia="仿宋" w:cs="仿宋"/>
          <w:color w:val="auto"/>
          <w:sz w:val="24"/>
          <w:highlight w:val="none"/>
        </w:rPr>
      </w:pPr>
    </w:p>
    <w:p w14:paraId="4D75836A">
      <w:pPr>
        <w:spacing w:line="360" w:lineRule="auto"/>
        <w:ind w:firstLine="1920" w:firstLineChars="800"/>
        <w:rPr>
          <w:rFonts w:hint="eastAsia" w:ascii="仿宋" w:hAnsi="仿宋" w:eastAsia="仿宋" w:cs="仿宋"/>
          <w:color w:val="auto"/>
          <w:sz w:val="24"/>
          <w:highlight w:val="none"/>
        </w:rPr>
      </w:pPr>
    </w:p>
    <w:p w14:paraId="023A19BC">
      <w:pPr>
        <w:spacing w:line="360" w:lineRule="auto"/>
        <w:ind w:firstLine="1920" w:firstLineChars="800"/>
        <w:rPr>
          <w:rFonts w:hint="eastAsia" w:ascii="仿宋" w:hAnsi="仿宋" w:eastAsia="仿宋" w:cs="仿宋"/>
          <w:color w:val="auto"/>
          <w:sz w:val="24"/>
          <w:highlight w:val="none"/>
        </w:rPr>
      </w:pPr>
    </w:p>
    <w:p w14:paraId="788A1DD2">
      <w:pPr>
        <w:spacing w:line="360" w:lineRule="auto"/>
        <w:ind w:firstLine="1920" w:firstLineChars="800"/>
        <w:rPr>
          <w:rFonts w:hint="eastAsia" w:ascii="仿宋" w:hAnsi="仿宋" w:eastAsia="仿宋" w:cs="仿宋"/>
          <w:color w:val="auto"/>
          <w:sz w:val="24"/>
          <w:highlight w:val="none"/>
        </w:rPr>
      </w:pPr>
    </w:p>
    <w:p w14:paraId="119D73D2">
      <w:pPr>
        <w:spacing w:line="360" w:lineRule="auto"/>
        <w:ind w:firstLine="1920" w:firstLineChars="800"/>
        <w:rPr>
          <w:rFonts w:hint="eastAsia" w:ascii="仿宋" w:hAnsi="仿宋" w:eastAsia="仿宋" w:cs="仿宋"/>
          <w:color w:val="auto"/>
          <w:sz w:val="24"/>
          <w:highlight w:val="none"/>
        </w:rPr>
      </w:pPr>
    </w:p>
    <w:p w14:paraId="6EBCCF6E">
      <w:pPr>
        <w:spacing w:line="360" w:lineRule="auto"/>
        <w:ind w:firstLine="1920" w:firstLineChars="800"/>
        <w:rPr>
          <w:rFonts w:hint="eastAsia" w:ascii="仿宋" w:hAnsi="仿宋" w:eastAsia="仿宋" w:cs="仿宋"/>
          <w:color w:val="auto"/>
          <w:sz w:val="24"/>
          <w:highlight w:val="none"/>
        </w:rPr>
      </w:pPr>
    </w:p>
    <w:p w14:paraId="19112458">
      <w:pPr>
        <w:spacing w:line="360" w:lineRule="auto"/>
        <w:ind w:firstLine="1920" w:firstLineChars="800"/>
        <w:rPr>
          <w:rFonts w:hint="eastAsia" w:ascii="仿宋" w:hAnsi="仿宋" w:eastAsia="仿宋" w:cs="仿宋"/>
          <w:color w:val="auto"/>
          <w:sz w:val="24"/>
          <w:highlight w:val="none"/>
        </w:rPr>
      </w:pPr>
    </w:p>
    <w:p w14:paraId="1B6E003F">
      <w:pPr>
        <w:spacing w:line="360" w:lineRule="auto"/>
        <w:ind w:firstLine="1920" w:firstLineChars="800"/>
        <w:rPr>
          <w:rFonts w:hint="eastAsia" w:ascii="仿宋" w:hAnsi="仿宋" w:eastAsia="仿宋" w:cs="仿宋"/>
          <w:color w:val="auto"/>
          <w:sz w:val="24"/>
          <w:highlight w:val="none"/>
        </w:rPr>
      </w:pPr>
    </w:p>
    <w:p w14:paraId="149EC6ED">
      <w:pPr>
        <w:spacing w:line="360" w:lineRule="auto"/>
        <w:ind w:firstLine="1920" w:firstLineChars="800"/>
        <w:rPr>
          <w:rFonts w:hint="eastAsia" w:ascii="仿宋" w:hAnsi="仿宋" w:eastAsia="仿宋" w:cs="仿宋"/>
          <w:color w:val="auto"/>
          <w:sz w:val="24"/>
          <w:highlight w:val="none"/>
        </w:rPr>
      </w:pPr>
    </w:p>
    <w:p w14:paraId="1D0357C5">
      <w:pPr>
        <w:spacing w:line="360" w:lineRule="auto"/>
        <w:ind w:firstLine="1920" w:firstLineChars="800"/>
        <w:rPr>
          <w:rFonts w:hint="eastAsia" w:ascii="仿宋" w:hAnsi="仿宋" w:eastAsia="仿宋" w:cs="仿宋"/>
          <w:color w:val="auto"/>
          <w:sz w:val="24"/>
          <w:highlight w:val="none"/>
        </w:rPr>
      </w:pPr>
    </w:p>
    <w:p w14:paraId="205D97CD">
      <w:pPr>
        <w:pStyle w:val="23"/>
        <w:rPr>
          <w:rFonts w:hint="eastAsia" w:ascii="仿宋" w:hAnsi="仿宋" w:eastAsia="仿宋" w:cs="仿宋"/>
          <w:color w:val="auto"/>
          <w:sz w:val="24"/>
          <w:highlight w:val="none"/>
        </w:rPr>
      </w:pPr>
    </w:p>
    <w:p w14:paraId="5A9D373C">
      <w:pPr>
        <w:pStyle w:val="7"/>
        <w:rPr>
          <w:rFonts w:hint="eastAsia" w:ascii="仿宋" w:hAnsi="仿宋" w:eastAsia="仿宋" w:cs="仿宋"/>
          <w:color w:val="auto"/>
          <w:highlight w:val="none"/>
        </w:rPr>
      </w:pPr>
    </w:p>
    <w:p w14:paraId="7388C05A">
      <w:pPr>
        <w:spacing w:line="360" w:lineRule="auto"/>
        <w:ind w:firstLine="1920" w:firstLineChars="800"/>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供应商（盖公章）：</w:t>
      </w:r>
      <w:r>
        <w:rPr>
          <w:rFonts w:hint="eastAsia" w:ascii="仿宋" w:hAnsi="仿宋" w:eastAsia="仿宋" w:cs="仿宋"/>
          <w:color w:val="auto"/>
          <w:sz w:val="24"/>
          <w:highlight w:val="none"/>
          <w:u w:val="single"/>
        </w:rPr>
        <w:t xml:space="preserve">                       </w:t>
      </w:r>
    </w:p>
    <w:p w14:paraId="292A2252">
      <w:pPr>
        <w:spacing w:line="360" w:lineRule="auto"/>
        <w:ind w:firstLine="1920" w:firstLineChars="8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法定代表人或授权代表（签字或盖章）：</w:t>
      </w:r>
      <w:r>
        <w:rPr>
          <w:rFonts w:hint="eastAsia" w:ascii="仿宋" w:hAnsi="仿宋" w:eastAsia="仿宋" w:cs="仿宋"/>
          <w:color w:val="auto"/>
          <w:sz w:val="24"/>
          <w:highlight w:val="none"/>
          <w:u w:val="single"/>
        </w:rPr>
        <w:t xml:space="preserve">         </w:t>
      </w:r>
    </w:p>
    <w:p w14:paraId="713B6477">
      <w:pPr>
        <w:spacing w:line="360" w:lineRule="auto"/>
        <w:ind w:firstLine="1920" w:firstLineChars="800"/>
        <w:rPr>
          <w:rFonts w:hint="eastAsia" w:ascii="仿宋" w:hAnsi="仿宋" w:eastAsia="仿宋" w:cs="仿宋"/>
          <w:color w:val="auto"/>
          <w:sz w:val="24"/>
          <w:szCs w:val="24"/>
          <w:highlight w:val="none"/>
          <w:u w:val="none"/>
        </w:rPr>
      </w:pPr>
      <w:r>
        <w:rPr>
          <w:rFonts w:hint="eastAsia" w:ascii="仿宋" w:hAnsi="仿宋" w:eastAsia="仿宋" w:cs="仿宋"/>
          <w:color w:val="auto"/>
          <w:sz w:val="24"/>
          <w:highlight w:val="none"/>
        </w:rPr>
        <w:t>日    期：</w:t>
      </w:r>
      <w:r>
        <w:rPr>
          <w:rFonts w:hint="eastAsia" w:ascii="仿宋" w:hAnsi="仿宋" w:eastAsia="仿宋" w:cs="仿宋"/>
          <w:color w:val="auto"/>
          <w:sz w:val="32"/>
          <w:highlight w:val="none"/>
          <w:u w:val="single"/>
        </w:rPr>
        <w:t xml:space="preserve">        </w:t>
      </w:r>
    </w:p>
    <w:sectPr>
      <w:headerReference r:id="rId7" w:type="default"/>
      <w:footerReference r:id="rId8" w:type="default"/>
      <w:pgSz w:w="11906" w:h="16838"/>
      <w:pgMar w:top="1440" w:right="1083" w:bottom="1440" w:left="108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7E885">
    <w:pPr>
      <w:pStyle w:val="34"/>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30784FEC">
    <w:pPr>
      <w:pStyle w:val="3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CE99E">
    <w:pPr>
      <w:pStyle w:val="3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09E6C">
                          <w:pPr>
                            <w:pStyle w:val="3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31009E6C">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F9B0">
    <w:pPr>
      <w:pStyle w:val="35"/>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227D1">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1E25">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311B1">
    <w:pPr>
      <w:pStyle w:val="3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476DE7"/>
    <w:multiLevelType w:val="singleLevel"/>
    <w:tmpl w:val="CD476DE7"/>
    <w:lvl w:ilvl="0" w:tentative="0">
      <w:start w:val="4"/>
      <w:numFmt w:val="chineseCounting"/>
      <w:suff w:val="space"/>
      <w:lvlText w:val="第%1章"/>
      <w:lvlJc w:val="left"/>
      <w:rPr>
        <w:rFonts w:hint="eastAsia"/>
      </w:rPr>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6">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5AA8DCB0"/>
    <w:multiLevelType w:val="singleLevel"/>
    <w:tmpl w:val="5AA8DCB0"/>
    <w:lvl w:ilvl="0" w:tentative="0">
      <w:start w:val="1"/>
      <w:numFmt w:val="decimal"/>
      <w:suff w:val="nothing"/>
      <w:lvlText w:val="%1、"/>
      <w:lvlJc w:val="left"/>
    </w:lvl>
  </w:abstractNum>
  <w:abstractNum w:abstractNumId="8">
    <w:nsid w:val="5AAB3475"/>
    <w:multiLevelType w:val="singleLevel"/>
    <w:tmpl w:val="5AAB3475"/>
    <w:lvl w:ilvl="0" w:tentative="0">
      <w:start w:val="1"/>
      <w:numFmt w:val="decimal"/>
      <w:lvlText w:val="%1."/>
      <w:lvlJc w:val="left"/>
      <w:pPr>
        <w:ind w:left="425" w:hanging="425"/>
      </w:pPr>
      <w:rPr>
        <w:rFonts w:hint="default"/>
      </w:rPr>
    </w:lvl>
  </w:abstractNum>
  <w:abstractNum w:abstractNumId="9">
    <w:nsid w:val="5AAB3487"/>
    <w:multiLevelType w:val="singleLevel"/>
    <w:tmpl w:val="5AAB3487"/>
    <w:lvl w:ilvl="0" w:tentative="0">
      <w:start w:val="1"/>
      <w:numFmt w:val="decimal"/>
      <w:lvlText w:val="%1)"/>
      <w:lvlJc w:val="left"/>
      <w:pPr>
        <w:ind w:left="567" w:hanging="425"/>
      </w:pPr>
      <w:rPr>
        <w:rFonts w:hint="default"/>
      </w:rPr>
    </w:lvl>
  </w:abstractNum>
  <w:abstractNum w:abstractNumId="10">
    <w:nsid w:val="6CEA2025"/>
    <w:multiLevelType w:val="multilevel"/>
    <w:tmpl w:val="6CEA2025"/>
    <w:lvl w:ilvl="0" w:tentative="0">
      <w:start w:val="1"/>
      <w:numFmt w:val="none"/>
      <w:pStyle w:val="239"/>
      <w:suff w:val="nothing"/>
      <w:lvlText w:val="%1"/>
      <w:lvlJc w:val="left"/>
      <w:pPr>
        <w:ind w:left="0" w:firstLine="0"/>
      </w:pPr>
      <w:rPr>
        <w:rFonts w:hint="default" w:ascii="Times New Roman" w:hAnsi="Times New Roman"/>
        <w:b/>
        <w:i w:val="0"/>
        <w:sz w:val="21"/>
      </w:rPr>
    </w:lvl>
    <w:lvl w:ilvl="1" w:tentative="0">
      <w:start w:val="1"/>
      <w:numFmt w:val="decimal"/>
      <w:pStyle w:val="240"/>
      <w:suff w:val="nothing"/>
      <w:lvlText w:val="%1%2　"/>
      <w:lvlJc w:val="left"/>
      <w:pPr>
        <w:ind w:left="315" w:firstLine="0"/>
      </w:pPr>
      <w:rPr>
        <w:rFonts w:hint="eastAsia" w:ascii="黑体" w:hAnsi="Times New Roman" w:eastAsia="黑体"/>
        <w:b w:val="0"/>
        <w:i w:val="0"/>
        <w:sz w:val="21"/>
      </w:rPr>
    </w:lvl>
    <w:lvl w:ilvl="2" w:tentative="0">
      <w:start w:val="1"/>
      <w:numFmt w:val="decimal"/>
      <w:pStyle w:val="241"/>
      <w:suff w:val="nothing"/>
      <w:lvlText w:val="%1%2.%3　"/>
      <w:lvlJc w:val="left"/>
      <w:pPr>
        <w:ind w:left="630" w:firstLine="0"/>
      </w:pPr>
      <w:rPr>
        <w:rFonts w:hint="eastAsia" w:ascii="黑体" w:hAnsi="Times New Roman" w:eastAsia="黑体"/>
        <w:b w:val="0"/>
        <w:i w:val="0"/>
        <w:sz w:val="21"/>
      </w:rPr>
    </w:lvl>
    <w:lvl w:ilvl="3" w:tentative="0">
      <w:start w:val="1"/>
      <w:numFmt w:val="decimal"/>
      <w:pStyle w:val="242"/>
      <w:suff w:val="nothing"/>
      <w:lvlText w:val="%1%2.%3.%4　"/>
      <w:lvlJc w:val="left"/>
      <w:pPr>
        <w:ind w:left="567" w:firstLine="0"/>
      </w:pPr>
      <w:rPr>
        <w:rFonts w:hint="eastAsia" w:ascii="黑体" w:hAnsi="Times New Roman" w:eastAsia="黑体"/>
        <w:b w:val="0"/>
        <w:i w:val="0"/>
        <w:sz w:val="21"/>
      </w:rPr>
    </w:lvl>
    <w:lvl w:ilvl="4" w:tentative="0">
      <w:start w:val="1"/>
      <w:numFmt w:val="decimal"/>
      <w:pStyle w:val="244"/>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5"/>
      <w:suff w:val="nothing"/>
      <w:lvlText w:val="%1%2.%3.%4.%5.%6　"/>
      <w:lvlJc w:val="left"/>
      <w:pPr>
        <w:ind w:left="0" w:firstLine="0"/>
      </w:pPr>
      <w:rPr>
        <w:rFonts w:hint="eastAsia" w:ascii="黑体" w:hAnsi="Times New Roman" w:eastAsia="黑体"/>
        <w:b w:val="0"/>
        <w:i w:val="0"/>
        <w:sz w:val="21"/>
      </w:rPr>
    </w:lvl>
    <w:lvl w:ilvl="6" w:tentative="0">
      <w:start w:val="1"/>
      <w:numFmt w:val="decimal"/>
      <w:pStyle w:val="24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76933334"/>
    <w:multiLevelType w:val="multilevel"/>
    <w:tmpl w:val="76933334"/>
    <w:lvl w:ilvl="0" w:tentative="0">
      <w:start w:val="1"/>
      <w:numFmt w:val="none"/>
      <w:pStyle w:val="243"/>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0"/>
  </w:num>
  <w:num w:numId="4">
    <w:abstractNumId w:val="11"/>
  </w:num>
  <w:num w:numId="5">
    <w:abstractNumId w:val="6"/>
  </w:num>
  <w:num w:numId="6">
    <w:abstractNumId w:val="1"/>
  </w:num>
  <w:num w:numId="7">
    <w:abstractNumId w:val="8"/>
  </w:num>
  <w:num w:numId="8">
    <w:abstractNumId w:val="9"/>
  </w:num>
  <w:num w:numId="9">
    <w:abstractNumId w:val="4"/>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mM3ZTRjNzNmYjlhOGQ1NzY4ZTk1NTg5ZDYxNDMifQ=="/>
  </w:docVars>
  <w:rsids>
    <w:rsidRoot w:val="00172A27"/>
    <w:rsid w:val="000076EB"/>
    <w:rsid w:val="00011C69"/>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6144"/>
    <w:rsid w:val="0009799D"/>
    <w:rsid w:val="000A4FE6"/>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804AC"/>
    <w:rsid w:val="00482E4B"/>
    <w:rsid w:val="00482FF9"/>
    <w:rsid w:val="00494A82"/>
    <w:rsid w:val="004A0A68"/>
    <w:rsid w:val="004A45E2"/>
    <w:rsid w:val="004A4BC1"/>
    <w:rsid w:val="004A6CB2"/>
    <w:rsid w:val="004B012C"/>
    <w:rsid w:val="004B4658"/>
    <w:rsid w:val="004B498E"/>
    <w:rsid w:val="004B521A"/>
    <w:rsid w:val="004B631E"/>
    <w:rsid w:val="004C2993"/>
    <w:rsid w:val="004C3485"/>
    <w:rsid w:val="004D3A80"/>
    <w:rsid w:val="004D5228"/>
    <w:rsid w:val="004E0461"/>
    <w:rsid w:val="004E069A"/>
    <w:rsid w:val="004E70A4"/>
    <w:rsid w:val="004F1D8F"/>
    <w:rsid w:val="004F2D89"/>
    <w:rsid w:val="004F4B90"/>
    <w:rsid w:val="004F529C"/>
    <w:rsid w:val="0050046A"/>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B3D"/>
    <w:rsid w:val="00817CCC"/>
    <w:rsid w:val="00826B74"/>
    <w:rsid w:val="00831006"/>
    <w:rsid w:val="0084595F"/>
    <w:rsid w:val="00855B04"/>
    <w:rsid w:val="0086018E"/>
    <w:rsid w:val="0086553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2AD9"/>
    <w:rsid w:val="00972D74"/>
    <w:rsid w:val="00976425"/>
    <w:rsid w:val="009808B4"/>
    <w:rsid w:val="009864F9"/>
    <w:rsid w:val="0099054D"/>
    <w:rsid w:val="00992349"/>
    <w:rsid w:val="00992A65"/>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310FE"/>
    <w:rsid w:val="00B31F50"/>
    <w:rsid w:val="00B335B1"/>
    <w:rsid w:val="00B35514"/>
    <w:rsid w:val="00B36EA2"/>
    <w:rsid w:val="00B3729D"/>
    <w:rsid w:val="00B46D0B"/>
    <w:rsid w:val="00B5212F"/>
    <w:rsid w:val="00B52AF4"/>
    <w:rsid w:val="00B537AA"/>
    <w:rsid w:val="00B56FF2"/>
    <w:rsid w:val="00B67E01"/>
    <w:rsid w:val="00B74282"/>
    <w:rsid w:val="00B8179D"/>
    <w:rsid w:val="00B84903"/>
    <w:rsid w:val="00B92025"/>
    <w:rsid w:val="00B967ED"/>
    <w:rsid w:val="00BA17CC"/>
    <w:rsid w:val="00BA7DCB"/>
    <w:rsid w:val="00BA7EA5"/>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F2F86"/>
    <w:rsid w:val="00DF780E"/>
    <w:rsid w:val="00E04115"/>
    <w:rsid w:val="00E050B7"/>
    <w:rsid w:val="00E05A25"/>
    <w:rsid w:val="00E06BE5"/>
    <w:rsid w:val="00E114E0"/>
    <w:rsid w:val="00E127EE"/>
    <w:rsid w:val="00E1663B"/>
    <w:rsid w:val="00E26CB6"/>
    <w:rsid w:val="00E32C0B"/>
    <w:rsid w:val="00E33989"/>
    <w:rsid w:val="00E3785E"/>
    <w:rsid w:val="00E41A7C"/>
    <w:rsid w:val="00E42196"/>
    <w:rsid w:val="00E43AA8"/>
    <w:rsid w:val="00E547C7"/>
    <w:rsid w:val="00E6011D"/>
    <w:rsid w:val="00E66313"/>
    <w:rsid w:val="00E71EEB"/>
    <w:rsid w:val="00E80D1E"/>
    <w:rsid w:val="00E81B72"/>
    <w:rsid w:val="00E8549F"/>
    <w:rsid w:val="00E90FA3"/>
    <w:rsid w:val="00E950EE"/>
    <w:rsid w:val="00EB17A4"/>
    <w:rsid w:val="00EB3115"/>
    <w:rsid w:val="00EB3225"/>
    <w:rsid w:val="00EB330A"/>
    <w:rsid w:val="00EB556C"/>
    <w:rsid w:val="00EB75AB"/>
    <w:rsid w:val="00EC4AB3"/>
    <w:rsid w:val="00EC603D"/>
    <w:rsid w:val="00ED12D4"/>
    <w:rsid w:val="00ED4E89"/>
    <w:rsid w:val="00EE20B7"/>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336B"/>
    <w:rsid w:val="00FE7373"/>
    <w:rsid w:val="00FF1ECD"/>
    <w:rsid w:val="00FF6AE6"/>
    <w:rsid w:val="01276CE6"/>
    <w:rsid w:val="013840A1"/>
    <w:rsid w:val="01391AF7"/>
    <w:rsid w:val="015232F4"/>
    <w:rsid w:val="01747E56"/>
    <w:rsid w:val="01A56820"/>
    <w:rsid w:val="01D60B10"/>
    <w:rsid w:val="01DB0F21"/>
    <w:rsid w:val="01F85948"/>
    <w:rsid w:val="027D1EDC"/>
    <w:rsid w:val="02967CE2"/>
    <w:rsid w:val="02A66735"/>
    <w:rsid w:val="02AA6F17"/>
    <w:rsid w:val="02AF2A63"/>
    <w:rsid w:val="02B65AA8"/>
    <w:rsid w:val="02E6429D"/>
    <w:rsid w:val="032E5AB3"/>
    <w:rsid w:val="033B3813"/>
    <w:rsid w:val="03630182"/>
    <w:rsid w:val="03D25EE4"/>
    <w:rsid w:val="04131CA3"/>
    <w:rsid w:val="043D799D"/>
    <w:rsid w:val="04497378"/>
    <w:rsid w:val="046077F9"/>
    <w:rsid w:val="04874841"/>
    <w:rsid w:val="04AF0DC0"/>
    <w:rsid w:val="0510665E"/>
    <w:rsid w:val="05CA3B1B"/>
    <w:rsid w:val="05D40F8A"/>
    <w:rsid w:val="05E97CB2"/>
    <w:rsid w:val="060D6A3B"/>
    <w:rsid w:val="06193B1E"/>
    <w:rsid w:val="062049E1"/>
    <w:rsid w:val="06383C8B"/>
    <w:rsid w:val="06617FAF"/>
    <w:rsid w:val="06C6067E"/>
    <w:rsid w:val="06E45A7E"/>
    <w:rsid w:val="0707497A"/>
    <w:rsid w:val="07394A3D"/>
    <w:rsid w:val="07416329"/>
    <w:rsid w:val="07501B9E"/>
    <w:rsid w:val="07693EC1"/>
    <w:rsid w:val="082A539E"/>
    <w:rsid w:val="0838785B"/>
    <w:rsid w:val="087D0B78"/>
    <w:rsid w:val="08F82C16"/>
    <w:rsid w:val="0920129B"/>
    <w:rsid w:val="09231DB0"/>
    <w:rsid w:val="09823E4D"/>
    <w:rsid w:val="0A36214C"/>
    <w:rsid w:val="0A4B18CE"/>
    <w:rsid w:val="0AB974EA"/>
    <w:rsid w:val="0AC01B2F"/>
    <w:rsid w:val="0AC800D5"/>
    <w:rsid w:val="0AFA19A7"/>
    <w:rsid w:val="0B181252"/>
    <w:rsid w:val="0B2543AA"/>
    <w:rsid w:val="0B651CEF"/>
    <w:rsid w:val="0B772A1C"/>
    <w:rsid w:val="0C275A89"/>
    <w:rsid w:val="0C4C4A10"/>
    <w:rsid w:val="0C5178DA"/>
    <w:rsid w:val="0CBB5882"/>
    <w:rsid w:val="0D20436B"/>
    <w:rsid w:val="0D531CDF"/>
    <w:rsid w:val="0DC6629D"/>
    <w:rsid w:val="0DCA3125"/>
    <w:rsid w:val="0DCE08EE"/>
    <w:rsid w:val="0E0E36CF"/>
    <w:rsid w:val="0E301D85"/>
    <w:rsid w:val="0E416A77"/>
    <w:rsid w:val="0E5306B0"/>
    <w:rsid w:val="0E7B7367"/>
    <w:rsid w:val="0EA34036"/>
    <w:rsid w:val="0EB63F9D"/>
    <w:rsid w:val="0F0770E4"/>
    <w:rsid w:val="0F2904D1"/>
    <w:rsid w:val="0F3B1FB3"/>
    <w:rsid w:val="0F4F733E"/>
    <w:rsid w:val="0F54794B"/>
    <w:rsid w:val="0F6A354E"/>
    <w:rsid w:val="0F88478D"/>
    <w:rsid w:val="0FAC41C6"/>
    <w:rsid w:val="0FB73DA5"/>
    <w:rsid w:val="0FDE2587"/>
    <w:rsid w:val="101D1679"/>
    <w:rsid w:val="10353F21"/>
    <w:rsid w:val="10507757"/>
    <w:rsid w:val="10573134"/>
    <w:rsid w:val="10704ACD"/>
    <w:rsid w:val="107A1082"/>
    <w:rsid w:val="109E7189"/>
    <w:rsid w:val="111D1ABB"/>
    <w:rsid w:val="112B3E2A"/>
    <w:rsid w:val="11433684"/>
    <w:rsid w:val="115206FB"/>
    <w:rsid w:val="115D5086"/>
    <w:rsid w:val="117B2614"/>
    <w:rsid w:val="11891BF6"/>
    <w:rsid w:val="11990174"/>
    <w:rsid w:val="11B40613"/>
    <w:rsid w:val="11BE2022"/>
    <w:rsid w:val="11D83EA2"/>
    <w:rsid w:val="12050515"/>
    <w:rsid w:val="122510EE"/>
    <w:rsid w:val="12380A9C"/>
    <w:rsid w:val="12405481"/>
    <w:rsid w:val="12877BAC"/>
    <w:rsid w:val="128D1331"/>
    <w:rsid w:val="12C1355D"/>
    <w:rsid w:val="12C21534"/>
    <w:rsid w:val="12EF7289"/>
    <w:rsid w:val="130044B9"/>
    <w:rsid w:val="13096B4B"/>
    <w:rsid w:val="134D5A81"/>
    <w:rsid w:val="13561AB1"/>
    <w:rsid w:val="136E44BE"/>
    <w:rsid w:val="13AD46FD"/>
    <w:rsid w:val="13B2147E"/>
    <w:rsid w:val="13BF6991"/>
    <w:rsid w:val="13F95DC4"/>
    <w:rsid w:val="141C612A"/>
    <w:rsid w:val="142A3E2D"/>
    <w:rsid w:val="144A7973"/>
    <w:rsid w:val="145762E3"/>
    <w:rsid w:val="146E001E"/>
    <w:rsid w:val="14AD546B"/>
    <w:rsid w:val="14FB7DA2"/>
    <w:rsid w:val="1525714C"/>
    <w:rsid w:val="15861448"/>
    <w:rsid w:val="158710F3"/>
    <w:rsid w:val="15C772F3"/>
    <w:rsid w:val="15CE4C34"/>
    <w:rsid w:val="15F0775C"/>
    <w:rsid w:val="160A00B1"/>
    <w:rsid w:val="160A0AD0"/>
    <w:rsid w:val="165B6F79"/>
    <w:rsid w:val="166E5EB0"/>
    <w:rsid w:val="169923E1"/>
    <w:rsid w:val="16D127A1"/>
    <w:rsid w:val="16F50974"/>
    <w:rsid w:val="16F614E7"/>
    <w:rsid w:val="173D2841"/>
    <w:rsid w:val="176F3A30"/>
    <w:rsid w:val="17AC1CA0"/>
    <w:rsid w:val="17C4379B"/>
    <w:rsid w:val="1820060E"/>
    <w:rsid w:val="18205BA9"/>
    <w:rsid w:val="18370FAA"/>
    <w:rsid w:val="18383EAD"/>
    <w:rsid w:val="187501F6"/>
    <w:rsid w:val="188D7D42"/>
    <w:rsid w:val="18C45643"/>
    <w:rsid w:val="195E155B"/>
    <w:rsid w:val="195E346D"/>
    <w:rsid w:val="197B401F"/>
    <w:rsid w:val="19AA702C"/>
    <w:rsid w:val="19E24CAD"/>
    <w:rsid w:val="19EA3B90"/>
    <w:rsid w:val="1A0C41D1"/>
    <w:rsid w:val="1A336BE7"/>
    <w:rsid w:val="1A4572C8"/>
    <w:rsid w:val="1A612D7C"/>
    <w:rsid w:val="1A807E72"/>
    <w:rsid w:val="1A8A2A47"/>
    <w:rsid w:val="1AA72BF2"/>
    <w:rsid w:val="1AE33FE9"/>
    <w:rsid w:val="1B16166A"/>
    <w:rsid w:val="1B5E3332"/>
    <w:rsid w:val="1BB93E83"/>
    <w:rsid w:val="1BC644B6"/>
    <w:rsid w:val="1BDA70E9"/>
    <w:rsid w:val="1BE91714"/>
    <w:rsid w:val="1C1A14B0"/>
    <w:rsid w:val="1C613AB1"/>
    <w:rsid w:val="1C8C0466"/>
    <w:rsid w:val="1D0121D0"/>
    <w:rsid w:val="1D5B524F"/>
    <w:rsid w:val="1D5E7569"/>
    <w:rsid w:val="1D6D3522"/>
    <w:rsid w:val="1DBE7F5B"/>
    <w:rsid w:val="1DCA2EF0"/>
    <w:rsid w:val="1DF25773"/>
    <w:rsid w:val="1DFA7416"/>
    <w:rsid w:val="1E6432D4"/>
    <w:rsid w:val="1E852BA7"/>
    <w:rsid w:val="1F0028D1"/>
    <w:rsid w:val="1F3B2A4F"/>
    <w:rsid w:val="1F474868"/>
    <w:rsid w:val="1F674314"/>
    <w:rsid w:val="1F883C9F"/>
    <w:rsid w:val="1F9000F9"/>
    <w:rsid w:val="1FAB2A10"/>
    <w:rsid w:val="1FB94E27"/>
    <w:rsid w:val="1FDB2097"/>
    <w:rsid w:val="1FF41576"/>
    <w:rsid w:val="200A5653"/>
    <w:rsid w:val="20554749"/>
    <w:rsid w:val="20AF20C5"/>
    <w:rsid w:val="20CB786C"/>
    <w:rsid w:val="20ED7306"/>
    <w:rsid w:val="20F96916"/>
    <w:rsid w:val="211106C5"/>
    <w:rsid w:val="21431785"/>
    <w:rsid w:val="219E251A"/>
    <w:rsid w:val="21AD0E84"/>
    <w:rsid w:val="21B225A8"/>
    <w:rsid w:val="21BE3C5A"/>
    <w:rsid w:val="21C24F4B"/>
    <w:rsid w:val="22071464"/>
    <w:rsid w:val="22284619"/>
    <w:rsid w:val="2232235C"/>
    <w:rsid w:val="2281032E"/>
    <w:rsid w:val="22B61C24"/>
    <w:rsid w:val="22E66E75"/>
    <w:rsid w:val="23291785"/>
    <w:rsid w:val="23710488"/>
    <w:rsid w:val="23BB002C"/>
    <w:rsid w:val="23C33515"/>
    <w:rsid w:val="23F1680C"/>
    <w:rsid w:val="243E15D5"/>
    <w:rsid w:val="24551238"/>
    <w:rsid w:val="246D0C9C"/>
    <w:rsid w:val="24C438EE"/>
    <w:rsid w:val="250C1FD0"/>
    <w:rsid w:val="25224672"/>
    <w:rsid w:val="25227A45"/>
    <w:rsid w:val="25250089"/>
    <w:rsid w:val="25252A8D"/>
    <w:rsid w:val="254A5A9B"/>
    <w:rsid w:val="259300DB"/>
    <w:rsid w:val="25D54115"/>
    <w:rsid w:val="25F72F27"/>
    <w:rsid w:val="26086C3B"/>
    <w:rsid w:val="260F4C55"/>
    <w:rsid w:val="26291B1A"/>
    <w:rsid w:val="267C3983"/>
    <w:rsid w:val="26C20F14"/>
    <w:rsid w:val="26D82BDE"/>
    <w:rsid w:val="26DC7FF3"/>
    <w:rsid w:val="26EB0757"/>
    <w:rsid w:val="26FD42C6"/>
    <w:rsid w:val="270101AC"/>
    <w:rsid w:val="274D71B2"/>
    <w:rsid w:val="2751147F"/>
    <w:rsid w:val="27897BCF"/>
    <w:rsid w:val="279C6957"/>
    <w:rsid w:val="27C03956"/>
    <w:rsid w:val="27D32B77"/>
    <w:rsid w:val="27D53C66"/>
    <w:rsid w:val="27DE5929"/>
    <w:rsid w:val="27E14C4C"/>
    <w:rsid w:val="27EF10DD"/>
    <w:rsid w:val="28333F85"/>
    <w:rsid w:val="28686312"/>
    <w:rsid w:val="286C62A1"/>
    <w:rsid w:val="28A069B8"/>
    <w:rsid w:val="28C2548D"/>
    <w:rsid w:val="28F72971"/>
    <w:rsid w:val="29072AAC"/>
    <w:rsid w:val="29AB2433"/>
    <w:rsid w:val="2A3073E0"/>
    <w:rsid w:val="2A7812C8"/>
    <w:rsid w:val="2A9F5945"/>
    <w:rsid w:val="2AE00186"/>
    <w:rsid w:val="2AE35535"/>
    <w:rsid w:val="2B496FA3"/>
    <w:rsid w:val="2BB024B4"/>
    <w:rsid w:val="2BB44292"/>
    <w:rsid w:val="2BC60F98"/>
    <w:rsid w:val="2BE131CE"/>
    <w:rsid w:val="2BE66FCE"/>
    <w:rsid w:val="2C066A1A"/>
    <w:rsid w:val="2C0B4AE6"/>
    <w:rsid w:val="2C3C2B6A"/>
    <w:rsid w:val="2C4542D3"/>
    <w:rsid w:val="2C8165FA"/>
    <w:rsid w:val="2C830AA3"/>
    <w:rsid w:val="2CAC7CBD"/>
    <w:rsid w:val="2CCC08A3"/>
    <w:rsid w:val="2D0A514C"/>
    <w:rsid w:val="2D1F486A"/>
    <w:rsid w:val="2D50069C"/>
    <w:rsid w:val="2D805324"/>
    <w:rsid w:val="2D857AF2"/>
    <w:rsid w:val="2DAA05D8"/>
    <w:rsid w:val="2DB235BF"/>
    <w:rsid w:val="2DC6496F"/>
    <w:rsid w:val="2DCF77B8"/>
    <w:rsid w:val="2E577392"/>
    <w:rsid w:val="2E8B1B62"/>
    <w:rsid w:val="2E970AE4"/>
    <w:rsid w:val="2EB227A5"/>
    <w:rsid w:val="2ECF6B4D"/>
    <w:rsid w:val="2EF33190"/>
    <w:rsid w:val="2EF42F7F"/>
    <w:rsid w:val="2F185C3B"/>
    <w:rsid w:val="2F5E00A3"/>
    <w:rsid w:val="2F644280"/>
    <w:rsid w:val="2F822BAC"/>
    <w:rsid w:val="301F6139"/>
    <w:rsid w:val="30641E74"/>
    <w:rsid w:val="306453B6"/>
    <w:rsid w:val="30810E1D"/>
    <w:rsid w:val="30B023A9"/>
    <w:rsid w:val="30B639B5"/>
    <w:rsid w:val="314067D8"/>
    <w:rsid w:val="314256C4"/>
    <w:rsid w:val="319F3C0F"/>
    <w:rsid w:val="31C84451"/>
    <w:rsid w:val="31DD2FE6"/>
    <w:rsid w:val="32613622"/>
    <w:rsid w:val="329F04E5"/>
    <w:rsid w:val="32D54349"/>
    <w:rsid w:val="32EB7033"/>
    <w:rsid w:val="32F9755F"/>
    <w:rsid w:val="331B2806"/>
    <w:rsid w:val="333214D1"/>
    <w:rsid w:val="3370495E"/>
    <w:rsid w:val="33A7303A"/>
    <w:rsid w:val="33CC0FC6"/>
    <w:rsid w:val="33DD0EAC"/>
    <w:rsid w:val="340A165C"/>
    <w:rsid w:val="34143D51"/>
    <w:rsid w:val="34237336"/>
    <w:rsid w:val="34302898"/>
    <w:rsid w:val="345B460B"/>
    <w:rsid w:val="34655037"/>
    <w:rsid w:val="348E2B4F"/>
    <w:rsid w:val="34EA50C0"/>
    <w:rsid w:val="35482A8B"/>
    <w:rsid w:val="35A63D7A"/>
    <w:rsid w:val="35C97D56"/>
    <w:rsid w:val="35EE5D6B"/>
    <w:rsid w:val="3637765B"/>
    <w:rsid w:val="363A3F05"/>
    <w:rsid w:val="365311E6"/>
    <w:rsid w:val="367112A8"/>
    <w:rsid w:val="36F2306C"/>
    <w:rsid w:val="370C260B"/>
    <w:rsid w:val="37376D9D"/>
    <w:rsid w:val="375445E4"/>
    <w:rsid w:val="376964D6"/>
    <w:rsid w:val="377177F2"/>
    <w:rsid w:val="377B454E"/>
    <w:rsid w:val="379C3619"/>
    <w:rsid w:val="38445F22"/>
    <w:rsid w:val="386B0EA1"/>
    <w:rsid w:val="38CC73F3"/>
    <w:rsid w:val="395B66C1"/>
    <w:rsid w:val="395F496C"/>
    <w:rsid w:val="396C0E37"/>
    <w:rsid w:val="39820C67"/>
    <w:rsid w:val="39AE15AC"/>
    <w:rsid w:val="39C50F72"/>
    <w:rsid w:val="39DF70D6"/>
    <w:rsid w:val="39E83FB4"/>
    <w:rsid w:val="3A153790"/>
    <w:rsid w:val="3A1F11A7"/>
    <w:rsid w:val="3A4D48B7"/>
    <w:rsid w:val="3A66582B"/>
    <w:rsid w:val="3A86575A"/>
    <w:rsid w:val="3B115AB0"/>
    <w:rsid w:val="3B293EF9"/>
    <w:rsid w:val="3B341FC1"/>
    <w:rsid w:val="3B6F11E8"/>
    <w:rsid w:val="3B732683"/>
    <w:rsid w:val="3B851216"/>
    <w:rsid w:val="3BB63255"/>
    <w:rsid w:val="3C274A6B"/>
    <w:rsid w:val="3C4A14EF"/>
    <w:rsid w:val="3C53008C"/>
    <w:rsid w:val="3C581599"/>
    <w:rsid w:val="3C8B7E22"/>
    <w:rsid w:val="3D0B4A9A"/>
    <w:rsid w:val="3DA349DC"/>
    <w:rsid w:val="3E3457B0"/>
    <w:rsid w:val="3E416D36"/>
    <w:rsid w:val="3E674ADE"/>
    <w:rsid w:val="3E9753EA"/>
    <w:rsid w:val="3EE41CB3"/>
    <w:rsid w:val="3F002F99"/>
    <w:rsid w:val="3F192702"/>
    <w:rsid w:val="3F2D2E17"/>
    <w:rsid w:val="3F5E71A0"/>
    <w:rsid w:val="3FAA346A"/>
    <w:rsid w:val="3FAB317E"/>
    <w:rsid w:val="3FD64E92"/>
    <w:rsid w:val="3FEF5D91"/>
    <w:rsid w:val="401C3B53"/>
    <w:rsid w:val="40602185"/>
    <w:rsid w:val="406D3C7A"/>
    <w:rsid w:val="40DD4529"/>
    <w:rsid w:val="40EC4756"/>
    <w:rsid w:val="41524DB6"/>
    <w:rsid w:val="41C041B9"/>
    <w:rsid w:val="41E371A6"/>
    <w:rsid w:val="42603601"/>
    <w:rsid w:val="426A0E03"/>
    <w:rsid w:val="427D695B"/>
    <w:rsid w:val="4290203A"/>
    <w:rsid w:val="42B01A80"/>
    <w:rsid w:val="42B540C6"/>
    <w:rsid w:val="42C05F1D"/>
    <w:rsid w:val="42C578F7"/>
    <w:rsid w:val="42DC5105"/>
    <w:rsid w:val="43124DBF"/>
    <w:rsid w:val="435C4BA0"/>
    <w:rsid w:val="439858E4"/>
    <w:rsid w:val="43B613AF"/>
    <w:rsid w:val="4410085A"/>
    <w:rsid w:val="44781DAA"/>
    <w:rsid w:val="44CA357E"/>
    <w:rsid w:val="452A12B9"/>
    <w:rsid w:val="455C4456"/>
    <w:rsid w:val="45634F1C"/>
    <w:rsid w:val="45B77CCE"/>
    <w:rsid w:val="45CF460B"/>
    <w:rsid w:val="45E27E1E"/>
    <w:rsid w:val="461D562C"/>
    <w:rsid w:val="46B67C74"/>
    <w:rsid w:val="470316C4"/>
    <w:rsid w:val="470923BB"/>
    <w:rsid w:val="47326B5E"/>
    <w:rsid w:val="47647DBB"/>
    <w:rsid w:val="476F4FDA"/>
    <w:rsid w:val="47802EE5"/>
    <w:rsid w:val="47AC7367"/>
    <w:rsid w:val="47B86B55"/>
    <w:rsid w:val="47BA5BC1"/>
    <w:rsid w:val="47C7285C"/>
    <w:rsid w:val="482A0307"/>
    <w:rsid w:val="487519F9"/>
    <w:rsid w:val="48CD3A8B"/>
    <w:rsid w:val="48CD4357"/>
    <w:rsid w:val="48DA5DBD"/>
    <w:rsid w:val="490421D8"/>
    <w:rsid w:val="497F756E"/>
    <w:rsid w:val="49FF2B43"/>
    <w:rsid w:val="4A0A5885"/>
    <w:rsid w:val="4ACA4AA7"/>
    <w:rsid w:val="4AD6576E"/>
    <w:rsid w:val="4AEC4BA7"/>
    <w:rsid w:val="4B045CDA"/>
    <w:rsid w:val="4B073A5C"/>
    <w:rsid w:val="4B44760D"/>
    <w:rsid w:val="4B513614"/>
    <w:rsid w:val="4B5C5D27"/>
    <w:rsid w:val="4B5E326D"/>
    <w:rsid w:val="4B692739"/>
    <w:rsid w:val="4B7B2E05"/>
    <w:rsid w:val="4B840ACD"/>
    <w:rsid w:val="4B8C42AD"/>
    <w:rsid w:val="4B8D35BB"/>
    <w:rsid w:val="4BB740D3"/>
    <w:rsid w:val="4BC774AF"/>
    <w:rsid w:val="4BF72474"/>
    <w:rsid w:val="4C22306E"/>
    <w:rsid w:val="4C4F0B45"/>
    <w:rsid w:val="4C6205A3"/>
    <w:rsid w:val="4C746529"/>
    <w:rsid w:val="4C86494C"/>
    <w:rsid w:val="4C892141"/>
    <w:rsid w:val="4D397B3D"/>
    <w:rsid w:val="4D775CC7"/>
    <w:rsid w:val="4DA969FC"/>
    <w:rsid w:val="4DB73FDD"/>
    <w:rsid w:val="4E16053E"/>
    <w:rsid w:val="4E451F2B"/>
    <w:rsid w:val="4E487C6D"/>
    <w:rsid w:val="4E7D7A28"/>
    <w:rsid w:val="4F066320"/>
    <w:rsid w:val="4F0C4606"/>
    <w:rsid w:val="4F4E6EBF"/>
    <w:rsid w:val="4F7D4C71"/>
    <w:rsid w:val="4FA26F09"/>
    <w:rsid w:val="4FCA7073"/>
    <w:rsid w:val="4FE259E9"/>
    <w:rsid w:val="501D7C2E"/>
    <w:rsid w:val="50212524"/>
    <w:rsid w:val="50914F3C"/>
    <w:rsid w:val="50A218B6"/>
    <w:rsid w:val="511B523C"/>
    <w:rsid w:val="512C7508"/>
    <w:rsid w:val="52321D93"/>
    <w:rsid w:val="52533FC1"/>
    <w:rsid w:val="529C7762"/>
    <w:rsid w:val="539809CB"/>
    <w:rsid w:val="53DA43C4"/>
    <w:rsid w:val="53E267AB"/>
    <w:rsid w:val="54136627"/>
    <w:rsid w:val="545D6F30"/>
    <w:rsid w:val="54D02C4B"/>
    <w:rsid w:val="550F29EB"/>
    <w:rsid w:val="55112B45"/>
    <w:rsid w:val="55351206"/>
    <w:rsid w:val="553E6CA6"/>
    <w:rsid w:val="55547DEE"/>
    <w:rsid w:val="555850DA"/>
    <w:rsid w:val="55653C63"/>
    <w:rsid w:val="558F79BB"/>
    <w:rsid w:val="55A649AE"/>
    <w:rsid w:val="55D93627"/>
    <w:rsid w:val="565A74E2"/>
    <w:rsid w:val="56602AF8"/>
    <w:rsid w:val="56661590"/>
    <w:rsid w:val="569D1848"/>
    <w:rsid w:val="56B13A64"/>
    <w:rsid w:val="56BA3AA0"/>
    <w:rsid w:val="56CF6D97"/>
    <w:rsid w:val="56D66689"/>
    <w:rsid w:val="570E46A2"/>
    <w:rsid w:val="57847C36"/>
    <w:rsid w:val="57853398"/>
    <w:rsid w:val="57C74156"/>
    <w:rsid w:val="57D4349D"/>
    <w:rsid w:val="57DE4FF5"/>
    <w:rsid w:val="581B78EF"/>
    <w:rsid w:val="585E08E2"/>
    <w:rsid w:val="5867454D"/>
    <w:rsid w:val="586A742C"/>
    <w:rsid w:val="587E2A9C"/>
    <w:rsid w:val="5881039C"/>
    <w:rsid w:val="588F1F45"/>
    <w:rsid w:val="58C134D7"/>
    <w:rsid w:val="58C94C3F"/>
    <w:rsid w:val="591E42EB"/>
    <w:rsid w:val="592A1676"/>
    <w:rsid w:val="5986548D"/>
    <w:rsid w:val="59941FB8"/>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E112EF"/>
    <w:rsid w:val="5DF734B0"/>
    <w:rsid w:val="5DF76356"/>
    <w:rsid w:val="5E2775BD"/>
    <w:rsid w:val="5E504C73"/>
    <w:rsid w:val="5E853EBA"/>
    <w:rsid w:val="5E985E8A"/>
    <w:rsid w:val="5F0604EF"/>
    <w:rsid w:val="5FB455AB"/>
    <w:rsid w:val="5FD8479E"/>
    <w:rsid w:val="5FEF4FD0"/>
    <w:rsid w:val="5FF11588"/>
    <w:rsid w:val="60585DBB"/>
    <w:rsid w:val="60803325"/>
    <w:rsid w:val="608A3DEF"/>
    <w:rsid w:val="60DA29A7"/>
    <w:rsid w:val="61374D95"/>
    <w:rsid w:val="61394E2C"/>
    <w:rsid w:val="616E7593"/>
    <w:rsid w:val="61B056D3"/>
    <w:rsid w:val="61C8132B"/>
    <w:rsid w:val="621C7A8F"/>
    <w:rsid w:val="62F048E9"/>
    <w:rsid w:val="62F475B6"/>
    <w:rsid w:val="630C6A64"/>
    <w:rsid w:val="63847100"/>
    <w:rsid w:val="63964CCA"/>
    <w:rsid w:val="6399764D"/>
    <w:rsid w:val="63F44853"/>
    <w:rsid w:val="64F241A3"/>
    <w:rsid w:val="652A2E44"/>
    <w:rsid w:val="654E4849"/>
    <w:rsid w:val="65686657"/>
    <w:rsid w:val="659F2B52"/>
    <w:rsid w:val="65A837AF"/>
    <w:rsid w:val="65AA30AF"/>
    <w:rsid w:val="65BD69EB"/>
    <w:rsid w:val="65C06703"/>
    <w:rsid w:val="662F5543"/>
    <w:rsid w:val="664977CF"/>
    <w:rsid w:val="667B0788"/>
    <w:rsid w:val="669E00DF"/>
    <w:rsid w:val="66C719F1"/>
    <w:rsid w:val="66EC4975"/>
    <w:rsid w:val="67016B09"/>
    <w:rsid w:val="67881188"/>
    <w:rsid w:val="67CE3BD9"/>
    <w:rsid w:val="68010E54"/>
    <w:rsid w:val="681B27B3"/>
    <w:rsid w:val="683116BC"/>
    <w:rsid w:val="683410E1"/>
    <w:rsid w:val="683D038E"/>
    <w:rsid w:val="68707986"/>
    <w:rsid w:val="688F3871"/>
    <w:rsid w:val="68D47E36"/>
    <w:rsid w:val="68E74072"/>
    <w:rsid w:val="69173BDC"/>
    <w:rsid w:val="692E081B"/>
    <w:rsid w:val="695951C8"/>
    <w:rsid w:val="696C03D9"/>
    <w:rsid w:val="69BD4674"/>
    <w:rsid w:val="6A036769"/>
    <w:rsid w:val="6A52291B"/>
    <w:rsid w:val="6A7B10E5"/>
    <w:rsid w:val="6A817F02"/>
    <w:rsid w:val="6AAD3E42"/>
    <w:rsid w:val="6ACC38AB"/>
    <w:rsid w:val="6AFD3370"/>
    <w:rsid w:val="6B0845B4"/>
    <w:rsid w:val="6B351E6F"/>
    <w:rsid w:val="6B7A4051"/>
    <w:rsid w:val="6BE14999"/>
    <w:rsid w:val="6BFB5FD1"/>
    <w:rsid w:val="6BFF6466"/>
    <w:rsid w:val="6D12175F"/>
    <w:rsid w:val="6D1F5AF0"/>
    <w:rsid w:val="6D3113B3"/>
    <w:rsid w:val="6D6535F8"/>
    <w:rsid w:val="6DC25164"/>
    <w:rsid w:val="6E254B81"/>
    <w:rsid w:val="6E44272A"/>
    <w:rsid w:val="6E5E2FB2"/>
    <w:rsid w:val="6EA91C0A"/>
    <w:rsid w:val="6F3657AD"/>
    <w:rsid w:val="6F4034D9"/>
    <w:rsid w:val="6F59436E"/>
    <w:rsid w:val="6F927414"/>
    <w:rsid w:val="6F974373"/>
    <w:rsid w:val="6FA8405E"/>
    <w:rsid w:val="6FC74058"/>
    <w:rsid w:val="6FE518A1"/>
    <w:rsid w:val="70040E87"/>
    <w:rsid w:val="700C0F2F"/>
    <w:rsid w:val="704871A4"/>
    <w:rsid w:val="70592DFA"/>
    <w:rsid w:val="70694F36"/>
    <w:rsid w:val="70880C5C"/>
    <w:rsid w:val="70901A28"/>
    <w:rsid w:val="70B523D0"/>
    <w:rsid w:val="70DD3906"/>
    <w:rsid w:val="71235CA4"/>
    <w:rsid w:val="71690108"/>
    <w:rsid w:val="719B076B"/>
    <w:rsid w:val="71FF79BE"/>
    <w:rsid w:val="72C32A8C"/>
    <w:rsid w:val="73393BC2"/>
    <w:rsid w:val="73662BEC"/>
    <w:rsid w:val="737B44DB"/>
    <w:rsid w:val="73C3376E"/>
    <w:rsid w:val="74262B1B"/>
    <w:rsid w:val="744D11B3"/>
    <w:rsid w:val="74A6094A"/>
    <w:rsid w:val="74AF5DF6"/>
    <w:rsid w:val="74CC21DF"/>
    <w:rsid w:val="74E16F35"/>
    <w:rsid w:val="75062ACB"/>
    <w:rsid w:val="75532D3D"/>
    <w:rsid w:val="7578286F"/>
    <w:rsid w:val="75846316"/>
    <w:rsid w:val="761F2330"/>
    <w:rsid w:val="763F26D5"/>
    <w:rsid w:val="764D0528"/>
    <w:rsid w:val="7688510D"/>
    <w:rsid w:val="76BB24DB"/>
    <w:rsid w:val="76BE5769"/>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7F672E"/>
    <w:rsid w:val="79BE0E38"/>
    <w:rsid w:val="79CB3DE1"/>
    <w:rsid w:val="79F944AF"/>
    <w:rsid w:val="7A20424A"/>
    <w:rsid w:val="7A4413F9"/>
    <w:rsid w:val="7A807E04"/>
    <w:rsid w:val="7AD5227E"/>
    <w:rsid w:val="7AE364A4"/>
    <w:rsid w:val="7AEA0E27"/>
    <w:rsid w:val="7B720AC6"/>
    <w:rsid w:val="7BAF6112"/>
    <w:rsid w:val="7BE934CD"/>
    <w:rsid w:val="7BFA6408"/>
    <w:rsid w:val="7C5859F2"/>
    <w:rsid w:val="7C735E4E"/>
    <w:rsid w:val="7CE70AB1"/>
    <w:rsid w:val="7D071AF5"/>
    <w:rsid w:val="7D4579F4"/>
    <w:rsid w:val="7D6E4798"/>
    <w:rsid w:val="7D7E7646"/>
    <w:rsid w:val="7DC26738"/>
    <w:rsid w:val="7DE9584E"/>
    <w:rsid w:val="7E972C19"/>
    <w:rsid w:val="7EBB2BFC"/>
    <w:rsid w:val="7F594F87"/>
    <w:rsid w:val="7F6E4E40"/>
    <w:rsid w:val="7F7E2419"/>
    <w:rsid w:val="7F856BE9"/>
    <w:rsid w:val="7F91674F"/>
    <w:rsid w:val="7FAA7590"/>
    <w:rsid w:val="7FEB7F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63"/>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103"/>
    <w:qFormat/>
    <w:uiPriority w:val="99"/>
    <w:pPr>
      <w:spacing w:before="260" w:after="260" w:line="416" w:lineRule="atLeast"/>
      <w:outlineLvl w:val="1"/>
    </w:pPr>
    <w:rPr>
      <w:rFonts w:ascii="Cambria" w:hAnsi="Cambria"/>
      <w:sz w:val="32"/>
      <w:szCs w:val="32"/>
    </w:rPr>
  </w:style>
  <w:style w:type="paragraph" w:styleId="4">
    <w:name w:val="heading 3"/>
    <w:basedOn w:val="1"/>
    <w:next w:val="5"/>
    <w:link w:val="113"/>
    <w:qFormat/>
    <w:uiPriority w:val="99"/>
    <w:pPr>
      <w:tabs>
        <w:tab w:val="left" w:pos="588"/>
      </w:tabs>
      <w:spacing w:line="360" w:lineRule="auto"/>
      <w:outlineLvl w:val="2"/>
    </w:pPr>
    <w:rPr>
      <w:rFonts w:ascii="Tahoma" w:hAnsi="Tahoma"/>
    </w:rPr>
  </w:style>
  <w:style w:type="paragraph" w:styleId="7">
    <w:name w:val="heading 4"/>
    <w:basedOn w:val="1"/>
    <w:next w:val="1"/>
    <w:link w:val="139"/>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2"/>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2"/>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2"/>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8"/>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4"/>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135"/>
    <w:qFormat/>
    <w:uiPriority w:val="0"/>
    <w:pPr>
      <w:spacing w:line="360" w:lineRule="auto"/>
      <w:ind w:firstLine="200" w:firstLineChars="200"/>
    </w:pPr>
    <w:rPr>
      <w:sz w:val="24"/>
      <w:szCs w:val="20"/>
    </w:rPr>
  </w:style>
  <w:style w:type="paragraph" w:styleId="6">
    <w:name w:val="toc 4"/>
    <w:basedOn w:val="1"/>
    <w:next w:val="1"/>
    <w:qFormat/>
    <w:uiPriority w:val="39"/>
    <w:pPr>
      <w:spacing w:line="440" w:lineRule="exact"/>
      <w:ind w:left="840"/>
      <w:jc w:val="left"/>
    </w:pPr>
    <w:rPr>
      <w:rFonts w:ascii="Calibri" w:hAnsi="Calibri"/>
      <w:sz w:val="18"/>
      <w:szCs w:val="18"/>
    </w:rPr>
  </w:style>
  <w:style w:type="paragraph" w:styleId="13">
    <w:name w:val="toc 7"/>
    <w:basedOn w:val="1"/>
    <w:next w:val="1"/>
    <w:qFormat/>
    <w:uiPriority w:val="39"/>
    <w:pPr>
      <w:spacing w:line="440" w:lineRule="exact"/>
      <w:ind w:left="1680"/>
      <w:jc w:val="left"/>
    </w:pPr>
    <w:rPr>
      <w:rFonts w:ascii="Calibri" w:hAnsi="Calibri"/>
      <w:sz w:val="18"/>
      <w:szCs w:val="18"/>
    </w:rPr>
  </w:style>
  <w:style w:type="paragraph" w:styleId="14">
    <w:name w:val="Note Heading"/>
    <w:basedOn w:val="15"/>
    <w:next w:val="15"/>
    <w:link w:val="199"/>
    <w:qFormat/>
    <w:uiPriority w:val="0"/>
    <w:rPr>
      <w:rFonts w:ascii="..ì." w:eastAsia="..ì." w:cs="Times New Roman"/>
      <w:color w:val="auto"/>
      <w:szCs w:val="20"/>
    </w:rPr>
  </w:style>
  <w:style w:type="paragraph" w:customStyle="1" w:styleId="15">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4"/>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29"/>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0"/>
    <w:qFormat/>
    <w:uiPriority w:val="0"/>
    <w:pPr>
      <w:jc w:val="left"/>
    </w:pPr>
    <w:rPr>
      <w:rFonts w:ascii="Tahoma" w:hAnsi="Tahoma"/>
    </w:rPr>
  </w:style>
  <w:style w:type="paragraph" w:styleId="21">
    <w:name w:val="Salutation"/>
    <w:basedOn w:val="15"/>
    <w:next w:val="15"/>
    <w:link w:val="198"/>
    <w:qFormat/>
    <w:uiPriority w:val="0"/>
    <w:rPr>
      <w:rFonts w:ascii="..ì." w:eastAsia="..ì." w:cs="Times New Roman"/>
      <w:color w:val="auto"/>
      <w:szCs w:val="20"/>
    </w:rPr>
  </w:style>
  <w:style w:type="paragraph" w:styleId="22">
    <w:name w:val="Body Text 3"/>
    <w:basedOn w:val="1"/>
    <w:link w:val="206"/>
    <w:qFormat/>
    <w:uiPriority w:val="99"/>
    <w:pPr>
      <w:spacing w:after="120"/>
    </w:pPr>
    <w:rPr>
      <w:rFonts w:eastAsia="宋体"/>
      <w:sz w:val="16"/>
      <w:szCs w:val="16"/>
    </w:rPr>
  </w:style>
  <w:style w:type="paragraph" w:styleId="23">
    <w:name w:val="Body Text"/>
    <w:basedOn w:val="1"/>
    <w:next w:val="1"/>
    <w:link w:val="133"/>
    <w:qFormat/>
    <w:uiPriority w:val="99"/>
    <w:pPr>
      <w:spacing w:line="360" w:lineRule="auto"/>
    </w:pPr>
    <w:rPr>
      <w:rFonts w:ascii="Tahoma" w:hAnsi="Tahoma"/>
    </w:rPr>
  </w:style>
  <w:style w:type="paragraph" w:styleId="24">
    <w:name w:val="Body Text Indent"/>
    <w:basedOn w:val="1"/>
    <w:link w:val="165"/>
    <w:qFormat/>
    <w:uiPriority w:val="99"/>
    <w:pPr>
      <w:widowControl/>
      <w:spacing w:line="360" w:lineRule="auto"/>
      <w:ind w:firstLine="709"/>
      <w:jc w:val="left"/>
    </w:pPr>
    <w:rPr>
      <w:rFonts w:ascii="Tahoma" w:hAnsi="Tahoma"/>
    </w:rPr>
  </w:style>
  <w:style w:type="paragraph" w:styleId="25">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qFormat/>
    <w:uiPriority w:val="0"/>
    <w:pPr>
      <w:numPr>
        <w:ilvl w:val="1"/>
        <w:numId w:val="1"/>
      </w:numPr>
      <w:spacing w:line="360" w:lineRule="auto"/>
    </w:pPr>
    <w:rPr>
      <w:sz w:val="24"/>
      <w:szCs w:val="28"/>
    </w:rPr>
  </w:style>
  <w:style w:type="paragraph" w:styleId="27">
    <w:name w:val="toc 5"/>
    <w:basedOn w:val="1"/>
    <w:next w:val="1"/>
    <w:qFormat/>
    <w:uiPriority w:val="39"/>
    <w:pPr>
      <w:spacing w:line="440" w:lineRule="exact"/>
      <w:ind w:left="1120"/>
      <w:jc w:val="left"/>
    </w:pPr>
    <w:rPr>
      <w:rFonts w:ascii="Calibri" w:hAnsi="Calibri"/>
      <w:sz w:val="18"/>
      <w:szCs w:val="18"/>
    </w:rPr>
  </w:style>
  <w:style w:type="paragraph" w:styleId="28">
    <w:name w:val="toc 3"/>
    <w:basedOn w:val="1"/>
    <w:next w:val="1"/>
    <w:qFormat/>
    <w:uiPriority w:val="39"/>
    <w:pPr>
      <w:tabs>
        <w:tab w:val="right" w:leader="dot" w:pos="8302"/>
      </w:tabs>
      <w:ind w:left="561"/>
      <w:jc w:val="left"/>
    </w:pPr>
    <w:rPr>
      <w:rFonts w:ascii="Calibri" w:hAnsi="Calibri"/>
      <w:iCs/>
      <w:sz w:val="20"/>
      <w:szCs w:val="20"/>
    </w:rPr>
  </w:style>
  <w:style w:type="paragraph" w:styleId="29">
    <w:name w:val="Plain Text"/>
    <w:basedOn w:val="1"/>
    <w:link w:val="220"/>
    <w:qFormat/>
    <w:uiPriority w:val="0"/>
    <w:pPr>
      <w:spacing w:line="360" w:lineRule="auto"/>
    </w:pPr>
    <w:rPr>
      <w:rFonts w:ascii="宋体" w:hAnsi="Courier New"/>
      <w:szCs w:val="21"/>
    </w:rPr>
  </w:style>
  <w:style w:type="paragraph" w:styleId="30">
    <w:name w:val="toc 8"/>
    <w:basedOn w:val="1"/>
    <w:next w:val="1"/>
    <w:qFormat/>
    <w:uiPriority w:val="39"/>
    <w:pPr>
      <w:spacing w:line="440" w:lineRule="exact"/>
      <w:ind w:left="1960"/>
      <w:jc w:val="left"/>
    </w:pPr>
    <w:rPr>
      <w:rFonts w:ascii="Calibri" w:hAnsi="Calibri"/>
      <w:sz w:val="18"/>
      <w:szCs w:val="18"/>
    </w:rPr>
  </w:style>
  <w:style w:type="paragraph" w:styleId="31">
    <w:name w:val="Date"/>
    <w:basedOn w:val="1"/>
    <w:next w:val="1"/>
    <w:link w:val="196"/>
    <w:qFormat/>
    <w:uiPriority w:val="99"/>
    <w:pPr>
      <w:spacing w:line="360" w:lineRule="auto"/>
      <w:ind w:left="2500" w:leftChars="2500"/>
    </w:pPr>
    <w:rPr>
      <w:rFonts w:ascii="Tahoma" w:hAnsi="Tahoma"/>
    </w:rPr>
  </w:style>
  <w:style w:type="paragraph" w:styleId="32">
    <w:name w:val="Body Text Indent 2"/>
    <w:basedOn w:val="1"/>
    <w:link w:val="161"/>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6"/>
    <w:qFormat/>
    <w:uiPriority w:val="0"/>
    <w:rPr>
      <w:sz w:val="18"/>
      <w:szCs w:val="18"/>
    </w:rPr>
  </w:style>
  <w:style w:type="paragraph" w:styleId="34">
    <w:name w:val="footer"/>
    <w:basedOn w:val="1"/>
    <w:link w:val="136"/>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09"/>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7"/>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3"/>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7"/>
    <w:unhideWhenUsed/>
    <w:qFormat/>
    <w:uiPriority w:val="99"/>
    <w:pPr>
      <w:spacing w:line="440" w:lineRule="exact"/>
    </w:pPr>
    <w:rPr>
      <w:b/>
      <w:bCs/>
      <w:sz w:val="24"/>
      <w:szCs w:val="28"/>
    </w:rPr>
  </w:style>
  <w:style w:type="paragraph" w:styleId="48">
    <w:name w:val="Body Text First Indent"/>
    <w:basedOn w:val="23"/>
    <w:next w:val="49"/>
    <w:link w:val="130"/>
    <w:qFormat/>
    <w:uiPriority w:val="0"/>
    <w:pPr>
      <w:spacing w:after="120" w:line="240" w:lineRule="auto"/>
      <w:ind w:firstLine="100" w:firstLineChars="100"/>
    </w:pPr>
  </w:style>
  <w:style w:type="paragraph" w:styleId="49">
    <w:name w:val="Body Text First Indent 2"/>
    <w:basedOn w:val="24"/>
    <w:next w:val="48"/>
    <w:link w:val="166"/>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character" w:customStyle="1" w:styleId="63">
    <w:name w:val="标题 1 Char"/>
    <w:link w:val="2"/>
    <w:qFormat/>
    <w:uiPriority w:val="0"/>
    <w:rPr>
      <w:rFonts w:ascii="Tahoma" w:hAnsi="Tahoma"/>
      <w:b/>
      <w:bCs/>
      <w:kern w:val="44"/>
      <w:sz w:val="24"/>
      <w:szCs w:val="44"/>
    </w:rPr>
  </w:style>
  <w:style w:type="paragraph" w:customStyle="1" w:styleId="6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5">
    <w:name w:val="列出段落2"/>
    <w:basedOn w:val="1"/>
    <w:unhideWhenUsed/>
    <w:qFormat/>
    <w:uiPriority w:val="0"/>
    <w:pPr>
      <w:ind w:firstLine="420" w:firstLineChars="200"/>
    </w:pPr>
  </w:style>
  <w:style w:type="paragraph" w:customStyle="1" w:styleId="66">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7">
    <w:name w:val="_Style 67"/>
    <w:basedOn w:val="1"/>
    <w:next w:val="68"/>
    <w:qFormat/>
    <w:uiPriority w:val="99"/>
    <w:pPr>
      <w:ind w:firstLine="420" w:firstLineChars="200"/>
    </w:pPr>
    <w:rPr>
      <w:rFonts w:ascii="Calibri" w:hAnsi="Calibri"/>
      <w:szCs w:val="22"/>
    </w:rPr>
  </w:style>
  <w:style w:type="paragraph" w:styleId="68">
    <w:name w:val="List Paragraph"/>
    <w:basedOn w:val="1"/>
    <w:qFormat/>
    <w:uiPriority w:val="34"/>
    <w:pPr>
      <w:ind w:firstLine="420" w:firstLineChars="200"/>
    </w:pPr>
    <w:rPr>
      <w:rFonts w:ascii="Calibri" w:hAnsi="Calibri" w:eastAsia="宋体"/>
      <w:szCs w:val="22"/>
    </w:rPr>
  </w:style>
  <w:style w:type="paragraph" w:customStyle="1" w:styleId="69">
    <w:name w:val="_Style 2"/>
    <w:basedOn w:val="1"/>
    <w:qFormat/>
    <w:uiPriority w:val="34"/>
    <w:pPr>
      <w:ind w:firstLine="420" w:firstLineChars="200"/>
    </w:pPr>
    <w:rPr>
      <w:rFonts w:ascii="Calibri" w:hAnsi="Calibri"/>
      <w:szCs w:val="22"/>
    </w:rPr>
  </w:style>
  <w:style w:type="paragraph" w:customStyle="1" w:styleId="70">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1">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2">
    <w:name w:val="封面落款"/>
    <w:basedOn w:val="1"/>
    <w:qFormat/>
    <w:uiPriority w:val="0"/>
    <w:pPr>
      <w:spacing w:line="360" w:lineRule="auto"/>
      <w:jc w:val="center"/>
    </w:pPr>
    <w:rPr>
      <w:rFonts w:ascii="Arial" w:hAnsi="Arial" w:eastAsia="黑体"/>
      <w:sz w:val="32"/>
      <w:szCs w:val="28"/>
    </w:rPr>
  </w:style>
  <w:style w:type="paragraph" w:customStyle="1" w:styleId="73">
    <w:name w:val="目录"/>
    <w:link w:val="105"/>
    <w:qFormat/>
    <w:uiPriority w:val="0"/>
    <w:pPr>
      <w:spacing w:before="156" w:after="156"/>
    </w:pPr>
    <w:rPr>
      <w:rFonts w:ascii="仿宋_GB2312" w:hAnsi="宋体" w:eastAsia="仿宋_GB2312" w:cs="Times New Roman"/>
      <w:sz w:val="28"/>
      <w:szCs w:val="28"/>
      <w:lang w:val="en-US" w:eastAsia="zh-CN" w:bidi="ar-SA"/>
    </w:rPr>
  </w:style>
  <w:style w:type="paragraph" w:customStyle="1" w:styleId="74">
    <w:name w:val="表格字体小四"/>
    <w:link w:val="104"/>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5">
    <w:name w:val="样式 标题 5 + 小四"/>
    <w:basedOn w:val="8"/>
    <w:qFormat/>
    <w:uiPriority w:val="0"/>
    <w:pPr>
      <w:tabs>
        <w:tab w:val="left" w:pos="567"/>
      </w:tabs>
      <w:wordWrap w:val="0"/>
      <w:spacing w:line="377" w:lineRule="auto"/>
      <w:ind w:left="567" w:hanging="567"/>
      <w:jc w:val="left"/>
    </w:pPr>
  </w:style>
  <w:style w:type="paragraph" w:customStyle="1" w:styleId="76">
    <w:name w:val="表格格式"/>
    <w:basedOn w:val="1"/>
    <w:qFormat/>
    <w:uiPriority w:val="0"/>
    <w:pPr>
      <w:adjustRightInd w:val="0"/>
      <w:snapToGrid w:val="0"/>
      <w:jc w:val="left"/>
      <w:textAlignment w:val="baseline"/>
    </w:pPr>
    <w:rPr>
      <w:rFonts w:ascii="宋体"/>
      <w:kern w:val="0"/>
      <w:szCs w:val="20"/>
    </w:rPr>
  </w:style>
  <w:style w:type="paragraph" w:customStyle="1" w:styleId="77">
    <w:name w:val="样式5"/>
    <w:basedOn w:val="5"/>
    <w:qFormat/>
    <w:uiPriority w:val="0"/>
    <w:pPr>
      <w:ind w:firstLine="420"/>
    </w:pPr>
    <w:rPr>
      <w:sz w:val="21"/>
      <w:szCs w:val="21"/>
    </w:rPr>
  </w:style>
  <w:style w:type="paragraph" w:customStyle="1" w:styleId="78">
    <w:name w:val="标题2"/>
    <w:basedOn w:val="3"/>
    <w:next w:val="1"/>
    <w:link w:val="95"/>
    <w:qFormat/>
    <w:uiPriority w:val="0"/>
    <w:pPr>
      <w:widowControl/>
      <w:spacing w:beforeLines="10" w:afterLines="10" w:line="240" w:lineRule="auto"/>
      <w:jc w:val="left"/>
    </w:pPr>
    <w:rPr>
      <w:rFonts w:ascii="Times New Roman" w:hAnsi="Times New Roman" w:eastAsia="黑体"/>
      <w:b/>
      <w:bCs/>
      <w:szCs w:val="24"/>
    </w:rPr>
  </w:style>
  <w:style w:type="paragraph" w:customStyle="1" w:styleId="79">
    <w:name w:val="三级"/>
    <w:basedOn w:val="3"/>
    <w:link w:val="106"/>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0">
    <w:name w:val="样式2"/>
    <w:basedOn w:val="1"/>
    <w:link w:val="118"/>
    <w:qFormat/>
    <w:uiPriority w:val="0"/>
    <w:pPr>
      <w:spacing w:line="300" w:lineRule="auto"/>
      <w:jc w:val="center"/>
      <w:outlineLvl w:val="0"/>
    </w:pPr>
    <w:rPr>
      <w:b/>
      <w:sz w:val="24"/>
    </w:rPr>
  </w:style>
  <w:style w:type="paragraph" w:customStyle="1" w:styleId="81">
    <w:name w:val="Char1"/>
    <w:basedOn w:val="1"/>
    <w:qFormat/>
    <w:uiPriority w:val="0"/>
    <w:pPr>
      <w:adjustRightInd w:val="0"/>
      <w:spacing w:line="360" w:lineRule="auto"/>
    </w:pPr>
    <w:rPr>
      <w:kern w:val="0"/>
      <w:sz w:val="24"/>
      <w:szCs w:val="20"/>
    </w:rPr>
  </w:style>
  <w:style w:type="paragraph" w:customStyle="1" w:styleId="82">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3">
    <w:name w:val="标题3"/>
    <w:basedOn w:val="4"/>
    <w:next w:val="1"/>
    <w:link w:val="138"/>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4">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5">
    <w:name w:val="表格标题"/>
    <w:basedOn w:val="16"/>
    <w:link w:val="131"/>
    <w:qFormat/>
    <w:uiPriority w:val="0"/>
    <w:pPr>
      <w:spacing w:before="152" w:after="160" w:line="420" w:lineRule="exact"/>
      <w:ind w:firstLine="480" w:firstLineChars="200"/>
      <w:jc w:val="center"/>
    </w:pPr>
    <w:rPr>
      <w:rFonts w:ascii="Arial" w:hAnsi="Arial" w:eastAsia="宋体"/>
      <w:sz w:val="24"/>
      <w:szCs w:val="24"/>
    </w:rPr>
  </w:style>
  <w:style w:type="paragraph" w:customStyle="1" w:styleId="86">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7">
    <w:name w:val="图片"/>
    <w:basedOn w:val="1"/>
    <w:link w:val="120"/>
    <w:qFormat/>
    <w:uiPriority w:val="0"/>
    <w:pPr>
      <w:jc w:val="center"/>
    </w:pPr>
    <w:rPr>
      <w:sz w:val="28"/>
      <w:szCs w:val="28"/>
    </w:rPr>
  </w:style>
  <w:style w:type="paragraph" w:customStyle="1" w:styleId="88">
    <w:name w:val="正文首行缩进1"/>
    <w:basedOn w:val="23"/>
    <w:qFormat/>
    <w:uiPriority w:val="0"/>
    <w:pPr>
      <w:suppressAutoHyphens/>
      <w:spacing w:line="300" w:lineRule="auto"/>
      <w:ind w:left="426"/>
    </w:pPr>
    <w:rPr>
      <w:rFonts w:ascii="宋体" w:hAnsi="宋体"/>
      <w:szCs w:val="20"/>
    </w:rPr>
  </w:style>
  <w:style w:type="paragraph" w:customStyle="1" w:styleId="89">
    <w:name w:val="纯文本1"/>
    <w:basedOn w:val="1"/>
    <w:qFormat/>
    <w:uiPriority w:val="0"/>
    <w:rPr>
      <w:rFonts w:ascii="宋体" w:hAnsi="Courier New"/>
    </w:rPr>
  </w:style>
  <w:style w:type="paragraph" w:customStyle="1" w:styleId="90">
    <w:name w:val="样式 首行不缩进"/>
    <w:basedOn w:val="1"/>
    <w:qFormat/>
    <w:uiPriority w:val="0"/>
    <w:pPr>
      <w:spacing w:before="120" w:after="120" w:line="360" w:lineRule="auto"/>
      <w:jc w:val="center"/>
    </w:pPr>
    <w:rPr>
      <w:rFonts w:cs="宋体"/>
      <w:sz w:val="24"/>
      <w:szCs w:val="20"/>
    </w:rPr>
  </w:style>
  <w:style w:type="paragraph" w:customStyle="1" w:styleId="91">
    <w:name w:val="图题"/>
    <w:link w:val="114"/>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2">
    <w:name w:val="小列表"/>
    <w:basedOn w:val="1"/>
    <w:link w:val="98"/>
    <w:qFormat/>
    <w:uiPriority w:val="0"/>
    <w:pPr>
      <w:numPr>
        <w:ilvl w:val="0"/>
        <w:numId w:val="2"/>
      </w:numPr>
      <w:autoSpaceDE w:val="0"/>
      <w:autoSpaceDN w:val="0"/>
      <w:spacing w:line="440" w:lineRule="exact"/>
      <w:ind w:firstLine="0"/>
    </w:pPr>
    <w:rPr>
      <w:sz w:val="24"/>
      <w:szCs w:val="28"/>
    </w:rPr>
  </w:style>
  <w:style w:type="paragraph" w:customStyle="1" w:styleId="93">
    <w:name w:val="表格正文"/>
    <w:basedOn w:val="1"/>
    <w:qFormat/>
    <w:uiPriority w:val="0"/>
    <w:pPr>
      <w:widowControl/>
      <w:snapToGrid w:val="0"/>
      <w:spacing w:before="60" w:after="60"/>
      <w:ind w:left="11"/>
      <w:jc w:val="center"/>
    </w:pPr>
    <w:rPr>
      <w:kern w:val="0"/>
      <w:szCs w:val="21"/>
    </w:rPr>
  </w:style>
  <w:style w:type="character" w:customStyle="1" w:styleId="94">
    <w:name w:val="题注 Char"/>
    <w:link w:val="16"/>
    <w:qFormat/>
    <w:uiPriority w:val="0"/>
    <w:rPr>
      <w:rFonts w:ascii="华文中宋" w:eastAsia="华文中宋"/>
      <w:kern w:val="2"/>
      <w:sz w:val="36"/>
    </w:rPr>
  </w:style>
  <w:style w:type="character" w:customStyle="1" w:styleId="95">
    <w:name w:val="标题2 Char Char"/>
    <w:link w:val="78"/>
    <w:qFormat/>
    <w:uiPriority w:val="0"/>
    <w:rPr>
      <w:rFonts w:eastAsia="黑体"/>
      <w:kern w:val="2"/>
      <w:sz w:val="32"/>
      <w:szCs w:val="24"/>
    </w:rPr>
  </w:style>
  <w:style w:type="character" w:customStyle="1" w:styleId="96">
    <w:name w:val="批注框文本 Char"/>
    <w:link w:val="33"/>
    <w:qFormat/>
    <w:uiPriority w:val="0"/>
    <w:rPr>
      <w:kern w:val="2"/>
      <w:sz w:val="18"/>
      <w:szCs w:val="18"/>
    </w:rPr>
  </w:style>
  <w:style w:type="character" w:customStyle="1" w:styleId="97">
    <w:name w:val="refresh"/>
    <w:basedOn w:val="52"/>
    <w:qFormat/>
    <w:uiPriority w:val="0"/>
  </w:style>
  <w:style w:type="character" w:customStyle="1" w:styleId="98">
    <w:name w:val="小列表 Char Char"/>
    <w:link w:val="92"/>
    <w:qFormat/>
    <w:uiPriority w:val="0"/>
    <w:rPr>
      <w:rFonts w:ascii="Times New Roman" w:hAnsi="Times New Roman" w:eastAsia="Arial Unicode MS" w:cs="Times New Roman"/>
      <w:kern w:val="2"/>
      <w:sz w:val="24"/>
      <w:szCs w:val="28"/>
    </w:rPr>
  </w:style>
  <w:style w:type="character" w:customStyle="1" w:styleId="99">
    <w:name w:val="del"/>
    <w:basedOn w:val="52"/>
    <w:qFormat/>
    <w:uiPriority w:val="0"/>
  </w:style>
  <w:style w:type="character" w:customStyle="1" w:styleId="100">
    <w:name w:val="批注文字 Char1"/>
    <w:link w:val="20"/>
    <w:qFormat/>
    <w:uiPriority w:val="0"/>
    <w:rPr>
      <w:rFonts w:ascii="Tahoma" w:hAnsi="Tahoma"/>
      <w:kern w:val="2"/>
      <w:sz w:val="21"/>
      <w:szCs w:val="24"/>
    </w:rPr>
  </w:style>
  <w:style w:type="character" w:customStyle="1" w:styleId="101">
    <w:name w:val="正文缩进 Char1"/>
    <w:qFormat/>
    <w:uiPriority w:val="0"/>
    <w:rPr>
      <w:rFonts w:eastAsia="宋体"/>
      <w:kern w:val="2"/>
      <w:sz w:val="21"/>
      <w:szCs w:val="24"/>
      <w:lang w:val="en-US" w:eastAsia="zh-CN" w:bidi="ar-SA"/>
    </w:rPr>
  </w:style>
  <w:style w:type="character" w:customStyle="1" w:styleId="102">
    <w:name w:val="标题 5 Char"/>
    <w:link w:val="8"/>
    <w:qFormat/>
    <w:uiPriority w:val="99"/>
    <w:rPr>
      <w:b/>
      <w:bCs/>
      <w:kern w:val="2"/>
      <w:sz w:val="24"/>
      <w:szCs w:val="28"/>
    </w:rPr>
  </w:style>
  <w:style w:type="character" w:customStyle="1" w:styleId="103">
    <w:name w:val="标题 2 Char"/>
    <w:link w:val="3"/>
    <w:qFormat/>
    <w:uiPriority w:val="99"/>
    <w:rPr>
      <w:rFonts w:ascii="Cambria" w:hAnsi="Cambria"/>
      <w:b/>
      <w:bCs/>
      <w:kern w:val="2"/>
      <w:sz w:val="32"/>
      <w:szCs w:val="32"/>
    </w:rPr>
  </w:style>
  <w:style w:type="character" w:customStyle="1" w:styleId="104">
    <w:name w:val="表格字体小四 Char Char"/>
    <w:link w:val="74"/>
    <w:qFormat/>
    <w:uiPriority w:val="0"/>
    <w:rPr>
      <w:kern w:val="2"/>
      <w:sz w:val="24"/>
      <w:szCs w:val="24"/>
      <w:lang w:val="en-US" w:eastAsia="zh-CN" w:bidi="ar-SA"/>
    </w:rPr>
  </w:style>
  <w:style w:type="character" w:customStyle="1" w:styleId="105">
    <w:name w:val="目录 Char Char"/>
    <w:link w:val="73"/>
    <w:qFormat/>
    <w:uiPriority w:val="0"/>
    <w:rPr>
      <w:rFonts w:ascii="仿宋_GB2312" w:hAnsi="宋体" w:eastAsia="仿宋_GB2312"/>
      <w:sz w:val="28"/>
      <w:szCs w:val="28"/>
      <w:lang w:val="en-US" w:eastAsia="zh-CN" w:bidi="ar-SA"/>
    </w:rPr>
  </w:style>
  <w:style w:type="character" w:customStyle="1" w:styleId="106">
    <w:name w:val="三级 Char Char"/>
    <w:link w:val="79"/>
    <w:qFormat/>
    <w:uiPriority w:val="0"/>
    <w:rPr>
      <w:rFonts w:eastAsia="黑体"/>
      <w:bCs/>
      <w:kern w:val="2"/>
      <w:sz w:val="30"/>
      <w:szCs w:val="24"/>
    </w:rPr>
  </w:style>
  <w:style w:type="character" w:customStyle="1" w:styleId="107">
    <w:name w:val="label"/>
    <w:basedOn w:val="52"/>
    <w:qFormat/>
    <w:uiPriority w:val="0"/>
  </w:style>
  <w:style w:type="character" w:customStyle="1" w:styleId="108">
    <w:name w:val="标题 8 Char"/>
    <w:link w:val="11"/>
    <w:qFormat/>
    <w:uiPriority w:val="99"/>
    <w:rPr>
      <w:rFonts w:ascii="Arial" w:hAnsi="Arial" w:eastAsia="黑体"/>
      <w:kern w:val="2"/>
      <w:sz w:val="24"/>
      <w:szCs w:val="28"/>
    </w:rPr>
  </w:style>
  <w:style w:type="character" w:customStyle="1" w:styleId="109">
    <w:name w:val="open2"/>
    <w:basedOn w:val="52"/>
    <w:qFormat/>
    <w:uiPriority w:val="0"/>
  </w:style>
  <w:style w:type="character" w:customStyle="1" w:styleId="110">
    <w:name w:val="15"/>
    <w:qFormat/>
    <w:uiPriority w:val="0"/>
    <w:rPr>
      <w:rFonts w:hint="default" w:ascii="Calibri" w:hAnsi="Calibri" w:cs="Calibri"/>
      <w:color w:val="0000FF"/>
      <w:u w:val="single"/>
    </w:rPr>
  </w:style>
  <w:style w:type="character" w:customStyle="1" w:styleId="111">
    <w:name w:val="trans"/>
    <w:basedOn w:val="52"/>
    <w:qFormat/>
    <w:uiPriority w:val="0"/>
  </w:style>
  <w:style w:type="character" w:customStyle="1" w:styleId="112">
    <w:name w:val="del2"/>
    <w:basedOn w:val="52"/>
    <w:qFormat/>
    <w:uiPriority w:val="0"/>
  </w:style>
  <w:style w:type="character" w:customStyle="1" w:styleId="113">
    <w:name w:val="标题 3 Char"/>
    <w:link w:val="4"/>
    <w:qFormat/>
    <w:uiPriority w:val="0"/>
    <w:rPr>
      <w:rFonts w:ascii="Tahoma" w:hAnsi="Tahoma"/>
      <w:b/>
      <w:bCs/>
      <w:kern w:val="2"/>
      <w:sz w:val="32"/>
      <w:szCs w:val="32"/>
    </w:rPr>
  </w:style>
  <w:style w:type="character" w:customStyle="1" w:styleId="114">
    <w:name w:val="图题 Char Char"/>
    <w:link w:val="91"/>
    <w:qFormat/>
    <w:uiPriority w:val="0"/>
    <w:rPr>
      <w:kern w:val="2"/>
      <w:sz w:val="24"/>
      <w:szCs w:val="24"/>
      <w:lang w:val="en-US" w:eastAsia="zh-CN" w:bidi="ar-SA"/>
    </w:rPr>
  </w:style>
  <w:style w:type="character" w:customStyle="1" w:styleId="115">
    <w:name w:val="pagelinks"/>
    <w:basedOn w:val="52"/>
    <w:qFormat/>
    <w:uiPriority w:val="0"/>
  </w:style>
  <w:style w:type="character" w:customStyle="1" w:styleId="116">
    <w:name w:val="morewin"/>
    <w:basedOn w:val="52"/>
    <w:qFormat/>
    <w:uiPriority w:val="0"/>
  </w:style>
  <w:style w:type="character" w:customStyle="1" w:styleId="117">
    <w:name w:val="open"/>
    <w:basedOn w:val="52"/>
    <w:qFormat/>
    <w:uiPriority w:val="0"/>
  </w:style>
  <w:style w:type="character" w:customStyle="1" w:styleId="118">
    <w:name w:val="样式2 Char Char"/>
    <w:link w:val="80"/>
    <w:qFormat/>
    <w:uiPriority w:val="0"/>
    <w:rPr>
      <w:b/>
      <w:kern w:val="2"/>
      <w:sz w:val="24"/>
      <w:szCs w:val="24"/>
    </w:rPr>
  </w:style>
  <w:style w:type="character" w:customStyle="1" w:styleId="119">
    <w:name w:val="批注文字 Char"/>
    <w:qFormat/>
    <w:uiPriority w:val="99"/>
    <w:rPr>
      <w:kern w:val="2"/>
      <w:sz w:val="24"/>
      <w:szCs w:val="28"/>
    </w:rPr>
  </w:style>
  <w:style w:type="character" w:customStyle="1" w:styleId="120">
    <w:name w:val="图片 Char Char"/>
    <w:link w:val="87"/>
    <w:qFormat/>
    <w:uiPriority w:val="0"/>
    <w:rPr>
      <w:kern w:val="2"/>
      <w:sz w:val="28"/>
      <w:szCs w:val="28"/>
    </w:rPr>
  </w:style>
  <w:style w:type="character" w:customStyle="1" w:styleId="121">
    <w:name w:val="页眉 Char"/>
    <w:link w:val="35"/>
    <w:qFormat/>
    <w:uiPriority w:val="99"/>
    <w:rPr>
      <w:rFonts w:ascii="Tahoma" w:hAnsi="Tahoma"/>
      <w:kern w:val="2"/>
      <w:sz w:val="18"/>
      <w:szCs w:val="18"/>
    </w:rPr>
  </w:style>
  <w:style w:type="character" w:customStyle="1" w:styleId="122">
    <w:name w:val="标题 7 Char"/>
    <w:link w:val="10"/>
    <w:qFormat/>
    <w:uiPriority w:val="99"/>
    <w:rPr>
      <w:b/>
      <w:bCs/>
      <w:kern w:val="2"/>
      <w:sz w:val="24"/>
      <w:szCs w:val="28"/>
    </w:rPr>
  </w:style>
  <w:style w:type="character" w:customStyle="1" w:styleId="123">
    <w:name w:val="标题 Char"/>
    <w:link w:val="46"/>
    <w:qFormat/>
    <w:uiPriority w:val="99"/>
    <w:rPr>
      <w:rFonts w:ascii="Cambria" w:hAnsi="Cambria"/>
      <w:b/>
      <w:bCs/>
      <w:kern w:val="2"/>
      <w:sz w:val="32"/>
      <w:szCs w:val="32"/>
    </w:rPr>
  </w:style>
  <w:style w:type="character" w:customStyle="1" w:styleId="124">
    <w:name w:val="标题 9 Char"/>
    <w:link w:val="12"/>
    <w:qFormat/>
    <w:uiPriority w:val="99"/>
    <w:rPr>
      <w:rFonts w:ascii="Arial" w:hAnsi="Arial" w:eastAsia="黑体"/>
      <w:kern w:val="2"/>
      <w:sz w:val="24"/>
      <w:szCs w:val="21"/>
    </w:rPr>
  </w:style>
  <w:style w:type="character" w:customStyle="1" w:styleId="125">
    <w:name w:val="error"/>
    <w:qFormat/>
    <w:uiPriority w:val="0"/>
    <w:rPr>
      <w:color w:val="CC0000"/>
    </w:rPr>
  </w:style>
  <w:style w:type="character" w:customStyle="1" w:styleId="126">
    <w:name w:val="add"/>
    <w:basedOn w:val="52"/>
    <w:qFormat/>
    <w:uiPriority w:val="0"/>
  </w:style>
  <w:style w:type="character" w:customStyle="1" w:styleId="127">
    <w:name w:val="批注主题 Char"/>
    <w:link w:val="47"/>
    <w:qFormat/>
    <w:uiPriority w:val="99"/>
    <w:rPr>
      <w:rFonts w:ascii="Tahoma" w:hAnsi="Tahoma"/>
      <w:b/>
      <w:bCs/>
      <w:kern w:val="2"/>
      <w:sz w:val="24"/>
      <w:szCs w:val="28"/>
    </w:rPr>
  </w:style>
  <w:style w:type="character" w:customStyle="1" w:styleId="128">
    <w:name w:val="pagebanner"/>
    <w:basedOn w:val="52"/>
    <w:qFormat/>
    <w:uiPriority w:val="0"/>
  </w:style>
  <w:style w:type="character" w:customStyle="1" w:styleId="129">
    <w:name w:val="文档结构图 Char"/>
    <w:link w:val="18"/>
    <w:qFormat/>
    <w:uiPriority w:val="99"/>
    <w:rPr>
      <w:rFonts w:ascii="宋体"/>
      <w:kern w:val="2"/>
      <w:sz w:val="18"/>
      <w:szCs w:val="18"/>
    </w:rPr>
  </w:style>
  <w:style w:type="character" w:customStyle="1" w:styleId="130">
    <w:name w:val="正文首行缩进 Char"/>
    <w:link w:val="48"/>
    <w:qFormat/>
    <w:uiPriority w:val="0"/>
    <w:rPr>
      <w:rFonts w:ascii="Tahoma" w:hAnsi="Tahoma"/>
      <w:kern w:val="2"/>
      <w:sz w:val="21"/>
      <w:szCs w:val="24"/>
    </w:rPr>
  </w:style>
  <w:style w:type="character" w:customStyle="1" w:styleId="131">
    <w:name w:val="表格标题 Char Char"/>
    <w:link w:val="85"/>
    <w:qFormat/>
    <w:uiPriority w:val="0"/>
    <w:rPr>
      <w:rFonts w:ascii="Arial" w:hAnsi="Arial" w:cs="Arial"/>
      <w:kern w:val="2"/>
      <w:sz w:val="24"/>
      <w:szCs w:val="24"/>
    </w:rPr>
  </w:style>
  <w:style w:type="character" w:customStyle="1" w:styleId="132">
    <w:name w:val="标题 6 Char"/>
    <w:link w:val="9"/>
    <w:qFormat/>
    <w:uiPriority w:val="99"/>
    <w:rPr>
      <w:rFonts w:ascii="Arial" w:hAnsi="Arial" w:eastAsia="黑体"/>
      <w:b/>
      <w:bCs/>
      <w:kern w:val="2"/>
      <w:sz w:val="24"/>
      <w:szCs w:val="28"/>
    </w:rPr>
  </w:style>
  <w:style w:type="character" w:customStyle="1" w:styleId="133">
    <w:name w:val="正文文本 Char"/>
    <w:link w:val="23"/>
    <w:qFormat/>
    <w:uiPriority w:val="99"/>
    <w:rPr>
      <w:rFonts w:ascii="Tahoma" w:hAnsi="Tahoma"/>
      <w:kern w:val="2"/>
      <w:sz w:val="21"/>
      <w:szCs w:val="24"/>
    </w:rPr>
  </w:style>
  <w:style w:type="character" w:customStyle="1" w:styleId="134">
    <w:name w:val="10"/>
    <w:qFormat/>
    <w:uiPriority w:val="0"/>
    <w:rPr>
      <w:rFonts w:hint="default" w:ascii="Calibri" w:hAnsi="Calibri" w:cs="Calibri"/>
    </w:rPr>
  </w:style>
  <w:style w:type="character" w:customStyle="1" w:styleId="135">
    <w:name w:val="正文缩进 Char"/>
    <w:link w:val="5"/>
    <w:qFormat/>
    <w:uiPriority w:val="0"/>
    <w:rPr>
      <w:kern w:val="2"/>
      <w:sz w:val="24"/>
    </w:rPr>
  </w:style>
  <w:style w:type="character" w:customStyle="1" w:styleId="136">
    <w:name w:val="页脚 Char"/>
    <w:link w:val="34"/>
    <w:qFormat/>
    <w:uiPriority w:val="99"/>
    <w:rPr>
      <w:rFonts w:ascii="Tahoma" w:hAnsi="Tahoma"/>
      <w:kern w:val="2"/>
      <w:sz w:val="18"/>
      <w:szCs w:val="18"/>
    </w:rPr>
  </w:style>
  <w:style w:type="character" w:customStyle="1" w:styleId="137">
    <w:name w:val="mod"/>
    <w:basedOn w:val="52"/>
    <w:qFormat/>
    <w:uiPriority w:val="0"/>
  </w:style>
  <w:style w:type="character" w:customStyle="1" w:styleId="138">
    <w:name w:val="标题3 Char Char"/>
    <w:link w:val="83"/>
    <w:qFormat/>
    <w:uiPriority w:val="0"/>
    <w:rPr>
      <w:rFonts w:eastAsia="黑体"/>
      <w:kern w:val="2"/>
      <w:sz w:val="28"/>
      <w:szCs w:val="32"/>
    </w:rPr>
  </w:style>
  <w:style w:type="character" w:customStyle="1" w:styleId="139">
    <w:name w:val="标题 4 Char"/>
    <w:link w:val="7"/>
    <w:qFormat/>
    <w:uiPriority w:val="99"/>
    <w:rPr>
      <w:b/>
      <w:sz w:val="24"/>
      <w:szCs w:val="24"/>
    </w:rPr>
  </w:style>
  <w:style w:type="paragraph" w:customStyle="1" w:styleId="140">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1">
    <w:name w:val="redfilefwwh"/>
    <w:basedOn w:val="52"/>
    <w:qFormat/>
    <w:uiPriority w:val="0"/>
    <w:rPr>
      <w:color w:val="BA2636"/>
      <w:sz w:val="12"/>
      <w:szCs w:val="12"/>
    </w:rPr>
  </w:style>
  <w:style w:type="character" w:customStyle="1" w:styleId="142">
    <w:name w:val="gjfg"/>
    <w:basedOn w:val="52"/>
    <w:qFormat/>
    <w:uiPriority w:val="0"/>
  </w:style>
  <w:style w:type="character" w:customStyle="1" w:styleId="143">
    <w:name w:val="redfilenumber"/>
    <w:basedOn w:val="52"/>
    <w:qFormat/>
    <w:uiPriority w:val="0"/>
    <w:rPr>
      <w:color w:val="BA2636"/>
      <w:sz w:val="12"/>
      <w:szCs w:val="12"/>
    </w:rPr>
  </w:style>
  <w:style w:type="character" w:customStyle="1" w:styleId="144">
    <w:name w:val="qxdate"/>
    <w:basedOn w:val="52"/>
    <w:qFormat/>
    <w:uiPriority w:val="0"/>
    <w:rPr>
      <w:color w:val="333333"/>
      <w:sz w:val="12"/>
      <w:szCs w:val="12"/>
    </w:rPr>
  </w:style>
  <w:style w:type="character" w:customStyle="1" w:styleId="145">
    <w:name w:val="prev"/>
    <w:basedOn w:val="52"/>
    <w:qFormat/>
    <w:uiPriority w:val="0"/>
    <w:rPr>
      <w:rFonts w:ascii="微软雅黑" w:hAnsi="微软雅黑" w:eastAsia="微软雅黑" w:cs="微软雅黑"/>
      <w:sz w:val="14"/>
      <w:szCs w:val="14"/>
    </w:rPr>
  </w:style>
  <w:style w:type="character" w:customStyle="1" w:styleId="146">
    <w:name w:val="cfdate"/>
    <w:basedOn w:val="52"/>
    <w:qFormat/>
    <w:uiPriority w:val="0"/>
    <w:rPr>
      <w:color w:val="333333"/>
      <w:sz w:val="12"/>
      <w:szCs w:val="12"/>
    </w:rPr>
  </w:style>
  <w:style w:type="character" w:customStyle="1" w:styleId="147">
    <w:name w:val="displayarti"/>
    <w:basedOn w:val="52"/>
    <w:qFormat/>
    <w:uiPriority w:val="0"/>
    <w:rPr>
      <w:color w:val="FFFFFF"/>
      <w:shd w:val="clear" w:color="auto" w:fill="A00000"/>
    </w:rPr>
  </w:style>
  <w:style w:type="character" w:customStyle="1" w:styleId="148">
    <w:name w:val="next2"/>
    <w:basedOn w:val="52"/>
    <w:qFormat/>
    <w:uiPriority w:val="0"/>
    <w:rPr>
      <w:rFonts w:hint="eastAsia" w:ascii="微软雅黑" w:hAnsi="微软雅黑" w:eastAsia="微软雅黑" w:cs="微软雅黑"/>
      <w:sz w:val="14"/>
      <w:szCs w:val="14"/>
    </w:rPr>
  </w:style>
  <w:style w:type="character" w:customStyle="1" w:styleId="149">
    <w:name w:val="next3"/>
    <w:basedOn w:val="52"/>
    <w:qFormat/>
    <w:uiPriority w:val="0"/>
    <w:rPr>
      <w:color w:val="888888"/>
    </w:rPr>
  </w:style>
  <w:style w:type="character" w:customStyle="1" w:styleId="150">
    <w:name w:val="next"/>
    <w:basedOn w:val="52"/>
    <w:qFormat/>
    <w:uiPriority w:val="0"/>
    <w:rPr>
      <w:rFonts w:ascii="微软雅黑" w:hAnsi="微软雅黑" w:eastAsia="微软雅黑" w:cs="微软雅黑"/>
      <w:sz w:val="14"/>
      <w:szCs w:val="14"/>
    </w:rPr>
  </w:style>
  <w:style w:type="character" w:customStyle="1" w:styleId="151">
    <w:name w:val="prev1"/>
    <w:basedOn w:val="52"/>
    <w:qFormat/>
    <w:uiPriority w:val="0"/>
    <w:rPr>
      <w:color w:val="888888"/>
    </w:rPr>
  </w:style>
  <w:style w:type="paragraph" w:customStyle="1" w:styleId="152">
    <w:name w:val="Body text|21"/>
    <w:basedOn w:val="1"/>
    <w:link w:val="154"/>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3">
    <w:name w:val="Body text|2 + Spacing 0 pt"/>
    <w:basedOn w:val="154"/>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4">
    <w:name w:val="Body text|2_"/>
    <w:basedOn w:val="52"/>
    <w:link w:val="152"/>
    <w:qFormat/>
    <w:uiPriority w:val="0"/>
    <w:rPr>
      <w:rFonts w:ascii="PMingLiU" w:hAnsi="PMingLiU" w:eastAsia="PMingLiU" w:cs="PMingLiU"/>
      <w:spacing w:val="30"/>
    </w:rPr>
  </w:style>
  <w:style w:type="character" w:customStyle="1" w:styleId="155">
    <w:name w:val="Body text|2 + Spacing 3 pt"/>
    <w:basedOn w:val="154"/>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6">
    <w:name w:val="图文"/>
    <w:basedOn w:val="1"/>
    <w:qFormat/>
    <w:uiPriority w:val="0"/>
    <w:pPr>
      <w:adjustRightInd w:val="0"/>
      <w:snapToGrid w:val="0"/>
      <w:spacing w:after="50" w:line="360" w:lineRule="auto"/>
    </w:pPr>
    <w:rPr>
      <w:sz w:val="24"/>
    </w:rPr>
  </w:style>
  <w:style w:type="paragraph" w:customStyle="1" w:styleId="157">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58">
    <w:name w:val="Char"/>
    <w:basedOn w:val="1"/>
    <w:qFormat/>
    <w:uiPriority w:val="0"/>
    <w:rPr>
      <w:rFonts w:ascii="仿宋_GB2312" w:eastAsia="仿宋_GB2312"/>
      <w:b/>
      <w:sz w:val="32"/>
      <w:szCs w:val="32"/>
    </w:rPr>
  </w:style>
  <w:style w:type="paragraph" w:customStyle="1" w:styleId="159">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0">
    <w:name w:val="1"/>
    <w:basedOn w:val="1"/>
    <w:next w:val="24"/>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1">
    <w:name w:val="正文文本缩进 2 Char"/>
    <w:basedOn w:val="52"/>
    <w:link w:val="32"/>
    <w:qFormat/>
    <w:uiPriority w:val="99"/>
    <w:rPr>
      <w:rFonts w:ascii="Times New Roman" w:hAnsi="Times New Roman" w:eastAsia="宋体" w:cs="Times New Roman"/>
      <w:kern w:val="2"/>
      <w:sz w:val="24"/>
      <w:szCs w:val="30"/>
    </w:rPr>
  </w:style>
  <w:style w:type="paragraph" w:customStyle="1" w:styleId="1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3">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4">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5">
    <w:name w:val="正文文本缩进 Char"/>
    <w:basedOn w:val="52"/>
    <w:link w:val="24"/>
    <w:qFormat/>
    <w:uiPriority w:val="99"/>
    <w:rPr>
      <w:rFonts w:ascii="Tahoma" w:hAnsi="Tahoma" w:eastAsia="Arial Unicode MS" w:cs="Times New Roman"/>
      <w:kern w:val="2"/>
      <w:sz w:val="21"/>
      <w:szCs w:val="24"/>
    </w:rPr>
  </w:style>
  <w:style w:type="character" w:customStyle="1" w:styleId="166">
    <w:name w:val="正文首行缩进 2 Char"/>
    <w:basedOn w:val="165"/>
    <w:link w:val="49"/>
    <w:qFormat/>
    <w:uiPriority w:val="0"/>
    <w:rPr>
      <w:rFonts w:ascii="Times New Roman" w:hAnsi="Times New Roman" w:eastAsia="宋体" w:cs="Times New Roman"/>
      <w:kern w:val="2"/>
      <w:sz w:val="21"/>
      <w:szCs w:val="24"/>
    </w:rPr>
  </w:style>
  <w:style w:type="character" w:customStyle="1" w:styleId="167">
    <w:name w:val="正文文本 2 Char"/>
    <w:basedOn w:val="52"/>
    <w:link w:val="42"/>
    <w:qFormat/>
    <w:uiPriority w:val="99"/>
    <w:rPr>
      <w:rFonts w:ascii="宋体" w:hAnsi="Times New Roman" w:eastAsia="宋体" w:cs="Times New Roman"/>
      <w:kern w:val="2"/>
      <w:sz w:val="21"/>
    </w:rPr>
  </w:style>
  <w:style w:type="paragraph" w:customStyle="1" w:styleId="168">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69">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0">
    <w:name w:val="Char2"/>
    <w:qFormat/>
    <w:uiPriority w:val="0"/>
    <w:rPr>
      <w:rFonts w:ascii="Arial" w:hAnsi="Arial" w:eastAsia="黑体"/>
      <w:b/>
      <w:bCs/>
      <w:kern w:val="2"/>
      <w:sz w:val="32"/>
      <w:szCs w:val="32"/>
      <w:lang w:val="en-US" w:eastAsia="zh-CN" w:bidi="ar-SA"/>
    </w:rPr>
  </w:style>
  <w:style w:type="character" w:customStyle="1" w:styleId="171">
    <w:name w:val="样式 标题 2 + (符号) 宋体 小四 Char"/>
    <w:qFormat/>
    <w:uiPriority w:val="0"/>
    <w:rPr>
      <w:rFonts w:ascii="Arial" w:hAnsi="Arial" w:eastAsia="宋体"/>
      <w:b/>
      <w:bCs/>
      <w:kern w:val="2"/>
      <w:sz w:val="24"/>
      <w:szCs w:val="32"/>
      <w:lang w:val="en-US" w:eastAsia="zh-CN" w:bidi="ar-SA"/>
    </w:rPr>
  </w:style>
  <w:style w:type="paragraph" w:customStyle="1" w:styleId="172">
    <w:name w:val="样式1"/>
    <w:basedOn w:val="1"/>
    <w:next w:val="4"/>
    <w:qFormat/>
    <w:uiPriority w:val="99"/>
    <w:rPr>
      <w:rFonts w:eastAsia="宋体"/>
      <w:sz w:val="24"/>
      <w:szCs w:val="20"/>
    </w:rPr>
  </w:style>
  <w:style w:type="paragraph" w:customStyle="1" w:styleId="173">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4">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5">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6">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7">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5">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6">
    <w:name w:val="日期 Char"/>
    <w:link w:val="31"/>
    <w:qFormat/>
    <w:uiPriority w:val="99"/>
    <w:rPr>
      <w:rFonts w:ascii="Tahoma" w:hAnsi="Tahoma" w:eastAsia="Arial Unicode MS" w:cs="Times New Roman"/>
      <w:kern w:val="2"/>
      <w:sz w:val="21"/>
      <w:szCs w:val="24"/>
    </w:rPr>
  </w:style>
  <w:style w:type="character" w:customStyle="1" w:styleId="197">
    <w:name w:val="Char Char"/>
    <w:qFormat/>
    <w:uiPriority w:val="0"/>
    <w:rPr>
      <w:rFonts w:eastAsia="宋体"/>
      <w:kern w:val="2"/>
      <w:sz w:val="24"/>
      <w:lang w:val="en-US" w:eastAsia="zh-CN" w:bidi="ar-SA"/>
    </w:rPr>
  </w:style>
  <w:style w:type="character" w:customStyle="1" w:styleId="198">
    <w:name w:val="称呼 Char"/>
    <w:basedOn w:val="52"/>
    <w:link w:val="21"/>
    <w:qFormat/>
    <w:uiPriority w:val="0"/>
    <w:rPr>
      <w:rFonts w:ascii="..ì." w:hAnsi="Times New Roman" w:eastAsia="..ì." w:cs="Times New Roman"/>
      <w:sz w:val="24"/>
    </w:rPr>
  </w:style>
  <w:style w:type="character" w:customStyle="1" w:styleId="199">
    <w:name w:val="注释标题 Char"/>
    <w:basedOn w:val="52"/>
    <w:link w:val="14"/>
    <w:qFormat/>
    <w:uiPriority w:val="0"/>
    <w:rPr>
      <w:rFonts w:ascii="..ì." w:hAnsi="Times New Roman" w:eastAsia="..ì." w:cs="Times New Roman"/>
      <w:sz w:val="24"/>
    </w:rPr>
  </w:style>
  <w:style w:type="paragraph" w:customStyle="1" w:styleId="200">
    <w:name w:val="1 Char Char Char Char"/>
    <w:basedOn w:val="1"/>
    <w:qFormat/>
    <w:uiPriority w:val="0"/>
    <w:rPr>
      <w:rFonts w:ascii="Tahoma" w:hAnsi="Tahoma" w:eastAsia="宋体"/>
      <w:sz w:val="24"/>
      <w:szCs w:val="20"/>
    </w:rPr>
  </w:style>
  <w:style w:type="paragraph" w:customStyle="1" w:styleId="20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2">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3">
    <w:name w:val="标题 1 Char1"/>
    <w:qFormat/>
    <w:uiPriority w:val="99"/>
    <w:rPr>
      <w:rFonts w:ascii="黑体" w:eastAsia="黑体"/>
      <w:sz w:val="52"/>
      <w:lang w:bidi="ar-SA"/>
    </w:rPr>
  </w:style>
  <w:style w:type="paragraph" w:customStyle="1" w:styleId="204">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05">
    <w:name w:val="3"/>
    <w:basedOn w:val="1"/>
    <w:next w:val="22"/>
    <w:qFormat/>
    <w:uiPriority w:val="99"/>
    <w:rPr>
      <w:rFonts w:ascii="宋体" w:eastAsia="宋体"/>
      <w:sz w:val="24"/>
      <w:szCs w:val="20"/>
    </w:rPr>
  </w:style>
  <w:style w:type="character" w:customStyle="1" w:styleId="206">
    <w:name w:val="正文文本 3 Char"/>
    <w:basedOn w:val="52"/>
    <w:link w:val="22"/>
    <w:qFormat/>
    <w:uiPriority w:val="99"/>
    <w:rPr>
      <w:rFonts w:ascii="Times New Roman" w:hAnsi="Times New Roman" w:eastAsia="宋体" w:cs="Times New Roman"/>
      <w:kern w:val="2"/>
      <w:sz w:val="16"/>
      <w:szCs w:val="16"/>
    </w:rPr>
  </w:style>
  <w:style w:type="paragraph" w:customStyle="1" w:styleId="207">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8">
    <w:name w:val="2"/>
    <w:basedOn w:val="1"/>
    <w:next w:val="24"/>
    <w:qFormat/>
    <w:uiPriority w:val="99"/>
    <w:pPr>
      <w:ind w:left="432"/>
    </w:pPr>
    <w:rPr>
      <w:rFonts w:eastAsia="宋体"/>
      <w:szCs w:val="20"/>
    </w:rPr>
  </w:style>
  <w:style w:type="character" w:customStyle="1" w:styleId="209">
    <w:name w:val="正文文本缩进 3 Char"/>
    <w:link w:val="39"/>
    <w:qFormat/>
    <w:uiPriority w:val="99"/>
    <w:rPr>
      <w:rFonts w:ascii="Times New Roman" w:hAnsi="Times New Roman" w:eastAsia="Arial Unicode MS" w:cs="Times New Roman"/>
      <w:kern w:val="2"/>
      <w:sz w:val="16"/>
      <w:szCs w:val="16"/>
    </w:rPr>
  </w:style>
  <w:style w:type="paragraph" w:customStyle="1" w:styleId="210">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1">
    <w:name w:val="Char1111"/>
    <w:basedOn w:val="1"/>
    <w:qFormat/>
    <w:uiPriority w:val="0"/>
    <w:rPr>
      <w:rFonts w:ascii="Tahoma" w:hAnsi="Tahoma" w:eastAsia="宋体"/>
      <w:sz w:val="24"/>
      <w:szCs w:val="20"/>
    </w:rPr>
  </w:style>
  <w:style w:type="character" w:customStyle="1" w:styleId="212">
    <w:name w:val="font161"/>
    <w:qFormat/>
    <w:uiPriority w:val="99"/>
    <w:rPr>
      <w:b/>
      <w:bCs/>
      <w:sz w:val="32"/>
      <w:szCs w:val="32"/>
    </w:rPr>
  </w:style>
  <w:style w:type="paragraph" w:customStyle="1" w:styleId="213">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4">
    <w:name w:val="表格"/>
    <w:basedOn w:val="1"/>
    <w:qFormat/>
    <w:uiPriority w:val="99"/>
    <w:pPr>
      <w:jc w:val="center"/>
      <w:textAlignment w:val="center"/>
    </w:pPr>
    <w:rPr>
      <w:rFonts w:ascii="华文细黑" w:hAnsi="华文细黑" w:eastAsia="宋体"/>
      <w:kern w:val="0"/>
      <w:szCs w:val="20"/>
    </w:rPr>
  </w:style>
  <w:style w:type="paragraph" w:customStyle="1" w:styleId="215">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6">
    <w:name w:val="XW正文"/>
    <w:basedOn w:val="24"/>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7">
    <w:name w:val="金安桥正文"/>
    <w:basedOn w:val="24"/>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8">
    <w:name w:val="样式 粉红"/>
    <w:qFormat/>
    <w:uiPriority w:val="99"/>
    <w:rPr>
      <w:color w:val="auto"/>
      <w:u w:val="none"/>
    </w:rPr>
  </w:style>
  <w:style w:type="character" w:customStyle="1" w:styleId="219">
    <w:name w:val="Char Char1"/>
    <w:qFormat/>
    <w:uiPriority w:val="0"/>
    <w:rPr>
      <w:rFonts w:eastAsia="宋体"/>
      <w:kern w:val="2"/>
      <w:sz w:val="24"/>
      <w:lang w:val="en-US" w:eastAsia="zh-CN" w:bidi="ar-SA"/>
    </w:rPr>
  </w:style>
  <w:style w:type="character" w:customStyle="1" w:styleId="220">
    <w:name w:val="纯文本 Char"/>
    <w:link w:val="29"/>
    <w:qFormat/>
    <w:uiPriority w:val="0"/>
    <w:rPr>
      <w:rFonts w:ascii="宋体" w:hAnsi="Courier New" w:eastAsia="Arial Unicode MS" w:cs="Times New Roman"/>
      <w:kern w:val="2"/>
      <w:sz w:val="21"/>
      <w:szCs w:val="21"/>
    </w:rPr>
  </w:style>
  <w:style w:type="paragraph" w:customStyle="1" w:styleId="221">
    <w:name w:val="Char Char Char Char"/>
    <w:basedOn w:val="1"/>
    <w:qFormat/>
    <w:uiPriority w:val="0"/>
    <w:pPr>
      <w:widowControl/>
      <w:spacing w:after="160" w:line="240" w:lineRule="exact"/>
      <w:jc w:val="left"/>
    </w:pPr>
    <w:rPr>
      <w:rFonts w:eastAsia="宋体"/>
      <w:szCs w:val="20"/>
    </w:rPr>
  </w:style>
  <w:style w:type="paragraph" w:customStyle="1" w:styleId="222">
    <w:name w:val="p17"/>
    <w:basedOn w:val="1"/>
    <w:qFormat/>
    <w:uiPriority w:val="99"/>
    <w:pPr>
      <w:widowControl/>
    </w:pPr>
    <w:rPr>
      <w:rFonts w:eastAsia="宋体"/>
      <w:kern w:val="0"/>
      <w:szCs w:val="21"/>
    </w:rPr>
  </w:style>
  <w:style w:type="character" w:customStyle="1" w:styleId="223">
    <w:name w:val="H4 Char"/>
    <w:qFormat/>
    <w:uiPriority w:val="0"/>
    <w:rPr>
      <w:b/>
      <w:sz w:val="28"/>
    </w:rPr>
  </w:style>
  <w:style w:type="character" w:customStyle="1" w:styleId="224">
    <w:name w:val="Char Char2"/>
    <w:qFormat/>
    <w:uiPriority w:val="0"/>
    <w:rPr>
      <w:rFonts w:eastAsia="宋体"/>
      <w:kern w:val="2"/>
      <w:sz w:val="24"/>
      <w:lang w:val="en-US" w:eastAsia="zh-CN" w:bidi="ar-SA"/>
    </w:rPr>
  </w:style>
  <w:style w:type="character" w:customStyle="1" w:styleId="225">
    <w:name w:val="Char Char111"/>
    <w:qFormat/>
    <w:uiPriority w:val="99"/>
    <w:rPr>
      <w:rFonts w:eastAsia="宋体"/>
      <w:kern w:val="2"/>
      <w:sz w:val="24"/>
      <w:lang w:val="en-US" w:eastAsia="zh-CN" w:bidi="ar-SA"/>
    </w:rPr>
  </w:style>
  <w:style w:type="paragraph" w:customStyle="1" w:styleId="226">
    <w:name w:val="Char Char Char Char111"/>
    <w:basedOn w:val="1"/>
    <w:qFormat/>
    <w:uiPriority w:val="0"/>
    <w:pPr>
      <w:widowControl/>
      <w:spacing w:after="160" w:line="240" w:lineRule="exact"/>
      <w:jc w:val="left"/>
    </w:pPr>
    <w:rPr>
      <w:rFonts w:eastAsia="宋体"/>
      <w:szCs w:val="20"/>
    </w:rPr>
  </w:style>
  <w:style w:type="paragraph" w:customStyle="1" w:styleId="227">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8">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0">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3">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7">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8">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0">
    <w:name w:val="章标题"/>
    <w:next w:val="1"/>
    <w:link w:val="247"/>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1">
    <w:name w:val="一级条标题"/>
    <w:basedOn w:val="240"/>
    <w:next w:val="1"/>
    <w:link w:val="248"/>
    <w:qFormat/>
    <w:uiPriority w:val="0"/>
    <w:pPr>
      <w:numPr>
        <w:ilvl w:val="2"/>
      </w:numPr>
      <w:tabs>
        <w:tab w:val="left" w:pos="360"/>
      </w:tabs>
      <w:spacing w:beforeLines="0" w:afterLines="0"/>
      <w:ind w:left="315"/>
      <w:outlineLvl w:val="2"/>
    </w:pPr>
  </w:style>
  <w:style w:type="paragraph" w:customStyle="1" w:styleId="242">
    <w:name w:val="二级条标题"/>
    <w:basedOn w:val="241"/>
    <w:next w:val="1"/>
    <w:link w:val="249"/>
    <w:qFormat/>
    <w:uiPriority w:val="0"/>
    <w:pPr>
      <w:numPr>
        <w:ilvl w:val="3"/>
      </w:numPr>
      <w:ind w:left="315"/>
      <w:outlineLvl w:val="3"/>
    </w:pPr>
  </w:style>
  <w:style w:type="paragraph" w:customStyle="1" w:styleId="243">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4">
    <w:name w:val="三级条标题"/>
    <w:basedOn w:val="242"/>
    <w:next w:val="1"/>
    <w:qFormat/>
    <w:uiPriority w:val="0"/>
    <w:pPr>
      <w:numPr>
        <w:ilvl w:val="4"/>
      </w:numPr>
      <w:tabs>
        <w:tab w:val="left" w:pos="1680"/>
        <w:tab w:val="left" w:pos="2100"/>
      </w:tabs>
      <w:ind w:left="2100" w:hanging="420"/>
      <w:outlineLvl w:val="4"/>
    </w:pPr>
  </w:style>
  <w:style w:type="paragraph" w:customStyle="1" w:styleId="245">
    <w:name w:val="四级条标题"/>
    <w:basedOn w:val="244"/>
    <w:next w:val="1"/>
    <w:qFormat/>
    <w:uiPriority w:val="0"/>
    <w:pPr>
      <w:numPr>
        <w:ilvl w:val="5"/>
      </w:numPr>
      <w:tabs>
        <w:tab w:val="left" w:pos="2520"/>
      </w:tabs>
      <w:ind w:left="2520" w:hanging="420"/>
      <w:outlineLvl w:val="5"/>
    </w:pPr>
  </w:style>
  <w:style w:type="paragraph" w:customStyle="1" w:styleId="246">
    <w:name w:val="五级条标题"/>
    <w:basedOn w:val="245"/>
    <w:next w:val="1"/>
    <w:qFormat/>
    <w:uiPriority w:val="0"/>
    <w:pPr>
      <w:numPr>
        <w:ilvl w:val="6"/>
      </w:numPr>
      <w:tabs>
        <w:tab w:val="left" w:pos="2940"/>
      </w:tabs>
      <w:ind w:left="2940" w:hanging="420"/>
      <w:outlineLvl w:val="6"/>
    </w:pPr>
  </w:style>
  <w:style w:type="character" w:customStyle="1" w:styleId="247">
    <w:name w:val="章标题 Char"/>
    <w:link w:val="240"/>
    <w:qFormat/>
    <w:uiPriority w:val="0"/>
    <w:rPr>
      <w:rFonts w:ascii="黑体" w:hAnsi="Times New Roman" w:eastAsia="黑体" w:cs="Times New Roman"/>
      <w:sz w:val="21"/>
    </w:rPr>
  </w:style>
  <w:style w:type="character" w:customStyle="1" w:styleId="248">
    <w:name w:val="一级条标题 Char"/>
    <w:link w:val="241"/>
    <w:qFormat/>
    <w:uiPriority w:val="0"/>
    <w:rPr>
      <w:rFonts w:ascii="黑体" w:hAnsi="Times New Roman" w:eastAsia="黑体" w:cs="Times New Roman"/>
      <w:sz w:val="21"/>
    </w:rPr>
  </w:style>
  <w:style w:type="character" w:customStyle="1" w:styleId="249">
    <w:name w:val="二级条标题 Char"/>
    <w:link w:val="242"/>
    <w:qFormat/>
    <w:uiPriority w:val="0"/>
    <w:rPr>
      <w:rFonts w:ascii="黑体" w:hAnsi="Times New Roman" w:eastAsia="黑体" w:cs="Times New Roman"/>
      <w:sz w:val="21"/>
    </w:rPr>
  </w:style>
  <w:style w:type="character" w:customStyle="1" w:styleId="250">
    <w:name w:val="Heading 1 Char"/>
    <w:qFormat/>
    <w:locked/>
    <w:uiPriority w:val="0"/>
    <w:rPr>
      <w:rFonts w:ascii="黑体" w:hAnsi="Times New Roman" w:eastAsia="黑体" w:cs="Times New Roman"/>
      <w:kern w:val="0"/>
      <w:sz w:val="20"/>
      <w:szCs w:val="20"/>
    </w:rPr>
  </w:style>
  <w:style w:type="character" w:customStyle="1" w:styleId="251">
    <w:name w:val="Heading 2 Char"/>
    <w:qFormat/>
    <w:locked/>
    <w:uiPriority w:val="0"/>
    <w:rPr>
      <w:rFonts w:ascii="Times New Roman" w:hAnsi="Times New Roman" w:eastAsia="宋体" w:cs="Times New Roman"/>
      <w:b/>
      <w:kern w:val="0"/>
      <w:sz w:val="32"/>
      <w:szCs w:val="32"/>
    </w:rPr>
  </w:style>
  <w:style w:type="character" w:customStyle="1" w:styleId="252">
    <w:name w:val="标题 3 Char1"/>
    <w:qFormat/>
    <w:locked/>
    <w:uiPriority w:val="99"/>
    <w:rPr>
      <w:rFonts w:eastAsia="宋体"/>
      <w:b/>
      <w:sz w:val="32"/>
      <w:lang w:val="en-US" w:eastAsia="zh-CN" w:bidi="ar-SA"/>
    </w:rPr>
  </w:style>
  <w:style w:type="character" w:customStyle="1" w:styleId="253">
    <w:name w:val="Heading 4 Char"/>
    <w:qFormat/>
    <w:locked/>
    <w:uiPriority w:val="0"/>
    <w:rPr>
      <w:rFonts w:ascii="Times New Roman" w:hAnsi="Times New Roman" w:eastAsia="宋体" w:cs="Times New Roman"/>
      <w:b/>
      <w:kern w:val="0"/>
      <w:sz w:val="20"/>
      <w:szCs w:val="20"/>
    </w:rPr>
  </w:style>
  <w:style w:type="character" w:customStyle="1" w:styleId="254">
    <w:name w:val="Heading 5 Char"/>
    <w:qFormat/>
    <w:locked/>
    <w:uiPriority w:val="0"/>
    <w:rPr>
      <w:rFonts w:ascii="Times New Roman" w:hAnsi="Times New Roman" w:eastAsia="宋体" w:cs="Times New Roman"/>
      <w:b/>
      <w:bCs/>
      <w:sz w:val="28"/>
      <w:szCs w:val="28"/>
    </w:rPr>
  </w:style>
  <w:style w:type="character" w:customStyle="1" w:styleId="255">
    <w:name w:val="Heading 6 Char"/>
    <w:qFormat/>
    <w:locked/>
    <w:uiPriority w:val="0"/>
    <w:rPr>
      <w:rFonts w:ascii="Arial" w:hAnsi="Arial" w:eastAsia="黑体" w:cs="Times New Roman"/>
      <w:b/>
      <w:bCs/>
      <w:kern w:val="0"/>
      <w:sz w:val="24"/>
      <w:szCs w:val="24"/>
    </w:rPr>
  </w:style>
  <w:style w:type="character" w:customStyle="1" w:styleId="256">
    <w:name w:val="Heading 7 Char"/>
    <w:qFormat/>
    <w:locked/>
    <w:uiPriority w:val="0"/>
    <w:rPr>
      <w:rFonts w:ascii="Times New Roman" w:hAnsi="Times New Roman" w:eastAsia="宋体" w:cs="Times New Roman"/>
      <w:b/>
      <w:bCs/>
      <w:kern w:val="0"/>
      <w:sz w:val="24"/>
      <w:szCs w:val="24"/>
    </w:rPr>
  </w:style>
  <w:style w:type="character" w:customStyle="1" w:styleId="257">
    <w:name w:val="Heading 8 Char"/>
    <w:qFormat/>
    <w:locked/>
    <w:uiPriority w:val="0"/>
    <w:rPr>
      <w:rFonts w:ascii="Arial" w:hAnsi="Arial" w:eastAsia="黑体" w:cs="Times New Roman"/>
      <w:kern w:val="0"/>
      <w:sz w:val="24"/>
      <w:szCs w:val="24"/>
    </w:rPr>
  </w:style>
  <w:style w:type="character" w:customStyle="1" w:styleId="258">
    <w:name w:val="Heading 9 Char"/>
    <w:qFormat/>
    <w:locked/>
    <w:uiPriority w:val="0"/>
    <w:rPr>
      <w:rFonts w:ascii="Arial" w:hAnsi="Arial" w:eastAsia="黑体" w:cs="Times New Roman"/>
      <w:kern w:val="0"/>
      <w:sz w:val="21"/>
      <w:szCs w:val="21"/>
    </w:rPr>
  </w:style>
  <w:style w:type="character" w:customStyle="1" w:styleId="259">
    <w:name w:val="Document Map Char"/>
    <w:qFormat/>
    <w:locked/>
    <w:uiPriority w:val="0"/>
    <w:rPr>
      <w:rFonts w:ascii="Times New Roman" w:hAnsi="Times New Roman" w:eastAsia="宋体" w:cs="Times New Roman"/>
      <w:sz w:val="24"/>
      <w:szCs w:val="24"/>
      <w:shd w:val="clear" w:color="auto" w:fill="000080"/>
    </w:rPr>
  </w:style>
  <w:style w:type="character" w:customStyle="1" w:styleId="260">
    <w:name w:val="Date Char"/>
    <w:qFormat/>
    <w:locked/>
    <w:uiPriority w:val="0"/>
    <w:rPr>
      <w:rFonts w:ascii="Times New Roman" w:hAnsi="Times New Roman" w:eastAsia="宋体" w:cs="Times New Roman"/>
      <w:sz w:val="20"/>
      <w:szCs w:val="20"/>
    </w:rPr>
  </w:style>
  <w:style w:type="character" w:customStyle="1" w:styleId="261">
    <w:name w:val="Header Char"/>
    <w:qFormat/>
    <w:locked/>
    <w:uiPriority w:val="0"/>
    <w:rPr>
      <w:rFonts w:ascii="Times New Roman" w:hAnsi="Times New Roman" w:eastAsia="宋体" w:cs="Times New Roman"/>
      <w:kern w:val="0"/>
      <w:sz w:val="20"/>
      <w:szCs w:val="20"/>
    </w:rPr>
  </w:style>
  <w:style w:type="character" w:customStyle="1" w:styleId="262">
    <w:name w:val="Footer Char"/>
    <w:qFormat/>
    <w:locked/>
    <w:uiPriority w:val="0"/>
    <w:rPr>
      <w:rFonts w:ascii="Times New Roman" w:hAnsi="Times New Roman" w:eastAsia="宋体" w:cs="Times New Roman"/>
      <w:kern w:val="0"/>
      <w:sz w:val="20"/>
      <w:szCs w:val="20"/>
    </w:rPr>
  </w:style>
  <w:style w:type="character" w:customStyle="1" w:styleId="263">
    <w:name w:val="Plain Text Char"/>
    <w:qFormat/>
    <w:locked/>
    <w:uiPriority w:val="0"/>
    <w:rPr>
      <w:rFonts w:ascii="宋体" w:hAnsi="Courier New" w:eastAsia="宋体" w:cs="Times New Roman"/>
      <w:sz w:val="20"/>
      <w:szCs w:val="20"/>
    </w:rPr>
  </w:style>
  <w:style w:type="character" w:customStyle="1" w:styleId="264">
    <w:name w:val="Body Text Indent 2 Char"/>
    <w:qFormat/>
    <w:locked/>
    <w:uiPriority w:val="0"/>
    <w:rPr>
      <w:rFonts w:ascii="Times New Roman" w:hAnsi="Times New Roman" w:eastAsia="宋体" w:cs="Times New Roman"/>
      <w:sz w:val="30"/>
      <w:szCs w:val="30"/>
    </w:rPr>
  </w:style>
  <w:style w:type="character" w:customStyle="1" w:styleId="265">
    <w:name w:val="Body Text Indent 3 Char"/>
    <w:qFormat/>
    <w:locked/>
    <w:uiPriority w:val="0"/>
    <w:rPr>
      <w:rFonts w:ascii="Times New Roman" w:hAnsi="Times New Roman" w:eastAsia="宋体" w:cs="Times New Roman"/>
      <w:sz w:val="30"/>
      <w:szCs w:val="30"/>
    </w:rPr>
  </w:style>
  <w:style w:type="character" w:customStyle="1" w:styleId="266">
    <w:name w:val="Body Text First Indent 2 Char"/>
    <w:qFormat/>
    <w:locked/>
    <w:uiPriority w:val="0"/>
    <w:rPr>
      <w:rFonts w:ascii="Times New Roman" w:hAnsi="Times New Roman" w:eastAsia="宋体" w:cs="Times New Roman"/>
      <w:kern w:val="2"/>
      <w:sz w:val="24"/>
      <w:szCs w:val="24"/>
    </w:rPr>
  </w:style>
  <w:style w:type="character" w:customStyle="1" w:styleId="267">
    <w:name w:val="Body Text 2 Char"/>
    <w:qFormat/>
    <w:locked/>
    <w:uiPriority w:val="0"/>
    <w:rPr>
      <w:rFonts w:ascii="宋体" w:hAnsi="Times New Roman" w:eastAsia="宋体" w:cs="Times New Roman"/>
      <w:sz w:val="20"/>
      <w:szCs w:val="20"/>
    </w:rPr>
  </w:style>
  <w:style w:type="character" w:customStyle="1" w:styleId="268">
    <w:name w:val="Balloon Text Char"/>
    <w:qFormat/>
    <w:locked/>
    <w:uiPriority w:val="0"/>
    <w:rPr>
      <w:rFonts w:ascii="Times New Roman" w:hAnsi="Times New Roman" w:eastAsia="宋体" w:cs="Times New Roman"/>
      <w:sz w:val="18"/>
      <w:szCs w:val="18"/>
    </w:rPr>
  </w:style>
  <w:style w:type="character" w:customStyle="1" w:styleId="269">
    <w:name w:val="Salutation Char"/>
    <w:qFormat/>
    <w:locked/>
    <w:uiPriority w:val="0"/>
    <w:rPr>
      <w:rFonts w:ascii="..ì." w:hAnsi="Times New Roman" w:eastAsia="..ì." w:cs="Times New Roman"/>
      <w:kern w:val="0"/>
      <w:sz w:val="20"/>
      <w:szCs w:val="20"/>
    </w:rPr>
  </w:style>
  <w:style w:type="character" w:customStyle="1" w:styleId="270">
    <w:name w:val="Note Heading Char"/>
    <w:qFormat/>
    <w:locked/>
    <w:uiPriority w:val="0"/>
    <w:rPr>
      <w:rFonts w:ascii="..ì." w:hAnsi="Times New Roman" w:eastAsia="..ì." w:cs="Times New Roman"/>
      <w:kern w:val="0"/>
      <w:sz w:val="20"/>
      <w:szCs w:val="20"/>
    </w:rPr>
  </w:style>
  <w:style w:type="paragraph" w:customStyle="1" w:styleId="271">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2">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3">
    <w:name w:val="Body Text 3 Char"/>
    <w:qFormat/>
    <w:locked/>
    <w:uiPriority w:val="0"/>
    <w:rPr>
      <w:rFonts w:ascii="Times New Roman" w:hAnsi="Times New Roman" w:eastAsia="宋体" w:cs="Times New Roman"/>
      <w:sz w:val="16"/>
      <w:szCs w:val="16"/>
    </w:rPr>
  </w:style>
  <w:style w:type="character" w:customStyle="1" w:styleId="274">
    <w:name w:val="Title Char"/>
    <w:qFormat/>
    <w:locked/>
    <w:uiPriority w:val="0"/>
    <w:rPr>
      <w:rFonts w:ascii="Arial" w:hAnsi="Arial" w:eastAsia="宋体" w:cs="Times New Roman"/>
      <w:b/>
      <w:kern w:val="0"/>
      <w:sz w:val="20"/>
      <w:szCs w:val="20"/>
    </w:rPr>
  </w:style>
  <w:style w:type="character" w:customStyle="1" w:styleId="275">
    <w:name w:val="Comment Subject Char"/>
    <w:qFormat/>
    <w:locked/>
    <w:uiPriority w:val="0"/>
    <w:rPr>
      <w:rFonts w:ascii="Times New Roman" w:hAnsi="Times New Roman" w:eastAsia="宋体" w:cs="Times New Roman"/>
      <w:b/>
      <w:bCs/>
      <w:sz w:val="24"/>
      <w:szCs w:val="24"/>
    </w:rPr>
  </w:style>
  <w:style w:type="character" w:customStyle="1" w:styleId="276">
    <w:name w:val="Comment Text Char"/>
    <w:qFormat/>
    <w:locked/>
    <w:uiPriority w:val="0"/>
    <w:rPr>
      <w:rFonts w:ascii="Times New Roman" w:hAnsi="Times New Roman" w:eastAsia="宋体"/>
      <w:sz w:val="24"/>
    </w:rPr>
  </w:style>
  <w:style w:type="paragraph" w:customStyle="1" w:styleId="277">
    <w:name w:val="List Paragraph1"/>
    <w:basedOn w:val="1"/>
    <w:qFormat/>
    <w:uiPriority w:val="0"/>
    <w:pPr>
      <w:ind w:firstLine="420" w:firstLineChars="200"/>
    </w:pPr>
    <w:rPr>
      <w:rFonts w:eastAsia="宋体"/>
    </w:rPr>
  </w:style>
  <w:style w:type="paragraph" w:customStyle="1" w:styleId="278">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79">
    <w:name w:val="未处理的提及"/>
    <w:unhideWhenUsed/>
    <w:qFormat/>
    <w:uiPriority w:val="99"/>
    <w:rPr>
      <w:color w:val="605E5C"/>
      <w:shd w:val="clear" w:color="auto" w:fill="E1DFDD"/>
    </w:rPr>
  </w:style>
  <w:style w:type="character" w:customStyle="1" w:styleId="280">
    <w:name w:val="Char Char11"/>
    <w:qFormat/>
    <w:uiPriority w:val="99"/>
    <w:rPr>
      <w:rFonts w:eastAsia="宋体"/>
      <w:kern w:val="2"/>
      <w:sz w:val="24"/>
      <w:lang w:val="en-US" w:eastAsia="zh-CN"/>
    </w:rPr>
  </w:style>
  <w:style w:type="character" w:customStyle="1" w:styleId="281">
    <w:name w:val="正文文本 Char1"/>
    <w:semiHidden/>
    <w:qFormat/>
    <w:uiPriority w:val="0"/>
    <w:rPr>
      <w:rFonts w:ascii="Times New Roman" w:hAnsi="Times New Roman" w:eastAsia="宋体" w:cs="Times New Roman"/>
      <w:szCs w:val="24"/>
    </w:rPr>
  </w:style>
  <w:style w:type="paragraph" w:customStyle="1" w:styleId="282">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Char11"/>
    <w:basedOn w:val="1"/>
    <w:qFormat/>
    <w:uiPriority w:val="99"/>
    <w:rPr>
      <w:rFonts w:ascii="Tahoma" w:hAnsi="Tahoma" w:eastAsia="宋体"/>
      <w:sz w:val="24"/>
      <w:szCs w:val="20"/>
    </w:rPr>
  </w:style>
  <w:style w:type="paragraph" w:customStyle="1" w:styleId="284">
    <w:name w:val="Char Char Char Char1"/>
    <w:basedOn w:val="1"/>
    <w:qFormat/>
    <w:uiPriority w:val="99"/>
    <w:pPr>
      <w:widowControl/>
      <w:spacing w:after="160" w:line="240" w:lineRule="exact"/>
      <w:jc w:val="left"/>
    </w:pPr>
    <w:rPr>
      <w:rFonts w:eastAsia="宋体"/>
      <w:szCs w:val="20"/>
    </w:rPr>
  </w:style>
  <w:style w:type="paragraph" w:customStyle="1" w:styleId="285">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6">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7">
    <w:name w:val="Char Char Char Char11"/>
    <w:basedOn w:val="1"/>
    <w:qFormat/>
    <w:uiPriority w:val="99"/>
    <w:pPr>
      <w:widowControl/>
      <w:spacing w:after="160" w:line="240" w:lineRule="exact"/>
      <w:jc w:val="left"/>
    </w:pPr>
    <w:rPr>
      <w:rFonts w:eastAsia="宋体"/>
      <w:szCs w:val="20"/>
    </w:rPr>
  </w:style>
  <w:style w:type="paragraph" w:customStyle="1" w:styleId="288">
    <w:name w:val="Char12"/>
    <w:basedOn w:val="1"/>
    <w:qFormat/>
    <w:uiPriority w:val="99"/>
    <w:rPr>
      <w:rFonts w:ascii="Tahoma" w:hAnsi="Tahoma" w:eastAsia="宋体"/>
      <w:sz w:val="24"/>
      <w:szCs w:val="20"/>
    </w:rPr>
  </w:style>
  <w:style w:type="paragraph" w:customStyle="1" w:styleId="289">
    <w:name w:val="Char111"/>
    <w:basedOn w:val="1"/>
    <w:qFormat/>
    <w:uiPriority w:val="99"/>
    <w:rPr>
      <w:rFonts w:ascii="Tahoma" w:hAnsi="Tahoma" w:eastAsia="宋体"/>
      <w:sz w:val="24"/>
      <w:szCs w:val="20"/>
    </w:rPr>
  </w:style>
  <w:style w:type="paragraph" w:customStyle="1" w:styleId="290">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Char Char Char Char2"/>
    <w:basedOn w:val="1"/>
    <w:qFormat/>
    <w:uiPriority w:val="99"/>
    <w:pPr>
      <w:widowControl/>
      <w:spacing w:after="160" w:line="240" w:lineRule="exact"/>
      <w:jc w:val="left"/>
    </w:pPr>
    <w:rPr>
      <w:rFonts w:eastAsia="宋体"/>
      <w:szCs w:val="20"/>
    </w:rPr>
  </w:style>
  <w:style w:type="character" w:customStyle="1" w:styleId="292">
    <w:name w:val="正文文本 字符"/>
    <w:qFormat/>
    <w:uiPriority w:val="0"/>
    <w:rPr>
      <w:b/>
      <w:i/>
      <w:szCs w:val="24"/>
    </w:rPr>
  </w:style>
  <w:style w:type="paragraph" w:customStyle="1" w:styleId="293">
    <w:name w:val="纯文本2"/>
    <w:basedOn w:val="1"/>
    <w:qFormat/>
    <w:uiPriority w:val="0"/>
    <w:rPr>
      <w:rFonts w:ascii="宋体" w:hAnsi="Courier New" w:cs="Courier New"/>
      <w:szCs w:val="21"/>
    </w:rPr>
  </w:style>
  <w:style w:type="paragraph" w:customStyle="1" w:styleId="294">
    <w:name w:val="TOC 标题3"/>
    <w:basedOn w:val="2"/>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customStyle="1" w:styleId="295">
    <w:name w:val="null3"/>
    <w:hidden/>
    <w:qFormat/>
    <w:uiPriority w:val="0"/>
    <w:rPr>
      <w:rFonts w:hint="eastAsia" w:asciiTheme="minorHAnsi" w:hAnsiTheme="minorHAnsi" w:eastAsiaTheme="minorEastAsia" w:cstheme="minorBidi"/>
      <w:lang w:val="en-US" w:eastAsia="zh-Hans"/>
    </w:rPr>
  </w:style>
  <w:style w:type="paragraph" w:customStyle="1" w:styleId="29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7B022F-F8BE-4A63-AACA-8A3DE323D1BD}">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81</Pages>
  <Words>14624</Words>
  <Characters>15882</Characters>
  <Lines>261</Lines>
  <Paragraphs>73</Paragraphs>
  <TotalTime>2447</TotalTime>
  <ScaleCrop>false</ScaleCrop>
  <LinksUpToDate>false</LinksUpToDate>
  <CharactersWithSpaces>16336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2020-12-07T03:00:00Z</dcterms:created>
  <dc:creator>Lv Ji_BM</dc:creator>
  <cp:lastModifiedBy>钟玉艳</cp:lastModifiedBy>
  <cp:lastPrinted>2024-07-25T03:20:00Z</cp:lastPrinted>
  <dcterms:modified xsi:type="dcterms:W3CDTF">2024-11-05T08:50:12Z</dcterms:modified>
  <dc:title>_x0001_</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A25D5BAD9B204B96BF3F5F530306DEFE_13</vt:lpwstr>
  </property>
</Properties>
</file>