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版本号：SXLZ-2025-16720251021001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三原县西阳镇延长铁路正风村村道损毁道路提升改造建设项目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SXLZ-2025-167</w:t>
      </w:r>
      <w:r>
        <w:br/>
      </w:r>
      <w:r>
        <w:br/>
      </w:r>
      <w:r>
        <w:br/>
      </w:r>
    </w:p>
    <w:p>
      <w:pPr>
        <w:pStyle w:val="null3"/>
        <w:jc w:val="center"/>
        <w:outlineLvl w:val="2"/>
      </w:pPr>
      <w:r>
        <w:rPr>
          <w:rFonts w:ascii="仿宋_GB2312" w:hAnsi="仿宋_GB2312" w:cs="仿宋_GB2312" w:eastAsia="仿宋_GB2312"/>
          <w:sz w:val="28"/>
          <w:b/>
        </w:rPr>
        <w:t>三原县西阳镇人民政府</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三原县西阳镇人民政府</w:t>
      </w:r>
      <w:r>
        <w:rPr>
          <w:rFonts w:ascii="仿宋_GB2312" w:hAnsi="仿宋_GB2312" w:cs="仿宋_GB2312" w:eastAsia="仿宋_GB2312"/>
        </w:rPr>
        <w:t>委托，拟对</w:t>
      </w:r>
      <w:r>
        <w:rPr>
          <w:rFonts w:ascii="仿宋_GB2312" w:hAnsi="仿宋_GB2312" w:cs="仿宋_GB2312" w:eastAsia="仿宋_GB2312"/>
        </w:rPr>
        <w:t>三原县西阳镇延长铁路正风村村道损毁道路提升改造建设项目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SXLZ-2025-167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三原县西阳镇延长铁路正风村村道损毁道路提升改造建设项目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拟对三原县西阳镇延长铁路正风村村道损毁道路进行提升改造建设，具体详见竞争性磋商文件。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采购包1（三原县西阳镇延长铁路正风村村道损毁道路提升改造建设项目）：属于专门面向中小企业采购。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2、资质要求：供应商具备建设行政主管部门颁发的市政公用工程施工总承包三级及以上资质，并具备有效的安全生产许可证</w:t>
      </w:r>
    </w:p>
    <w:p>
      <w:pPr>
        <w:pStyle w:val="null3"/>
      </w:pPr>
      <w:r>
        <w:rPr>
          <w:rFonts w:ascii="仿宋_GB2312" w:hAnsi="仿宋_GB2312" w:cs="仿宋_GB2312" w:eastAsia="仿宋_GB2312"/>
        </w:rPr>
        <w:t>3、拟派项目负责人资质和专业要求：证书等级：注册建造师二级及以上执业资格 专业：市政公用工程 补充说明：具备项目经理安全生产考核合格证B证，在本单位注册且未担任其他在建工程项目的项目经理；</w:t>
      </w:r>
    </w:p>
    <w:p>
      <w:pPr>
        <w:pStyle w:val="null3"/>
      </w:pPr>
      <w:r>
        <w:rPr>
          <w:rFonts w:ascii="仿宋_GB2312" w:hAnsi="仿宋_GB2312" w:cs="仿宋_GB2312" w:eastAsia="仿宋_GB2312"/>
        </w:rPr>
        <w:t>4、财务状况报告：提供经具有审计资质单位出具的2024度的财务审计报告（成立时间至提交磋商响应文件截止时间不足一年的可提供成立后任意时段的资产负债表），或其磋商前六个月内基本存款账户开户银行出具的资信证明。（以上两种形式的资料提供任何一种即可）</w:t>
      </w:r>
    </w:p>
    <w:p>
      <w:pPr>
        <w:pStyle w:val="null3"/>
      </w:pPr>
      <w:r>
        <w:rPr>
          <w:rFonts w:ascii="仿宋_GB2312" w:hAnsi="仿宋_GB2312" w:cs="仿宋_GB2312" w:eastAsia="仿宋_GB2312"/>
        </w:rPr>
        <w:t>5、税收缴纳证明：提供2025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6、社会保障资金缴纳证明：提供2025年1月至今已缴纳的至少一个月的社会保障资金缴存单据或社保机构开具的社会保险参保缴费情况证明，依法不需要缴纳社会保障资金的单位应提供相关证明材料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8、设备和专业技术能力：具有履行合同所必需的设备和专业技术能力的书面声明；</w:t>
      </w:r>
    </w:p>
    <w:p>
      <w:pPr>
        <w:pStyle w:val="null3"/>
      </w:pPr>
      <w:r>
        <w:rPr>
          <w:rFonts w:ascii="仿宋_GB2312" w:hAnsi="仿宋_GB2312" w:cs="仿宋_GB2312" w:eastAsia="仿宋_GB2312"/>
        </w:rPr>
        <w:t>9、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10、信用查询截图：供应商不得为“信用中国”网站（www.creditchina.gov.cn）中列入失信被执行人、重大税收违法失信主体名单，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11、中小企业声明函：本项目专门面向中小企业采购（提供中小企业声明函）</w:t>
      </w:r>
    </w:p>
    <w:p>
      <w:pPr>
        <w:pStyle w:val="null3"/>
      </w:pPr>
      <w:r>
        <w:rPr>
          <w:rFonts w:ascii="仿宋_GB2312" w:hAnsi="仿宋_GB2312" w:cs="仿宋_GB2312" w:eastAsia="仿宋_GB2312"/>
        </w:rPr>
        <w:t>12、不接受联合体：本项目不接受联合体，供应商需在项目电子化交易系统中按要求上传相应证明文件并进行电子签章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三原县西阳镇人民政府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三原县西阳镇镇政府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15129955149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17691099523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采购包1：1,891,419.13元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成交金额，参照国家计委2002年颁发的《招标代理服务收费管理暂行办法》(计价格〔2002〕1980号)及《国家发展改革委关于进一步放开建设项目专业服务价格的通知》(发改价格〔2015〕299号)的规定标准收取。由成交供应商一次性向采购代理机构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三原县西阳镇人民政府</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三原县西阳镇人民政府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三原县西阳镇人民政府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现行行业标准。2、交付竣工验收的工程，必须符合规定的工程质量标准，有完整的工程技术经济资料和经签署的工程保修书，并具备国家规定的其他竣工条件。工程竣工经验收合格后，方可交付使用:未 经验收或者验收不合格的，不得交付使用。3、验收结果合格的，采购人应向成交供应商出具履约验收报告，成交供应商凭 验收报告办理相关手续。4、验收结果不合格的，履约保证金将不予退还，给采购人造成的损失超过履约保证金数额的，还应当对超过部分予以赔偿;没有提交履约保证金的，应当对采购人的损失承担赔偿责任。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联系电话：17691099523</w:t>
      </w:r>
    </w:p>
    <w:p>
      <w:pPr>
        <w:pStyle w:val="null3"/>
      </w:pPr>
      <w:r>
        <w:rPr>
          <w:rFonts w:ascii="仿宋_GB2312" w:hAnsi="仿宋_GB2312" w:cs="仿宋_GB2312" w:eastAsia="仿宋_GB2312"/>
        </w:rPr>
        <w:t>地址：陕西省西安市国家民用航天产业基地神舟五路与东长安街交汇处东南角航天城中心广场1号楼708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1,891,419.13</w:t>
      </w:r>
    </w:p>
    <w:p>
      <w:pPr>
        <w:pStyle w:val="null3"/>
      </w:pPr>
      <w:r>
        <w:rPr>
          <w:rFonts w:ascii="仿宋_GB2312" w:hAnsi="仿宋_GB2312" w:cs="仿宋_GB2312" w:eastAsia="仿宋_GB2312"/>
        </w:rPr>
        <w:t>采购包最高限价（元）: 1,891,419.13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三原县西阳镇人民政府延长铁路正风村村道损毁道路提升改造建设项目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1,891,419.13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标的名称：三原县西阳镇人民政府延长铁路正风村村道损毁道路提升改造建设项目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拟对三原县西阳镇延长铁路正风村村道损毁道路进行提升改造建设，具体详见竞争性磋商文件。</w:t>
            </w:r>
          </w:p>
          <w:p>
            <w:pPr>
              <w:pStyle w:val="null3"/>
              <w:jc w:val="both"/>
            </w:pPr>
            <w:r>
              <w:rPr>
                <w:rFonts w:ascii="仿宋_GB2312" w:hAnsi="仿宋_GB2312" w:cs="仿宋_GB2312" w:eastAsia="仿宋_GB2312"/>
                <w:sz w:val="21"/>
                <w:b/>
              </w:rPr>
              <w:t>二、工程内容和施工地点、计划工期、缺陷责任期、质量保修期</w:t>
            </w:r>
          </w:p>
          <w:p>
            <w:pPr>
              <w:pStyle w:val="null3"/>
            </w:pPr>
            <w:r>
              <w:rPr>
                <w:rFonts w:ascii="仿宋_GB2312" w:hAnsi="仿宋_GB2312" w:cs="仿宋_GB2312" w:eastAsia="仿宋_GB2312"/>
                <w:sz w:val="21"/>
              </w:rPr>
              <w:t>（一）工程内容：工程量清单包含所有内容。</w:t>
            </w:r>
          </w:p>
          <w:p>
            <w:pPr>
              <w:pStyle w:val="null3"/>
            </w:pPr>
            <w:r>
              <w:rPr>
                <w:rFonts w:ascii="仿宋_GB2312" w:hAnsi="仿宋_GB2312" w:cs="仿宋_GB2312" w:eastAsia="仿宋_GB2312"/>
                <w:sz w:val="21"/>
              </w:rPr>
              <w:t>（二）工程地点：位于</w:t>
            </w:r>
            <w:r>
              <w:rPr>
                <w:rFonts w:ascii="仿宋_GB2312" w:hAnsi="仿宋_GB2312" w:cs="仿宋_GB2312" w:eastAsia="仿宋_GB2312"/>
                <w:sz w:val="21"/>
              </w:rPr>
              <w:t>咸阳市三原县西阳镇</w:t>
            </w:r>
            <w:r>
              <w:rPr>
                <w:rFonts w:ascii="仿宋_GB2312" w:hAnsi="仿宋_GB2312" w:cs="仿宋_GB2312" w:eastAsia="仿宋_GB2312"/>
                <w:sz w:val="21"/>
              </w:rPr>
              <w:t>。</w:t>
            </w:r>
          </w:p>
          <w:p>
            <w:pPr>
              <w:pStyle w:val="null3"/>
            </w:pPr>
            <w:r>
              <w:rPr>
                <w:rFonts w:ascii="仿宋_GB2312" w:hAnsi="仿宋_GB2312" w:cs="仿宋_GB2312" w:eastAsia="仿宋_GB2312"/>
                <w:sz w:val="21"/>
              </w:rPr>
              <w:t>（三）计划工期：</w:t>
            </w:r>
            <w:r>
              <w:rPr>
                <w:rFonts w:ascii="仿宋_GB2312" w:hAnsi="仿宋_GB2312" w:cs="仿宋_GB2312" w:eastAsia="仿宋_GB2312"/>
                <w:sz w:val="21"/>
              </w:rPr>
              <w:t>50</w:t>
            </w:r>
            <w:r>
              <w:rPr>
                <w:rFonts w:ascii="仿宋_GB2312" w:hAnsi="仿宋_GB2312" w:cs="仿宋_GB2312" w:eastAsia="仿宋_GB2312"/>
                <w:sz w:val="21"/>
              </w:rPr>
              <w:t>日历天。</w:t>
            </w:r>
          </w:p>
          <w:p>
            <w:pPr>
              <w:pStyle w:val="null3"/>
            </w:pPr>
            <w:r>
              <w:rPr>
                <w:rFonts w:ascii="仿宋_GB2312" w:hAnsi="仿宋_GB2312" w:cs="仿宋_GB2312" w:eastAsia="仿宋_GB2312"/>
                <w:sz w:val="21"/>
              </w:rPr>
              <w:t>（四）工程质量：质量达到合格标准，并满足国家相关标准、规范及有关技术文件要求。</w:t>
            </w:r>
          </w:p>
          <w:p>
            <w:pPr>
              <w:pStyle w:val="null3"/>
              <w:jc w:val="both"/>
            </w:pPr>
            <w:r>
              <w:rPr>
                <w:rFonts w:ascii="仿宋_GB2312" w:hAnsi="仿宋_GB2312" w:cs="仿宋_GB2312" w:eastAsia="仿宋_GB2312"/>
                <w:sz w:val="21"/>
              </w:rPr>
              <w:t>（五）质量保修期：一年</w:t>
            </w:r>
          </w:p>
          <w:p>
            <w:pPr>
              <w:pStyle w:val="null3"/>
              <w:jc w:val="both"/>
            </w:pPr>
            <w:r>
              <w:rPr>
                <w:rFonts w:ascii="仿宋_GB2312" w:hAnsi="仿宋_GB2312" w:cs="仿宋_GB2312" w:eastAsia="仿宋_GB2312"/>
                <w:sz w:val="21"/>
                <w:b/>
              </w:rPr>
              <w:t>三、详见附件工程量清单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安全责任：乙方应对其工作人员在现场工作期间的一切行为负责，如安全事故责任及因此发生的人身损害赔偿和其它费用由乙方承担。2、保密条款：（1）成交供应商应严格遵守采购单位有关保密规定，不得泄漏一切机密；（2）在技术服务期间，成交供应商对接触到的有关采购单位商业活动、技术情报和技术资料等文件进行保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1.本项目采购活动执行下列政府采购政策： （1）《财政部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（4）《财政部 司法部关于政府采购支持监狱企业发展有关问题的通知》（财库〔2014〕68号）； （5）《财政部、民政部、中国残疾人联合会关于促进残疾人就业政府采购政策的通知》（财库〔2017〕141号）； （6）《财政部 发展改革委 生态环境部 市场监管总局关于调整优化节能产品、环境标志产品政府采购执行机制的通知》（财库〔2019〕9号）；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 2.本项目为专门面向中小企业； 3.本项目所属行业为建筑业。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供应商具备建设行政主管部门颁发的市政公用工程施工总承包三级及以上资质，并具备有效的安全生产许可证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证书等级：注册建造师二级及以上执业资格 专业：市政公用工程 补充说明：具备项目经理安全生产考核合格证B证，在本单位注册且未担任其他在建工程项目的项目经理；</w:t>
            </w:r>
          </w:p>
        </w:tc>
        <w:tc>
          <w:tcPr>
            <w:tcW w:type="dxa" w:w="1661"/>
          </w:tcPr>
          <w:p>
            <w:pPr>
              <w:pStyle w:val="null3"/>
            </w:pPr>
            <w:r>
              <w:rPr>
                <w:rFonts w:ascii="仿宋_GB2312" w:hAnsi="仿宋_GB2312" w:cs="仿宋_GB2312" w:eastAsia="仿宋_GB2312"/>
              </w:rPr>
              <w:t>项目管理机构组成表 资格证明文件.docx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2024度的财务审计报告（成立时间至提交磋商响应文件截止时间不足一年的可提供成立后任意时段的资产负债表），或其磋商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法定代表人身份证明及授权委托书.docx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名单，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应符合“竞争性磋商响应文件格式”要求。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应符合竞争性磋商响应文件要求。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报价唯一，磋商报价符合唯一性要求、响应报价表填写符合要求、报价货币符合磋商文件要求、报价数量与要求符合并未出现漏项、未超出采购预算和磋商文件规定的各分项最高限价； 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 磋商响应文件中项目名称、项目编号与本项目一致；磋商响应文件至少包括：（1）响应函、（2）响应报价表、（3）供应商资格证明、（4）采购需求偏离表、（5）供应商承诺书。</w:t>
            </w:r>
          </w:p>
        </w:tc>
        <w:tc>
          <w:tcPr>
            <w:tcW w:type="dxa" w:w="1661"/>
          </w:tcPr>
          <w:p>
            <w:pPr>
              <w:pStyle w:val="null3"/>
            </w:pPr>
            <w:r>
              <w:rPr>
                <w:rFonts w:ascii="仿宋_GB2312" w:hAnsi="仿宋_GB2312" w:cs="仿宋_GB2312" w:eastAsia="仿宋_GB2312"/>
              </w:rPr>
              <w:t>响应文件封面 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应满足磋商文件中要求的计划工期。</w:t>
            </w:r>
          </w:p>
        </w:tc>
        <w:tc>
          <w:tcPr>
            <w:tcW w:type="dxa" w:w="1661"/>
          </w:tcPr>
          <w:p>
            <w:pPr>
              <w:pStyle w:val="null3"/>
            </w:pPr>
            <w:r>
              <w:rPr>
                <w:rFonts w:ascii="仿宋_GB2312" w:hAnsi="仿宋_GB2312" w:cs="仿宋_GB2312" w:eastAsia="仿宋_GB2312"/>
              </w:rPr>
              <w:t>响应文件封面 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响应文件封面 采购需求偏离表.docx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1、实施方案非常详细并且完整可行、有针对性，完全满足项目实施的，得10分； 2、实施方案详细、完整，可行、有针对性，满足项目实施的，得8分； 3、实施方案比较详细完整、可行，较利于项目实施的，得5分； 4、实施方案基本可行，基本满足项目实施需要的得2分；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1、措施计划齐全、合理且切实可行，完全满足采购人需求，得5分； 2、措施计划较齐全、合理、切实可行，满足采购人需求，得3分； 3、措施计划较齐全、合理、基本可行，基本满足采购人需求，得2分； 4、措施计划基本完备齐全、合理性、可行性较差，得1分；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配备分工及配合协调措施</w:t>
            </w:r>
          </w:p>
        </w:tc>
        <w:tc>
          <w:tcPr>
            <w:tcW w:type="dxa" w:w="2492"/>
          </w:tcPr>
          <w:p>
            <w:pPr>
              <w:pStyle w:val="null3"/>
            </w:pPr>
            <w:r>
              <w:rPr>
                <w:rFonts w:ascii="仿宋_GB2312" w:hAnsi="仿宋_GB2312" w:cs="仿宋_GB2312" w:eastAsia="仿宋_GB2312"/>
              </w:rPr>
              <w:t>1、配备分工合理，岗位间配合协调措施完善，得5分； 2、配备分工有一定合理性，岗位间配合协调措施较完善，得3分； 3、配备分工无针对性，岗位间协调配合措施简单笼统，得1分；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1、进度计划安排合理、措施有效，工期目标明确，满足采购人要求，得5分； 2、进度计划安排较合理、措施较有效，工期目标基本清晰，基本满足采购人要求，得3分； 3、进度计划和工期目标内容简单笼统，无针对性，得1分；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针对本项目提供的安全作业方案及安全配套措施进行综合评审。 1、提供的安全作业方案及安全配套措施具体、详细，完全符合并优于采购人安全作业的要求，得8分； 2、提供安全作业方案及安全配套措施较详细、较完整，符合采购人安全作业的要求，得5分； 3、提供安全作业方案及安全配套措施基本合理可行，符合采购人安全作业的要求，得3分； 4、提供的安全作业方案及安全配套措施简单，基本符合采购人安全作业的要求，得1分；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1、工程质量的技术组织措施内容非常详细并且完整可行、有针对性，完全满足项目实施的，得10分； 2、内容详细、完整，可行、有针对性，满足项目实施的，得8分； 3、内容比较详细完整、可行，较利于项目实施的，得5分； 4、内容基本可行，基本满足项目实施需要的得2分；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专业技术能力及岗位职责</w:t>
            </w:r>
          </w:p>
        </w:tc>
        <w:tc>
          <w:tcPr>
            <w:tcW w:type="dxa" w:w="2492"/>
          </w:tcPr>
          <w:p>
            <w:pPr>
              <w:pStyle w:val="null3"/>
            </w:pPr>
            <w:r>
              <w:rPr>
                <w:rFonts w:ascii="仿宋_GB2312" w:hAnsi="仿宋_GB2312" w:cs="仿宋_GB2312" w:eastAsia="仿宋_GB2312"/>
              </w:rPr>
              <w:t>1、人员专业技术能力强，岗位职责清晰，得5分； 2、人员有一定的专业技术能力，岗位职责较清晰，得3分； 3、人员专业技术能力欠缺，得1分；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机械设备和劳动力配置情况</w:t>
            </w:r>
          </w:p>
        </w:tc>
        <w:tc>
          <w:tcPr>
            <w:tcW w:type="dxa" w:w="2492"/>
          </w:tcPr>
          <w:p>
            <w:pPr>
              <w:pStyle w:val="null3"/>
            </w:pPr>
            <w:r>
              <w:rPr>
                <w:rFonts w:ascii="仿宋_GB2312" w:hAnsi="仿宋_GB2312" w:cs="仿宋_GB2312" w:eastAsia="仿宋_GB2312"/>
              </w:rPr>
              <w:t>针对本项目提供拟投入本项目主要机械、设备和劳动力配置情况。 1、拟投入的机械设备数量充足，与项目匹配度高，劳动力配置合理，完全满足项目需要，得6分； 2、拟投入的机械设备数量、与项目基本匹配，劳动力配置较合理，基本满足项目需要，得3分； 3、拟投入的机械设备和劳动力配置简单，无针对性，得1分；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针对本项目提供项目风险预测与防范，事故应急预案。 1、风险预测与防范内容完善，针对性强，预案及措施科学合理可行性强，得5分； 2、风险预测与防范内容较完善，预案及措施有一定针对性和可行性强，得3分； 3、风险预测与防范内容、预案及措施内容简单笼统，无针对性，得1分；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各项建议合理、可行，方法得当，得5分；合理化建议可行性一般、方法较少，得3分；合理化建议简单笼统，基本完备齐全，但合理性、可行性较差，得1分；未提供不得分。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供应商2022年1月1日至今（以合同的签订日期为准）承接过类似项目，提供类似业绩合同复印件，每提供一个得2分，满分6分。（合同内容须清晰可辨认，无涂改，否则视为无效合同）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经初审合格的磋商响应文件，其磋商报价为有效磋商报价，并进行价格评审。满足磋商文件实质性要求且最终报价最低的供应商的价格为 磋商基准价，其价格分为满分30分。磋商报价得分=（磋商基准价/最 终磋商报价）×30的公式计算得分。 磋商报价不完整的，不进入评标 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