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版本号：HYGJ-XF-55120251110001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三原县清河两岸城市设计、五号信箱片区更新改造方案设计专项规划编制项目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HYGJ-XF-551</w:t>
      </w:r>
      <w:r>
        <w:br/>
      </w:r>
      <w:r>
        <w:br/>
      </w:r>
      <w:r>
        <w:br/>
      </w:r>
    </w:p>
    <w:p>
      <w:pPr>
        <w:pStyle w:val="null3"/>
        <w:jc w:val="center"/>
        <w:outlineLvl w:val="2"/>
      </w:pPr>
      <w:r>
        <w:rPr>
          <w:rFonts w:ascii="仿宋_GB2312" w:hAnsi="仿宋_GB2312" w:cs="仿宋_GB2312" w:eastAsia="仿宋_GB2312"/>
          <w:sz w:val="28"/>
          <w:b/>
        </w:rPr>
        <w:t>三原县自然资源局</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三原县自然资源局</w:t>
      </w:r>
      <w:r>
        <w:rPr>
          <w:rFonts w:ascii="仿宋_GB2312" w:hAnsi="仿宋_GB2312" w:cs="仿宋_GB2312" w:eastAsia="仿宋_GB2312"/>
        </w:rPr>
        <w:t>委托，拟对</w:t>
      </w:r>
      <w:r>
        <w:rPr>
          <w:rFonts w:ascii="仿宋_GB2312" w:hAnsi="仿宋_GB2312" w:cs="仿宋_GB2312" w:eastAsia="仿宋_GB2312"/>
        </w:rPr>
        <w:t>三原县清河两岸城市设计、五号信箱片区更新改造方案设计专项规划编制项目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HYGJ-XF-551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三原县清河两岸城市设计、五号信箱片区更新改造方案设计专项规划编制项目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本次三原两个片区城市更新规划项目包括：《三原清河两岸城市设计》、《三原五号信箱区更新改造方案设计》。 清河作为三原县的母亲河，从城池建设以来至今，由最初的水源供给以及防御作用到如今城市中重要的城市绿色廊道与生态景观廊道，无不体现出其对于城市重要的作用和地位。清河项目不仅是落实中央城市工作会议的关键实践，也肩负着复兴关学精神、秦商文化，筑牢三原文脉根基的文化使命，延续城市生态廊道的生态使命，塑造城市高品质滨水空间的民生使命等多重历史使命。 五号信箱片区区位非常重要，作为三原历史与现代交融之地，肩负着展示城市魅力、彰显文化活力的重任。但眼下这片承载着城市记忆与未来期许的地方，由于许多历史遗留问题破败不堪，成为三原城市建设之殇，更新改造迫在眉睫。城市更新需结合基地内部现状和城市发展条件，以传承文化基因为思路，让5号信箱成为推动城市能级跃升的关键一环。 综上，三原县的城市更新工作以此两个项目为重要抓手和切入点，随着工作的逐渐深化和不断铺开。必然能够为三原县的城市发展、居民生活以及经济产业等多方面带来显著提升。 《三原清河两岸城市设计》项目规划范围东至延西高速，西至规划西环路，南北沿清河外扩100-600米，面积380.69公顷。《三原五号信箱区更新改造方案设计》项目规划面积2.13公顷。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采购包1（三原县清河两岸城市设计、五号信箱片区更新改造方案设计专项规划编制项目）：属于专门面向中小企业采购。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1、授权委托书：法定代表人授权书（附法定代表人、被授权人身份证复印件）及被授权人身份证原件（法定代表人直接参加的，须提供法定代表人身份证明、身份证原件及身份证复印件）</w:t>
      </w:r>
    </w:p>
    <w:p>
      <w:pPr>
        <w:pStyle w:val="null3"/>
      </w:pPr>
      <w:r>
        <w:rPr>
          <w:rFonts w:ascii="仿宋_GB2312" w:hAnsi="仿宋_GB2312" w:cs="仿宋_GB2312" w:eastAsia="仿宋_GB2312"/>
        </w:rPr>
        <w:t>2、财务状况报告：供应商提供2024年经审计的财务报告（供应商的成立时间少于规定年份的，应提供成立以来的财务状况表）；或提供开户许可证（供应商在国家取消基本存款账户开户行政许可之后成立的，提供基本存款账号编号)以及在磋商会议日期前三个月内其基本开户银行出具的资信证明；</w:t>
      </w:r>
    </w:p>
    <w:p>
      <w:pPr>
        <w:pStyle w:val="null3"/>
      </w:pPr>
      <w:r>
        <w:rPr>
          <w:rFonts w:ascii="仿宋_GB2312" w:hAnsi="仿宋_GB2312" w:cs="仿宋_GB2312" w:eastAsia="仿宋_GB2312"/>
        </w:rPr>
        <w:t>3、税收缴纳证明：供应商提供近半年内已缴纳的至少一个月的纳税证明或完税证明，纳税证明或完税证明上应有代收机构或税务机关的公章，依法免税的供应商应提供相关文件证明；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4、社会保障资金缴纳证明：供应商提供近半年内已缴存的至少一个月的社会保障资金缴存单据或社保机构开具的社会保险参保缴费情况证明，依法不需要缴纳社会保障资金的供应商应提供相关文件证明；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资质条件：供应商须具有独立承担民事责任能力的法人、其他组织或自然人，并出具合法有效的营业执照或事业单位法人证书等国家规定的相关证明，自然人参与的提供其身份证明，供应商须具备相关行政主管部门颁发的城乡规划编制乙级及以上资质；</w:t>
      </w:r>
    </w:p>
    <w:p>
      <w:pPr>
        <w:pStyle w:val="null3"/>
      </w:pPr>
      <w:r>
        <w:rPr>
          <w:rFonts w:ascii="仿宋_GB2312" w:hAnsi="仿宋_GB2312" w:cs="仿宋_GB2312" w:eastAsia="仿宋_GB2312"/>
        </w:rPr>
        <w:t>6、供应商信誉要求：供应商不得为“中国执行信息公开网”（zxgk.court.gov.cn/shixin/）中列入失信被执行人和“信用中国”（www.creditchina.gov.cn/）中列入重大税收违法失信主体的供应商，不得为“中国政府采购网”（www.ccgp.gov.cn）中列入“政府采购严重违法失信行为记录名单”中被财政部门禁止参加政府采购活动的供应商；</w:t>
      </w:r>
    </w:p>
    <w:p>
      <w:pPr>
        <w:pStyle w:val="null3"/>
      </w:pPr>
      <w:r>
        <w:rPr>
          <w:rFonts w:ascii="仿宋_GB2312" w:hAnsi="仿宋_GB2312" w:cs="仿宋_GB2312" w:eastAsia="仿宋_GB2312"/>
        </w:rPr>
        <w:t>7、书面声明：出具参加本次政府采购活动前三年内，在经营活动中没有重大违法记录的书面声明；</w:t>
      </w:r>
    </w:p>
    <w:p>
      <w:pPr>
        <w:pStyle w:val="null3"/>
      </w:pPr>
      <w:r>
        <w:rPr>
          <w:rFonts w:ascii="仿宋_GB2312" w:hAnsi="仿宋_GB2312" w:cs="仿宋_GB2312" w:eastAsia="仿宋_GB2312"/>
        </w:rPr>
        <w:t>8、供应商关联关系：供应商单位负责人为同一人或者存在控股、管理关系的不同单位，不得参加同一合同项下的政府采购；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三原县自然资源局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15877619722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陕西省西咸新区沣西新城康定路中铁港沣国际1309室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029-88685628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代理服务费收费标准：依据发改价格〔2015〕299号文件规定以成交价格为基准计取该项目的招标代理服务费。经双方协商，由成交供应商支付招标代理服务费，发放成交通知书时一次性付清。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三原县自然资源局</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省、市、县相关专家评审，符合《城市规划编制办法》（2006）、《陕西省城乡规划条例》（2009）、《陕西省控制性详细规划管理办法》（2017）等相关规范的要求，保质保量按时提交规划文本、说明书、图纸、数据库。</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联系电话：029-88685628</w:t>
      </w:r>
    </w:p>
    <w:p>
      <w:pPr>
        <w:pStyle w:val="null3"/>
      </w:pPr>
      <w:r>
        <w:rPr>
          <w:rFonts w:ascii="仿宋_GB2312" w:hAnsi="仿宋_GB2312" w:cs="仿宋_GB2312" w:eastAsia="仿宋_GB2312"/>
        </w:rPr>
        <w:t>地址：陕西省西咸新区沣西新城康定路中铁港沣国际1309室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三原两个片区城市更新规划项目包括：《三原清河两岸城市设计》、《三原五号信箱区更新改造方案设计》。清河作为三原县的母亲河，从城池建设以来至今，由最初的水源供给以及防御作用到如今城市中重要的城市绿色廊道与生态景观廊道，无不体现出其对于城市重要的作用和地位。清河项目不仅是落实中央城市工作会议的关键实践，也肩负着复兴关学精神、秦商文化，筑牢三原文脉根基的文化使命，延续城市生态廊道的生态使命，塑造城市高品质滨水空间的民生使命等多重历史使命。五号信箱片区区位非常重要，作为三原历史与现代交融之地，肩负着展示城市魅力、彰显文化活力的重任。但眼下这片承载着城市记忆与未来期许的地方，由于许多历史遗留问题破败不堪，成为三原城市建设之殇，更新改造迫在眉睫。城市更新需结合基地内部现状和城市发展条件，以传承文化基因为思路，让5号信箱成为推动城市能级跃升的关键一环。综上，三原县的城市更新工作以此两个项目为重要抓手和切入点，随着工作的逐渐深化和不断铺开。必然能够为三原县的城市发展、居民生活以及经济产业等多方面带来显著提升。 《三原清河两岸城市设计》项目规划范围东至延西高速，西至规划西环路，南北沿清河外扩100-600米，面积380.69公顷。《三原五号信箱区更新改造方案设计》项目规划面积2.13公顷。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1,673,500.00</w:t>
      </w:r>
    </w:p>
    <w:p>
      <w:pPr>
        <w:pStyle w:val="null3"/>
      </w:pPr>
      <w:r>
        <w:rPr>
          <w:rFonts w:ascii="仿宋_GB2312" w:hAnsi="仿宋_GB2312" w:cs="仿宋_GB2312" w:eastAsia="仿宋_GB2312"/>
        </w:rPr>
        <w:t>采购包最高限价（元）: 1,673,500.00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三原县清河两岸城市设计、五号信箱片区更新改造方案设计专项规划编制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1,673,500.00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标的名称：三原县清河两岸城市设计、五号信箱片区更新改造方案设计专项规划编制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（一）《三原清河两岸城市设计》主要工作内容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1）规划需结合三原清河两岸现状、价值、特征、保护要求及现实需求制定长远发展定位，从总体设计控制层面落实空间架构、清河管控、交通流线组织、生态开敞空间、建筑高度控制、色彩控制、夜景控制、滨水设施等具体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2）项目依托清河现状风貌进行分区，并制定分区控制与引导措施，结合上位国土空间规划完善片区底线管控、空间序列、建筑风格、建筑色彩、建筑高度、建筑体量、建筑立面、天际轮廓线、视线通廊等重要的城市管控要素。梳理各片区重要控制对象，确定控制要点，深化滨水建筑管控、建筑分类整治措施等具体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3）项目需根据清河沿线重要节点进行详细空间设计，明确各节点规划定位、现状问题及解决策略、规划设计思路、功能布局、总平面图、节点设计等内容，形成具有三原特色的景观空间。</w:t>
            </w:r>
          </w:p>
          <w:p>
            <w:pPr>
              <w:pStyle w:val="null3"/>
            </w:pPr>
            <w:r>
              <w:rPr>
                <w:rFonts w:ascii="仿宋_GB2312" w:hAnsi="仿宋_GB2312" w:cs="仿宋_GB2312" w:eastAsia="仿宋_GB2312"/>
                <w:sz w:val="21"/>
              </w:rPr>
              <w:t>（</w:t>
            </w:r>
            <w:r>
              <w:rPr>
                <w:rFonts w:ascii="仿宋_GB2312" w:hAnsi="仿宋_GB2312" w:cs="仿宋_GB2312" w:eastAsia="仿宋_GB2312"/>
                <w:sz w:val="21"/>
              </w:rPr>
              <w:t>4）明确项目行动计划，结合近、远期改造整治内容，确定重点建设项目库，并配合国土空间详细规划形成导则。分片区导则应包括底线管控内容、地块综合指标管控、整体导控、建筑风貌导控、绿化及开敞空间整体导控、道路交通整体导控、特色街道导控等内容。建筑导则针对院落格局的平面形式、院落装饰、入口位置，建筑立面的建筑屋顶、墙体、门窗、装饰进行详细引导。</w:t>
            </w:r>
          </w:p>
          <w:p>
            <w:pPr>
              <w:pStyle w:val="null3"/>
            </w:pPr>
            <w:r>
              <w:rPr>
                <w:rFonts w:ascii="仿宋_GB2312" w:hAnsi="仿宋_GB2312" w:cs="仿宋_GB2312" w:eastAsia="仿宋_GB2312"/>
                <w:sz w:val="21"/>
              </w:rPr>
              <w:t>（二）</w:t>
            </w:r>
            <w:r>
              <w:rPr>
                <w:rFonts w:ascii="仿宋_GB2312" w:hAnsi="仿宋_GB2312" w:cs="仿宋_GB2312" w:eastAsia="仿宋_GB2312"/>
                <w:sz w:val="21"/>
              </w:rPr>
              <w:t>《三原五号信箱区更新改造方案设计》主要工作内容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1）现场调研</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通过现场调研对基地建设条件进行分析，细致梳理基地内部地形地貌及现有建筑的立面特征、建筑结构、建筑质量等，包括现状植被尤其高大乔木生长状态、位置分布等情况，为后续规划设计提供基础依据。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2）定位研究</w:t>
            </w:r>
          </w:p>
          <w:p>
            <w:pPr>
              <w:pStyle w:val="null3"/>
            </w:pPr>
            <w:r>
              <w:rPr>
                <w:rFonts w:ascii="仿宋_GB2312" w:hAnsi="仿宋_GB2312" w:cs="仿宋_GB2312" w:eastAsia="仿宋_GB2312"/>
                <w:sz w:val="21"/>
              </w:rPr>
              <w:t>掌握基地社会、经济的历史与现实资料，对基地人口分布、功能结构、基础设施以及周边环境进行全面深入的调查和分析，判定区位条件优劣及发展潜力，确定片区发展定位及目标，明确片区形象定位及功能构成，进一步开展项目策划。</w:t>
            </w:r>
          </w:p>
          <w:p>
            <w:pPr>
              <w:pStyle w:val="null3"/>
            </w:pPr>
            <w:r>
              <w:rPr>
                <w:rFonts w:ascii="仿宋_GB2312" w:hAnsi="仿宋_GB2312" w:cs="仿宋_GB2312" w:eastAsia="仿宋_GB2312"/>
                <w:sz w:val="21"/>
              </w:rPr>
              <w:t>（</w:t>
            </w:r>
            <w:r>
              <w:rPr>
                <w:rFonts w:ascii="仿宋_GB2312" w:hAnsi="仿宋_GB2312" w:cs="仿宋_GB2312" w:eastAsia="仿宋_GB2312"/>
                <w:sz w:val="21"/>
              </w:rPr>
              <w:t>3）空间布局与设计方案</w:t>
            </w:r>
          </w:p>
          <w:p>
            <w:pPr>
              <w:pStyle w:val="null3"/>
            </w:pPr>
            <w:r>
              <w:rPr>
                <w:rFonts w:ascii="仿宋_GB2312" w:hAnsi="仿宋_GB2312" w:cs="仿宋_GB2312" w:eastAsia="仿宋_GB2312"/>
                <w:sz w:val="21"/>
              </w:rPr>
              <w:t>根据基地的功能需求和建设条件，科学合理的进行建筑、道路和绿地等空间布局，包括建筑改造、动线组织、景观设计等。布置总平面图，清晰展示各项设施的位置和相互关系。</w:t>
            </w:r>
          </w:p>
          <w:p>
            <w:pPr>
              <w:pStyle w:val="null3"/>
            </w:pP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建筑改造及设计方案：针对性开展保留建筑的改造设计，着重优化其使用功能与外观风貌。确定改造情形及提升改造内容，如：结构加固、墙面处理、外窗处理、屋顶处理、色彩搭配、灯光效果等。</w:t>
            </w:r>
          </w:p>
          <w:p>
            <w:pPr>
              <w:pStyle w:val="null3"/>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景观规划设计方案：注重景观的整体性和协调性，打造具有特色和美感的城市景观。通过设置景观节点、营造景观轴线、选择合适的植物品种等方式，提升基地的景观品质。同时考虑与周边环境的融合，形成有机的整体。</w:t>
            </w:r>
          </w:p>
          <w:p>
            <w:pPr>
              <w:pStyle w:val="null3"/>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交通组织规划方案：提出合理的交通组织方案和设计。包括确定道路的等级、宽度、断面形式，设置停车场和交通设施等，以解决交通拥堵问题，提高交通安全性和便利性。同时，考虑行人、自行车和机动车的通行需求，实现多种交通方式的有机结合。</w:t>
            </w:r>
          </w:p>
          <w:p>
            <w:pPr>
              <w:pStyle w:val="null3"/>
            </w:pPr>
            <w:r>
              <w:rPr>
                <w:rFonts w:ascii="仿宋_GB2312" w:hAnsi="仿宋_GB2312" w:cs="仿宋_GB2312" w:eastAsia="仿宋_GB2312"/>
                <w:sz w:val="21"/>
              </w:rPr>
              <w:t>（</w:t>
            </w:r>
            <w:r>
              <w:rPr>
                <w:rFonts w:ascii="仿宋_GB2312" w:hAnsi="仿宋_GB2312" w:cs="仿宋_GB2312" w:eastAsia="仿宋_GB2312"/>
                <w:sz w:val="21"/>
              </w:rPr>
              <w:t>4）技术经济论证</w:t>
            </w:r>
          </w:p>
          <w:p>
            <w:pPr>
              <w:pStyle w:val="null3"/>
            </w:pPr>
            <w:r>
              <w:rPr>
                <w:rFonts w:ascii="仿宋_GB2312" w:hAnsi="仿宋_GB2312" w:cs="仿宋_GB2312" w:eastAsia="仿宋_GB2312"/>
                <w:sz w:val="21"/>
              </w:rPr>
              <w:t>估算总造价，简要分析投资效益，从经济角度对规划项目进行论证，确保规划项目在技术上可行、经济上合理，具有良好的投资回报率和社会效益。</w:t>
            </w:r>
          </w:p>
          <w:p>
            <w:pPr>
              <w:pStyle w:val="null3"/>
            </w:pPr>
            <w:r>
              <w:rPr>
                <w:rFonts w:ascii="仿宋_GB2312" w:hAnsi="仿宋_GB2312" w:cs="仿宋_GB2312" w:eastAsia="仿宋_GB2312"/>
                <w:sz w:val="21"/>
              </w:rPr>
              <w:t>可结合不同开发强度形成多方案比较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合同签订后90个日历日内交付完毕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质量要求符合国家、行业的标准和有关规定。成交供应商按采购人要求将全部服务工作内容完成后，采购人组织审议，通过并修改完善形成最终成果。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合同生效后方案首次汇报完成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乙方完成初步成果后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规划方案评审通过后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采购人不履行合同时，已交付款项供应商有权不 予退还；供应方不履行合同时，采购人有权终止合同要求供应方退还已付款项。双方签订合同后，凡因该合同引起的或与该合同有关的任何争议、索赔和纠纷，应首先由双方以友好协商方式解决。协商不成的，双方可向采购人所在地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1、报价含完成任务所需的税费、设计规划费、人工费、交通费、专家费、租车费、资料费等所有费用。 2、合同其他条款：因资金拨款审批程序等原因，具体支付进度需结合采购人资金到账情况而定，供应商需预见且接受该情况。其他条款根据采购文件、响应文件及合同约定执行。 3、本项目实际采购人为三原县国土空间规划事务中心，因无独立《陕西省政府采购网》采购人账号，故使用三原县自然资源局账号发布公告，项目管理实施及合同签订等与本项目有关事宜均由三原县国土空间规划事务中心负责。 4、为顺利推进政府采购电子化交易平台试点应用工作，供应商需要在线提交所有通过电子化交易平台实施的政府采购项目的响应文件，同时，线下提交纸质响应文件正本壹份、副本壹份、电子版壹份（正本扫描件，U盘壹份）。 5、纸质响应文件正副本分别胶装，标明供应商名称密封递交，递交截止时间同在线递交电子响应文件截止时间一致。 6、若电子响应文件与纸质响应文件不一致的，以线上提交的电子响应文件为准。 7、线下递交文件时间：同响应文件截止时间、开标时间一致。线下递交文件地点：陕西省西咸新区沣西新城中铁港沣国际十三层 1308室。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法定代表人授权书（附法定代表人、被授权人身份证复印件）及被授权人身份证原件（法定代表人直接参加的，须提供法定代表人身份证明、身份证原件及身份证复印件）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经审计的财务报告（供应商的成立时间少于规定年份的，应提供成立以来的财务状况表）；或提供开户许可证（供应商在国家取消基本存款账户开户行政许可之后成立的，提供基本存款账号编号)以及在磋商会议日期前三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供应商提供近半年内已缴纳的至少一个月的纳税证明或完税证明，纳税证明或完税证明上应有代收机构或税务机关的公章，依法免税的供应商应提供相关文件证明；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供应商提供近半年内已缴存的至少一个月的社会保障资金缴存单据或社保机构开具的社会保险参保缴费情况证明，依法不需要缴纳社会保障资金的供应商应提供相关文件证明；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须具有独立承担民事责任能力的法人、其他组织或自然人，并出具合法有效的营业执照或事业单位法人证书等国家规定的相关证明，自然人参与的提供其身份证明，供应商须具备相关行政主管部门颁发的城乡规划编制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中国执行信息公开网”（zxgk.court.gov.cn/shixin/）中列入失信被执行人和“信用中国”（www.creditchina.gov.cn/）中列入重大税收违法失信主体的供应商，不得为“中国政府采购网”（www.ccgp.gov.cn）中列入“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供应商单位负责人为同一人或者存在控股、管理关系的不同单位，不得参加同一合同项下的政府采购；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经过有效性和符合性审核合格的单位，对付款、服务期、质量、验收。服务等方面进行响应，完全响应且逐项详细说明的计5分，未做详细响应的，按响应程度低于评标基准的赋1-4分。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编制思路及工作方案</w:t>
            </w:r>
          </w:p>
        </w:tc>
        <w:tc>
          <w:tcPr>
            <w:tcW w:type="dxa" w:w="2492"/>
          </w:tcPr>
          <w:p>
            <w:pPr>
              <w:pStyle w:val="null3"/>
            </w:pPr>
            <w:r>
              <w:rPr>
                <w:rFonts w:ascii="仿宋_GB2312" w:hAnsi="仿宋_GB2312" w:cs="仿宋_GB2312" w:eastAsia="仿宋_GB2312"/>
              </w:rPr>
              <w:t>1、根据供应商对本项目技术标准、项目特点的认识和理解按其响应情况优计12-7分，良计7～4分，差计4-0分； 2、对本项目的总体规划编制设计要求科学合理、层次分明、思路清晰、重点突出，逻辑严谨，具有针对性，按其响应情况优计12-7分，良计7～4分，差计4-0分。 3、供应商应针对本项目提供详尽的规划编制，达到科学性、合理性、实用性，满足采购文件要求及行业标准。按响应程度优计12-7分，良计7-4分，差计4-0分。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项目实施进度保证措施明确、方法合理，可行性强，能够按照磋商文件要求并满足采购人提出的项目进度要求。按其响应程度优计10-7分，良计7-4分，差计4-0分。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组织架构和人员配置</w:t>
            </w:r>
          </w:p>
        </w:tc>
        <w:tc>
          <w:tcPr>
            <w:tcW w:type="dxa" w:w="2492"/>
          </w:tcPr>
          <w:p>
            <w:pPr>
              <w:pStyle w:val="null3"/>
            </w:pPr>
            <w:r>
              <w:rPr>
                <w:rFonts w:ascii="仿宋_GB2312" w:hAnsi="仿宋_GB2312" w:cs="仿宋_GB2312" w:eastAsia="仿宋_GB2312"/>
              </w:rPr>
              <w:t>针对本项目组织架构完善，人员配备齐全，承担本项目实施的规划编制人员经验丰富。按响应程度优计10-7分，良计7-4分，差计4-0分。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拟投入本项目人员汇总表</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编制内容及成果文件满足本项目服务内容，具备详尽的工作安排体系并与省市有关规划、工程项目布局紧密衔接。以及完善的质量保证措施，按响应程度优计8-6分，良计6-4分，差计4-0分。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供应商能根据本项目特点提出合理化建议并制定详尽的建议书。按响应程度优计5-3分，良计3-2分，差计0-2分。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供应商须针对本项目及采购人实际需求提供详细具体可行的服务措施承诺，有详细的服务承诺书，能提供相关的实施措施，能及时响应和积极配合采购人的有关要求。按响应程度优计6-4分，良计4-2分，差计2-0分。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具有近三年（2022年11月）类似项目业绩，每提供1个得5分，最高得10分。（投标单位须提供中标通知书或相应的合同为准，不提供不得分）。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经初审合格的响应文件，其响应报价为有效响应报价； 满足磋商文件要求且提交价格最低的响应报价为评标基准价， 其价格分为满分。响应报价得分=（评标基准价／响应报价） ×10 本项目为专门面向中小企业，故不进行价格折扣；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详见附件：拟投入本项目人员汇总表</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