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版本号：NBC-2025-ZFCS-F-15820251117001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咸阳市三原县南关片区排水管网更新改造项目-初步设计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NBC-2025-ZFCS-F-158</w:t>
      </w:r>
      <w:r>
        <w:br/>
      </w:r>
      <w:r>
        <w:br/>
      </w:r>
      <w:r>
        <w:br/>
      </w:r>
    </w:p>
    <w:p>
      <w:pPr>
        <w:pStyle w:val="null3"/>
        <w:jc w:val="center"/>
        <w:outlineLvl w:val="2"/>
      </w:pPr>
      <w:r>
        <w:rPr>
          <w:rFonts w:ascii="仿宋_GB2312" w:hAnsi="仿宋_GB2312" w:cs="仿宋_GB2312" w:eastAsia="仿宋_GB2312"/>
          <w:sz w:val="28"/>
          <w:b/>
        </w:rPr>
        <w:t>三原县住房和城乡建设局</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三原县住房和城乡建设局</w:t>
      </w:r>
      <w:r>
        <w:rPr>
          <w:rFonts w:ascii="仿宋_GB2312" w:hAnsi="仿宋_GB2312" w:cs="仿宋_GB2312" w:eastAsia="仿宋_GB2312"/>
        </w:rPr>
        <w:t>委托，拟对</w:t>
      </w:r>
      <w:r>
        <w:rPr>
          <w:rFonts w:ascii="仿宋_GB2312" w:hAnsi="仿宋_GB2312" w:cs="仿宋_GB2312" w:eastAsia="仿宋_GB2312"/>
        </w:rPr>
        <w:t>咸阳市三原县南关片区排水管网更新改造项目-初步设计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NBC-2025-ZFCS-F-158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咸阳市三原县南关片区排水管网更新改造项目-初步设计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本项目对西闸口路、文峰大道及创新七路新建雨污水管道，工业一路新建雨水管道；雨水管道总长5041m；并配套建设雨水口检查井及其他附属设施；污水管道总长2924m并配套建设检查井及其他附属设施。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采购包1（咸阳市三原县南关片区排水管网更新改造项目-初步设计）：属于专门面向中小企业采购。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1、响应主体：具有独立承担民事责任能力的法人、其他组织或自然人，统一社会信用代码营业执照（事业单位提供事业单位法人证书，自然人提供本人身份证）合法有效；</w:t>
      </w:r>
    </w:p>
    <w:p>
      <w:pPr>
        <w:pStyle w:val="null3"/>
      </w:pPr>
      <w:r>
        <w:rPr>
          <w:rFonts w:ascii="仿宋_GB2312" w:hAnsi="仿宋_GB2312" w:cs="仿宋_GB2312" w:eastAsia="仿宋_GB2312"/>
        </w:rPr>
        <w:t>2、资质：供应商须具备工程设计综合甲级资质或市政行业工程设计乙级及以上资质或市政行业设计（燃气、轨道交通工程除外）乙级及以上资质或市政行业（排水工程）专业设计乙级及以上资质；供应商拟派项目负责人须具备注册公用设备工程师（给水排水）执业资格且在本单位注册，或市政公用工程相关专业高级工程师及以上职称；</w:t>
      </w:r>
    </w:p>
    <w:p>
      <w:pPr>
        <w:pStyle w:val="null3"/>
      </w:pPr>
      <w:r>
        <w:rPr>
          <w:rFonts w:ascii="仿宋_GB2312" w:hAnsi="仿宋_GB2312" w:cs="仿宋_GB2312" w:eastAsia="仿宋_GB2312"/>
        </w:rPr>
        <w:t>3、财务状况报告：提供2024年度经审计的财务审计报告（成立时间至开标时间不足一年的可提供成立后任意时段的资产负债表）或磋商截止时间前六个月内其基本账户银行出具的资信证明或政府采购信用担保机构出具的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p>
      <w:pPr>
        <w:pStyle w:val="null3"/>
      </w:pPr>
      <w:r>
        <w:rPr>
          <w:rFonts w:ascii="仿宋_GB2312" w:hAnsi="仿宋_GB2312" w:cs="仿宋_GB2312" w:eastAsia="仿宋_GB2312"/>
        </w:rPr>
        <w:t>4、税收缴纳证明：提供2025年1月1日至磋商截止时间前任意一个月的纳税证明或完税证明，凭据应有税务机关或代收机关的公章或业务专用章。依法免税或无需缴纳税收的供应商，应提供相应证明文件；</w:t>
      </w:r>
    </w:p>
    <w:p>
      <w:pPr>
        <w:pStyle w:val="null3"/>
      </w:pPr>
      <w:r>
        <w:rPr>
          <w:rFonts w:ascii="仿宋_GB2312" w:hAnsi="仿宋_GB2312" w:cs="仿宋_GB2312" w:eastAsia="仿宋_GB2312"/>
        </w:rPr>
        <w:t>5、社会保障资金缴纳证明：提供2025年1月1日至磋商截止时间前任意一个月已缴纳的社会保障资金的凭据（专用收据或社会保险缴纳清单）；依法不需要缴纳社会保障资金的供应商应提供相关文件证明；</w:t>
      </w:r>
    </w:p>
    <w:p>
      <w:pPr>
        <w:pStyle w:val="null3"/>
      </w:pPr>
      <w:r>
        <w:rPr>
          <w:rFonts w:ascii="仿宋_GB2312" w:hAnsi="仿宋_GB2312" w:cs="仿宋_GB2312" w:eastAsia="仿宋_GB2312"/>
        </w:rPr>
        <w:t>6、无重大违法记录声明：供应商提供在递交竞争性磋商响应文件截止时间前参加政府采购活动前三年内在经营活动中没有重大违法记录的书面声明；</w:t>
      </w:r>
    </w:p>
    <w:p>
      <w:pPr>
        <w:pStyle w:val="null3"/>
      </w:pPr>
      <w:r>
        <w:rPr>
          <w:rFonts w:ascii="仿宋_GB2312" w:hAnsi="仿宋_GB2312" w:cs="仿宋_GB2312" w:eastAsia="仿宋_GB2312"/>
        </w:rPr>
        <w:t>7、书面声明：提供书面声明，包括声明具有履行合同所必需的设备和专业技术能力；</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p>
      <w:pPr>
        <w:pStyle w:val="null3"/>
      </w:pPr>
      <w:r>
        <w:rPr>
          <w:rFonts w:ascii="仿宋_GB2312" w:hAnsi="仿宋_GB2312" w:cs="仿宋_GB2312" w:eastAsia="仿宋_GB2312"/>
        </w:rPr>
        <w:t>9、本项目不接受联合磋商：本项目不接受联合磋商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三原县住房和城乡建设局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三原县住房和城乡建设局经办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13409103525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陕西省西安市雁塔区西安曲江新区雁翔路旺座曲江K座1701室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13032959385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采购包1：523,800.00元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代理服务费收费标准：参照国家计委计价格[2002]1980号及发改办价格[2003]857号通知规定标准计取，由成交供应商在领取成交通知书前一次性支付采购代理服务费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三原县住房和城乡建设局</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纳百川项目管理咨询有限公司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（1）《陕西省政府投资管理办法》; （2）陕西省发改委-陕西省固定资产投资项目管理操作指南(2020年） （3）《建设项目经济评价方法与参数》第三版； （4）《中华人民共和国国民经济和社会发展第十四个五年规划和2035年远景目标纲要》； （5）《国务院办公厅关于全面推进城镇老旧小区改造工作的指导意见》（国办发〔2020〕23号）； （6）《关于用好中央预算内投资扎实推进城镇老旧小区改造工作的通知》（发改投资〔2020〕305号） （7）国家发展改革委、住房城乡建设部发布《关于加强城镇老旧小区改造配套设施建设的通知》（发改投资〔2021〕1275号）； （8）《国家发展改革委办公厅关于总结推广加强城镇老旧小区改造资金保障典型经验的通知》（发改办投资〔2021〕794号）； （9）《陕西省国民经济和社会发展第十四个五年规划和二〇三五年远景目标纲要》； （10）《陕西省关于推进全省城镇老旧小区改造工作的实施意见》（陕建发〔2019〕1189号）； （11）《陕西省2021年城市体检工作实施方案》（2021年6月）； （12）《进一步优化城镇老旧小区改造项目审批的指导意见（试行）的通知》（陕建发〔2021〕1034号）； （13）《陕西省城镇老旧小区改造导则》； （14）《陕西省人民政府住房和城乡建设部关于印发在城乡人居环境建设中开展美好环境与幸福生活共同缔造活动实施方案的通知》（陕政发〔2021〕17 号）； （15）省住建厅、省发展改革委、省财政厅《关于进一步规范城镇老旧小区改造工作的意见》（陕建发〔2022〕293号）； （16）陕西省住建厅、省发展改革委、省财政厅印发《关于高位推进2023 年全省城镇老旧小区改造工作的通知》（陕建发〔2023〕1号）； （17）《陕西三原城市总体规划（2010年-2025年）》； （18）《建筑工程设计文件编制深度规定》（2016年版）</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联系电话：13032959385</w:t>
      </w:r>
    </w:p>
    <w:p>
      <w:pPr>
        <w:pStyle w:val="null3"/>
      </w:pPr>
      <w:r>
        <w:rPr>
          <w:rFonts w:ascii="仿宋_GB2312" w:hAnsi="仿宋_GB2312" w:cs="仿宋_GB2312" w:eastAsia="仿宋_GB2312"/>
        </w:rPr>
        <w:t>地址：西安市曲江新区南三环辅路以南曲江文创中心7幢1单元1701号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本项目对西闸口路、文峰大道及创新七路新建雨污水管道，工业一路新建雨水管道；雨水管道总长5041m；并配套建设雨水口检查井及其他附属设施；污水管道总长2924m并配套建设检查井及其他附属设施。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523,800.00</w:t>
      </w:r>
    </w:p>
    <w:p>
      <w:pPr>
        <w:pStyle w:val="null3"/>
      </w:pPr>
      <w:r>
        <w:rPr>
          <w:rFonts w:ascii="仿宋_GB2312" w:hAnsi="仿宋_GB2312" w:cs="仿宋_GB2312" w:eastAsia="仿宋_GB2312"/>
        </w:rPr>
        <w:t>采购包最高限价（元）: 523,800.00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咸阳市三原县南关片区排水管网更新改造项目-初步设计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523,800.00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标的名称：咸阳市三原县南关片区排水管网更新改造项目-初步设计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18"/>
                    </w:rPr>
                    <w:t>一、项目概况</w:t>
                  </w:r>
                </w:p>
                <w:p>
                  <w:pPr>
                    <w:pStyle w:val="null3"/>
                    <w:jc w:val="both"/>
                  </w:pPr>
                  <w:r>
                    <w:rPr>
                      <w:rFonts w:ascii="仿宋_GB2312" w:hAnsi="仿宋_GB2312" w:cs="仿宋_GB2312" w:eastAsia="仿宋_GB2312"/>
                      <w:sz w:val="18"/>
                    </w:rPr>
                    <w:t>本项目对西闸口路、文峰大道及创新七路新建雨污水管道，工业一路新建雨水管道；雨水管道总长5041m；并配套建设雨水口检查井及其他附属设施；污水管道总长2924m并配套建设检查井及其他附属设施。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二、服务内容</w:t>
                  </w:r>
                </w:p>
                <w:p>
                  <w:pPr>
                    <w:pStyle w:val="null3"/>
                    <w:jc w:val="both"/>
                  </w:pPr>
                  <w:r>
                    <w:rPr>
                      <w:rFonts w:ascii="仿宋_GB2312" w:hAnsi="仿宋_GB2312" w:cs="仿宋_GB2312" w:eastAsia="仿宋_GB2312"/>
                      <w:sz w:val="18"/>
                    </w:rPr>
                    <w:t>本项目对西闸口路、文峰大道及创新七路新建雨污水管道，工业一路新建雨水管道；雨水管道总长5041m；并配套建设雨水口检查井及其他附属设施；污水管道总长2924m并配套建设检查井及其他附属设施。</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三、设计依据</w:t>
                  </w:r>
                </w:p>
                <w:p>
                  <w:pPr>
                    <w:pStyle w:val="null3"/>
                    <w:ind w:firstLine="400"/>
                    <w:jc w:val="both"/>
                  </w:pPr>
                  <w:r>
                    <w:rPr>
                      <w:rFonts w:ascii="仿宋_GB2312" w:hAnsi="仿宋_GB2312" w:cs="仿宋_GB2312" w:eastAsia="仿宋_GB2312"/>
                      <w:sz w:val="18"/>
                    </w:rPr>
                    <w:t>1、国家有关法律、法规、标准、规范及省、市有关规定。</w:t>
                  </w:r>
                </w:p>
                <w:p>
                  <w:pPr>
                    <w:pStyle w:val="null3"/>
                    <w:ind w:firstLine="400"/>
                    <w:jc w:val="both"/>
                  </w:pPr>
                  <w:r>
                    <w:rPr>
                      <w:rFonts w:ascii="仿宋_GB2312" w:hAnsi="仿宋_GB2312" w:cs="仿宋_GB2312" w:eastAsia="仿宋_GB2312"/>
                      <w:sz w:val="18"/>
                    </w:rPr>
                    <w:t>2、甲方提供设计依据。</w:t>
                  </w:r>
                </w:p>
                <w:p>
                  <w:pPr>
                    <w:pStyle w:val="null3"/>
                    <w:ind w:firstLine="400"/>
                    <w:jc w:val="both"/>
                  </w:pPr>
                  <w:r>
                    <w:rPr>
                      <w:rFonts w:ascii="仿宋_GB2312" w:hAnsi="仿宋_GB2312" w:cs="仿宋_GB2312" w:eastAsia="仿宋_GB2312"/>
                      <w:sz w:val="18"/>
                    </w:rPr>
                    <w:t>3、政府各主管部门规划审批文件。</w:t>
                  </w:r>
                </w:p>
                <w:p>
                  <w:pPr>
                    <w:pStyle w:val="null3"/>
                    <w:ind w:firstLine="400"/>
                    <w:jc w:val="both"/>
                  </w:pPr>
                  <w:r>
                    <w:rPr>
                      <w:rFonts w:ascii="仿宋_GB2312" w:hAnsi="仿宋_GB2312" w:cs="仿宋_GB2312" w:eastAsia="仿宋_GB2312"/>
                      <w:sz w:val="18"/>
                    </w:rPr>
                    <w:t>4、《市政公用工程设计文件编制深度规定》。</w:t>
                  </w:r>
                </w:p>
                <w:p>
                  <w:pPr>
                    <w:pStyle w:val="null3"/>
                    <w:ind w:firstLine="400"/>
                    <w:jc w:val="both"/>
                  </w:pPr>
                  <w:r>
                    <w:rPr>
                      <w:rFonts w:ascii="仿宋_GB2312" w:hAnsi="仿宋_GB2312" w:cs="仿宋_GB2312" w:eastAsia="仿宋_GB2312"/>
                      <w:sz w:val="18"/>
                    </w:rPr>
                    <w:t>5、甲方的设计标准、审核意见及其他设计要求。</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jc w:val="both"/>
                  </w:pPr>
                  <w:r>
                    <w:rPr>
                      <w:rFonts w:ascii="仿宋_GB2312" w:hAnsi="仿宋_GB2312" w:cs="仿宋_GB2312" w:eastAsia="仿宋_GB2312"/>
                      <w:sz w:val="18"/>
                    </w:rPr>
                    <w:t>四、技术要求</w:t>
                  </w:r>
                </w:p>
                <w:p>
                  <w:pPr>
                    <w:pStyle w:val="null3"/>
                    <w:ind w:firstLine="360"/>
                    <w:jc w:val="both"/>
                  </w:pPr>
                  <w:r>
                    <w:rPr>
                      <w:rFonts w:ascii="仿宋_GB2312" w:hAnsi="仿宋_GB2312" w:cs="仿宋_GB2312" w:eastAsia="仿宋_GB2312"/>
                      <w:sz w:val="18"/>
                    </w:rPr>
                    <w:t>1、设计单位遵循现行法律法规和规范标准，按照设计管理要求进行初步设计工作。满足现行《市政公用工程设计文件编制深度规定》</w:t>
                  </w:r>
                </w:p>
                <w:p>
                  <w:pPr>
                    <w:pStyle w:val="null3"/>
                    <w:jc w:val="both"/>
                  </w:pPr>
                  <w:r>
                    <w:rPr>
                      <w:rFonts w:ascii="仿宋_GB2312" w:hAnsi="仿宋_GB2312" w:cs="仿宋_GB2312" w:eastAsia="仿宋_GB2312"/>
                      <w:sz w:val="19"/>
                    </w:rPr>
                    <w:t xml:space="preserve">   </w:t>
                  </w:r>
                  <w:r>
                    <w:rPr>
                      <w:rFonts w:ascii="仿宋_GB2312" w:hAnsi="仿宋_GB2312" w:cs="仿宋_GB2312" w:eastAsia="仿宋_GB2312"/>
                      <w:sz w:val="18"/>
                    </w:rPr>
                    <w:t>2、其它采购人要求的内容。</w:t>
                  </w:r>
                </w:p>
              </w:tc>
            </w:tr>
            <w:tr>
              <w:tc>
                <w:tcPr>
                  <w:tcW w:type="dxa" w:w="25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0"/>
                  </w:pPr>
                  <w:r>
                    <w:rPr>
                      <w:rFonts w:ascii="仿宋_GB2312" w:hAnsi="仿宋_GB2312" w:cs="仿宋_GB2312" w:eastAsia="仿宋_GB2312"/>
                      <w:sz w:val="18"/>
                    </w:rPr>
                    <w:t>五、商务要求：</w:t>
                  </w:r>
                </w:p>
                <w:p>
                  <w:pPr>
                    <w:pStyle w:val="null3"/>
                    <w:ind w:firstLine="400"/>
                  </w:pPr>
                  <w:r>
                    <w:rPr>
                      <w:rFonts w:ascii="仿宋_GB2312" w:hAnsi="仿宋_GB2312" w:cs="仿宋_GB2312" w:eastAsia="仿宋_GB2312"/>
                      <w:sz w:val="18"/>
                    </w:rPr>
                    <w:t>（一）价格：</w:t>
                  </w:r>
                </w:p>
                <w:p>
                  <w:pPr>
                    <w:pStyle w:val="null3"/>
                    <w:ind w:firstLine="400"/>
                  </w:pPr>
                  <w:r>
                    <w:rPr>
                      <w:rFonts w:ascii="仿宋_GB2312" w:hAnsi="仿宋_GB2312" w:cs="仿宋_GB2312" w:eastAsia="仿宋_GB2312"/>
                      <w:sz w:val="18"/>
                    </w:rPr>
                    <w:t>1、合同单价包括：服务费、售后服务费、利润、税金、保险、相关伴随费用等的一切费用。</w:t>
                  </w:r>
                </w:p>
                <w:p>
                  <w:pPr>
                    <w:pStyle w:val="null3"/>
                    <w:ind w:firstLine="400"/>
                  </w:pPr>
                  <w:r>
                    <w:rPr>
                      <w:rFonts w:ascii="仿宋_GB2312" w:hAnsi="仿宋_GB2312" w:cs="仿宋_GB2312" w:eastAsia="仿宋_GB2312"/>
                      <w:sz w:val="18"/>
                    </w:rPr>
                    <w:t>2、合同有效期内，合同单价一次包死，不受国家政策性调价或原材料价格变化及外汇汇率变化的影响，并作为最终结算的唯一依据。</w:t>
                  </w:r>
                </w:p>
                <w:p>
                  <w:pPr>
                    <w:pStyle w:val="null3"/>
                  </w:pPr>
                  <w:r>
                    <w:rPr>
                      <w:rFonts w:ascii="仿宋_GB2312" w:hAnsi="仿宋_GB2312" w:cs="仿宋_GB2312" w:eastAsia="仿宋_GB2312"/>
                      <w:sz w:val="18"/>
                    </w:rPr>
                    <w:t xml:space="preserve">   </w:t>
                  </w:r>
                  <w:r>
                    <w:rPr>
                      <w:rFonts w:ascii="仿宋_GB2312" w:hAnsi="仿宋_GB2312" w:cs="仿宋_GB2312" w:eastAsia="仿宋_GB2312"/>
                      <w:sz w:val="18"/>
                    </w:rPr>
                    <w:t>3、服务承诺：供应商应遵照国家规范规定的技术服务内容及要求作出明确承诺。</w:t>
                  </w:r>
                </w:p>
                <w:p>
                  <w:pPr>
                    <w:pStyle w:val="null3"/>
                    <w:ind w:firstLine="400"/>
                  </w:pPr>
                  <w:r>
                    <w:rPr>
                      <w:rFonts w:ascii="仿宋_GB2312" w:hAnsi="仿宋_GB2312" w:cs="仿宋_GB2312" w:eastAsia="仿宋_GB2312"/>
                      <w:sz w:val="18"/>
                    </w:rPr>
                    <w:t>（二）质量安排排查保密要求：</w:t>
                  </w:r>
                </w:p>
                <w:p>
                  <w:pPr>
                    <w:pStyle w:val="null3"/>
                    <w:ind w:firstLine="400"/>
                  </w:pPr>
                  <w:r>
                    <w:rPr>
                      <w:rFonts w:ascii="仿宋_GB2312" w:hAnsi="仿宋_GB2312" w:cs="仿宋_GB2312" w:eastAsia="仿宋_GB2312"/>
                      <w:sz w:val="18"/>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w:t>
                  </w:r>
                  <w:r>
                    <w:rPr>
                      <w:rFonts w:ascii="仿宋_GB2312" w:hAnsi="仿宋_GB2312" w:cs="仿宋_GB2312" w:eastAsia="仿宋_GB2312"/>
                      <w:sz w:val="18"/>
                    </w:rPr>
                    <w:t>(包括刑事责任)。</w:t>
                  </w:r>
                </w:p>
                <w:p>
                  <w:pPr>
                    <w:pStyle w:val="null3"/>
                    <w:ind w:firstLine="400"/>
                  </w:pPr>
                  <w:r>
                    <w:rPr>
                      <w:rFonts w:ascii="仿宋_GB2312" w:hAnsi="仿宋_GB2312" w:cs="仿宋_GB2312" w:eastAsia="仿宋_GB2312"/>
                      <w:sz w:val="18"/>
                    </w:rPr>
                    <w:t>（三）质量保证：</w:t>
                  </w:r>
                </w:p>
                <w:p>
                  <w:pPr>
                    <w:pStyle w:val="null3"/>
                    <w:ind w:firstLine="400"/>
                  </w:pPr>
                  <w:r>
                    <w:rPr>
                      <w:rFonts w:ascii="仿宋_GB2312" w:hAnsi="仿宋_GB2312" w:cs="仿宋_GB2312" w:eastAsia="仿宋_GB2312"/>
                      <w:sz w:val="18"/>
                    </w:rPr>
                    <w:t>成交供应商保证服务质量完全符合合同规定的质量标准及国家有关规范和标准。</w:t>
                  </w:r>
                </w:p>
                <w:p>
                  <w:pPr>
                    <w:pStyle w:val="null3"/>
                    <w:ind w:firstLine="400"/>
                    <w:jc w:val="both"/>
                  </w:pPr>
                  <w:r>
                    <w:rPr>
                      <w:rFonts w:ascii="仿宋_GB2312" w:hAnsi="仿宋_GB2312" w:cs="仿宋_GB2312" w:eastAsia="仿宋_GB2312"/>
                      <w:sz w:val="18"/>
                    </w:rPr>
                    <w:t>（四）验收：</w:t>
                  </w:r>
                </w:p>
                <w:p>
                  <w:pPr>
                    <w:pStyle w:val="null3"/>
                    <w:ind w:firstLine="400"/>
                    <w:jc w:val="both"/>
                  </w:pPr>
                  <w:r>
                    <w:rPr>
                      <w:rFonts w:ascii="仿宋_GB2312" w:hAnsi="仿宋_GB2312" w:cs="仿宋_GB2312" w:eastAsia="仿宋_GB2312"/>
                      <w:sz w:val="18"/>
                    </w:rPr>
                    <w:t>1、成交供应商对最终的服务质量负完全责任。</w:t>
                  </w:r>
                </w:p>
                <w:p>
                  <w:pPr>
                    <w:pStyle w:val="null3"/>
                    <w:ind w:firstLine="400"/>
                    <w:jc w:val="both"/>
                  </w:pPr>
                  <w:r>
                    <w:rPr>
                      <w:rFonts w:ascii="仿宋_GB2312" w:hAnsi="仿宋_GB2312" w:cs="仿宋_GB2312" w:eastAsia="仿宋_GB2312"/>
                      <w:sz w:val="18"/>
                    </w:rPr>
                    <w:t>2、验收依据：</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1）合同；</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2）国家有关的验收标准及规范；</w:t>
                  </w:r>
                </w:p>
                <w:p>
                  <w:pPr>
                    <w:pStyle w:val="null3"/>
                    <w:ind w:firstLine="400"/>
                    <w:jc w:val="both"/>
                  </w:pPr>
                  <w:r>
                    <w:rPr>
                      <w:rFonts w:ascii="仿宋_GB2312" w:hAnsi="仿宋_GB2312" w:cs="仿宋_GB2312" w:eastAsia="仿宋_GB2312"/>
                      <w:sz w:val="18"/>
                    </w:rPr>
                    <w:t>（</w:t>
                  </w:r>
                  <w:r>
                    <w:rPr>
                      <w:rFonts w:ascii="仿宋_GB2312" w:hAnsi="仿宋_GB2312" w:cs="仿宋_GB2312" w:eastAsia="仿宋_GB2312"/>
                      <w:sz w:val="18"/>
                    </w:rPr>
                    <w:t>3）竞争性磋商文件、竞争性磋商响应文件；</w:t>
                  </w:r>
                </w:p>
                <w:p>
                  <w:pPr>
                    <w:pStyle w:val="null3"/>
                    <w:ind w:firstLine="400"/>
                    <w:jc w:val="both"/>
                  </w:pPr>
                  <w:r>
                    <w:rPr>
                      <w:rFonts w:ascii="仿宋_GB2312" w:hAnsi="仿宋_GB2312" w:cs="仿宋_GB2312" w:eastAsia="仿宋_GB2312"/>
                      <w:sz w:val="18"/>
                    </w:rPr>
                    <w:t>（五）合同实施：</w:t>
                  </w:r>
                </w:p>
                <w:p>
                  <w:pPr>
                    <w:pStyle w:val="null3"/>
                    <w:ind w:firstLine="400"/>
                    <w:jc w:val="both"/>
                  </w:pPr>
                  <w:r>
                    <w:rPr>
                      <w:rFonts w:ascii="仿宋_GB2312" w:hAnsi="仿宋_GB2312" w:cs="仿宋_GB2312" w:eastAsia="仿宋_GB2312"/>
                      <w:sz w:val="18"/>
                    </w:rPr>
                    <w:t>1、成交供应商应在合同签订后尽快安排人员与采购单位就服务工作进行安排、部署。</w:t>
                  </w:r>
                </w:p>
                <w:p>
                  <w:pPr>
                    <w:pStyle w:val="null3"/>
                    <w:ind w:firstLine="400"/>
                    <w:jc w:val="both"/>
                  </w:pPr>
                  <w:r>
                    <w:rPr>
                      <w:rFonts w:ascii="仿宋_GB2312" w:hAnsi="仿宋_GB2312" w:cs="仿宋_GB2312" w:eastAsia="仿宋_GB2312"/>
                      <w:sz w:val="18"/>
                    </w:rPr>
                    <w:t>2、若因成交供应商原因未能在服务期内完成合同规定的义务，由此对采购人造成的延误和一切损失，由成交单位人承担和赔偿。</w:t>
                  </w:r>
                </w:p>
                <w:p>
                  <w:pPr>
                    <w:pStyle w:val="null3"/>
                    <w:ind w:firstLine="400"/>
                    <w:jc w:val="both"/>
                  </w:pPr>
                  <w:r>
                    <w:rPr>
                      <w:rFonts w:ascii="仿宋_GB2312" w:hAnsi="仿宋_GB2312" w:cs="仿宋_GB2312" w:eastAsia="仿宋_GB2312"/>
                      <w:sz w:val="18"/>
                    </w:rPr>
                    <w:t>（六）设计服务期：</w:t>
                  </w:r>
                </w:p>
                <w:p>
                  <w:pPr>
                    <w:pStyle w:val="null3"/>
                    <w:ind w:firstLine="400"/>
                    <w:jc w:val="both"/>
                  </w:pPr>
                  <w:r>
                    <w:rPr>
                      <w:rFonts w:ascii="仿宋_GB2312" w:hAnsi="仿宋_GB2312" w:cs="仿宋_GB2312" w:eastAsia="仿宋_GB2312"/>
                      <w:sz w:val="18"/>
                    </w:rPr>
                    <w:t>自合同签订之日起90日历天。</w:t>
                  </w:r>
                </w:p>
                <w:p>
                  <w:pPr>
                    <w:pStyle w:val="null3"/>
                    <w:jc w:val="both"/>
                  </w:pPr>
                  <w:r>
                    <w:rPr>
                      <w:rFonts w:ascii="仿宋_GB2312" w:hAnsi="仿宋_GB2312" w:cs="仿宋_GB2312" w:eastAsia="仿宋_GB2312"/>
                      <w:sz w:val="18"/>
                    </w:rPr>
                    <w:t>注：商务要求为实质性要求，不得负偏离。</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供应商根据单位自身情况及项目实际情况配置</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三原县住房和城乡建设局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乙方提交成果后且验收合格后达到付款条件30日内付款100%。</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根据项目进度，按合同约定支付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具有独立承担民事责任能力的法人、其他组织或自然人，统一社会信用代码营业执照（事业单位提供事业单位法人证书，自然人提供本人身份证）合法有效；</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备工程设计综合甲级资质或市政行业工程设计乙级及以上资质或市政行业设计（燃气、轨道交通工程除外）乙级及以上资质或市政行业（排水工程）专业设计乙级及以上资质；供应商拟派项目负责人须具备注册公用设备工程师（给水排水）执业资格且在本单位注册，或市政公用工程相关专业高级工程师及以上职称；</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审计报告（成立时间至开标时间不足一年的可提供成立后任意时段的资产负债表）或磋商截止时间前六个月内其基本账户银行出具的资信证明或政府采购信用担保机构出具的担保函；(以上三种形式的资料提供任何一种即可)注：财会[2023]15号文《财政部 国务院国资委 金融监管总局关于加强审计报告查验工作的通知》会计师事务所应当主动向被审计单位提供附验证码的审计报告。即2023年及以后的审计报告需附验证码。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提供2025年1月1日至磋商截止时间前任意一个月的纳税证明或完税证明，凭据应有税务机关或代收机关的公章或业务专用章。依法免税或无需缴纳税收的供应商，应提供相应证明文件；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提供2025年1月1日至磋商截止时间前任意一个月已缴纳的社会保障资金的凭据（专用收据或社会保险缴纳清单）；依法不需要缴纳社会保障资金的供应商应提供相关文件证明；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供应商提供在递交竞争性磋商响应文件截止时间前参加政府采购活动前三年内在经营活动中没有重大违法记录的书面声明；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本项目不接受联合磋商</w:t>
            </w:r>
          </w:p>
        </w:tc>
        <w:tc>
          <w:tcPr>
            <w:tcW w:type="dxa" w:w="3322"/>
          </w:tcPr>
          <w:p>
            <w:pPr>
              <w:pStyle w:val="null3"/>
            </w:pPr>
            <w:r>
              <w:rPr>
                <w:rFonts w:ascii="仿宋_GB2312" w:hAnsi="仿宋_GB2312" w:cs="仿宋_GB2312" w:eastAsia="仿宋_GB2312"/>
              </w:rPr>
              <w:t>本项目不接受联合磋商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响应主体</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除明确允许供应商可以自行编写的外，磋商响应文件应按照竞争性磋商文件给定的格式编制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（1）货币单位符合竞争性磋商文件要求（2）报价符合唯一性要求 （3）未超出采购预算或最高限价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磋商有效期满足竞争性磋商文件的要求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w:t>
            </w:r>
          </w:p>
        </w:tc>
        <w:tc>
          <w:tcPr>
            <w:tcW w:type="dxa" w:w="3322"/>
          </w:tcPr>
          <w:p>
            <w:pPr>
              <w:pStyle w:val="null3"/>
            </w:pPr>
            <w:r>
              <w:rPr>
                <w:rFonts w:ascii="仿宋_GB2312" w:hAnsi="仿宋_GB2312" w:cs="仿宋_GB2312" w:eastAsia="仿宋_GB2312"/>
              </w:rPr>
              <w:t>对磋商文件技术要求未作出明确响应，对不得偏离的要求是否作了实质性响应</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符合招标文件要求：本项目专门面向中小企业采购。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法律、法规和磋商文件规定的其他无效响应情形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针对本项目的理解，内容包括但不限于①对本项目的背景、内容及意义理解②项目的重点内容分析③项目功能定位④项目内容全面认知等。方案内容详细完整、针对性强、可行性高，符合项目实际要求。 每项满分2分，缺项不得分，每项内容存在缺陷，扣0.5-1.5分。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针对本项目的实施方案，包括①设计深度与规范符合性②设计内容完整性③设计思路清晰性④需求匹配度⑤实施可行性⑥技术完整性等。方案内容详细完整、针对性强、可行性高，符合项目实际要求。 每项满分2分，缺项不得分 , 每项内容存在缺陷，扣0.5-1.5分。缺陷是指内容不合理、虽有内容但不完善、内容表述前后不一致、套用其他项目方案或与项目需求不匹配及其他不利于项目实施的任意一种情形。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针对本项目的重难点分析，包括①重点难点识别全面性②应对措施针对性③技术衔接与兼容性问题④建议可行性等。方案内容详细完整、针对性强、可行性高，符合项目实际要求。 每项满分2分，缺项不得分 , 每项内容存在缺陷，扣0.5-1.5分。缺陷是指内容不合理、虽有内容但不完善、内容表述前后不一致、套用其他项目方案或与项目需求不匹配及其他不利于项目实施的任意一种情形。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设计质量控制的保证措施</w:t>
            </w:r>
          </w:p>
        </w:tc>
        <w:tc>
          <w:tcPr>
            <w:tcW w:type="dxa" w:w="2492"/>
          </w:tcPr>
          <w:p>
            <w:pPr>
              <w:pStyle w:val="null3"/>
            </w:pPr>
            <w:r>
              <w:rPr>
                <w:rFonts w:ascii="仿宋_GB2312" w:hAnsi="仿宋_GB2312" w:cs="仿宋_GB2312" w:eastAsia="仿宋_GB2312"/>
              </w:rPr>
              <w:t>针对本项目的设计质量控制的保证措施，包括①规范执行与标准落地②全流程质量管控机制③专业协同与技术复核④质量追溯与动态优化等。方案内容详细完整、针对性强、可行性高，符合项目实际要求。每项满分2分，缺项不得分 , 每项内容存在缺陷，扣0.5-1.5分。缺陷是指内容不合理、虽有内容但不完善、内容表述前后不一致、套用其他项目方案或与项目需求不匹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时间进度安排计划</w:t>
            </w:r>
          </w:p>
        </w:tc>
        <w:tc>
          <w:tcPr>
            <w:tcW w:type="dxa" w:w="2492"/>
          </w:tcPr>
          <w:p>
            <w:pPr>
              <w:pStyle w:val="null3"/>
            </w:pPr>
            <w:r>
              <w:rPr>
                <w:rFonts w:ascii="仿宋_GB2312" w:hAnsi="仿宋_GB2312" w:cs="仿宋_GB2312" w:eastAsia="仿宋_GB2312"/>
              </w:rPr>
              <w:t>针对本项目的设计时间进度安排计划，包括①阶段划分与关键节点②资源配置与进度保障③风险应对与动态调整④进度可视化与验收标准等。方案内容详细完整、针对性强、可行性高，符合项目实际要求。 每项满分2分，缺项不得分, 每项内容存在缺陷，扣0.5-1.5分。缺陷是指内容不合理、虽有内容但不完善、内容表述前后不一致、套用其他项目方案或与项目需求不匹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设计服务组织的保证措施</w:t>
            </w:r>
          </w:p>
        </w:tc>
        <w:tc>
          <w:tcPr>
            <w:tcW w:type="dxa" w:w="2492"/>
          </w:tcPr>
          <w:p>
            <w:pPr>
              <w:pStyle w:val="null3"/>
            </w:pPr>
            <w:r>
              <w:rPr>
                <w:rFonts w:ascii="仿宋_GB2312" w:hAnsi="仿宋_GB2312" w:cs="仿宋_GB2312" w:eastAsia="仿宋_GB2312"/>
              </w:rPr>
              <w:t>针对本项目的设计服务组织的保证措施，包括①团队架构与职责分工②沟通机制与流程规范③风险防控与应急响应④质量监督与持续改进等。方案内容详细完整、针对性强、可行性高，符合项目实际要求。 每项满分2分，缺项不得分 , 每项内容存在缺陷，扣0.5-1.5分。缺陷是指内容不合理、虽有内容但不完善、内容表述前后不一致、套用其他项目方案或与项目需求不匹配及其他不利于项目实施的任意一种情形。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项目设计成本控制措施</w:t>
            </w:r>
          </w:p>
        </w:tc>
        <w:tc>
          <w:tcPr>
            <w:tcW w:type="dxa" w:w="2492"/>
          </w:tcPr>
          <w:p>
            <w:pPr>
              <w:pStyle w:val="null3"/>
            </w:pPr>
            <w:r>
              <w:rPr>
                <w:rFonts w:ascii="仿宋_GB2312" w:hAnsi="仿宋_GB2312" w:cs="仿宋_GB2312" w:eastAsia="仿宋_GB2312"/>
              </w:rPr>
              <w:t>针对本项目的项目设计成本控制措施，包括①限额设计与目标分解②方案比选与技术经济论证③全流程成本管控节点④动态监控与偏差调整等。方案内容详细完整、针对性强、可行性高，符合项目实际 要求。每项满分2分，缺项不得分 , 每项内容存在缺陷，扣0.5-1.5分。缺陷是指内容不合理、虽有内容但不完善、内容表述前后不一致、套用其他项目方案或与项目需求不匹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项目组人员(除项目负责人之外)具备高级及以上职称，每提供一名得2.5分，最高得 5分，具备中级职称，每提供一名得2分，最高得 4 分。 注：提供上述人员的职称证和身份证加盖公章。</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针对本项目的项目服务承诺，包括①响应及时性保障②设计变更管理③后期服务跟进等。方案内容详细完整、针对性强、可行性高，符合项目实际要求。 每项满分2分，缺项不得分 , 每项内容存在缺陷，扣0.5-1.5分。缺陷是指内容不合理、虽有内容但不完善、内容表述前后不一致、套用其他项目方案或与项目需求不匹 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 年 1 月至今具有类似项目业绩 ，每提供一份合同得2分，共计10分。（注：提供设计服务合同，时间以合同签订时间为准）。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满足磋商文件报价要求且经评审最低的报价为评审基准价，其价格分为满分。其他供应商的价格分统一按照下列公式计算： 报价得分=（评审基准价/响应报价）×15。 响应报价明显低于其他供应商，经磋商小组质询后不能在规定时间内说明理由，或说明理由但评审小组认为理由不能成立的，客观上形成不良竞争，按无效标处理。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详见附件：初步设计合同.docx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