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版本号：CTSD2025-FW-04120251117001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三原高新区东南片区地下管网设施建设项目初步设计编制服务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CTSD2025-FW-041</w:t>
      </w:r>
      <w:r>
        <w:br/>
      </w:r>
      <w:r>
        <w:br/>
      </w:r>
      <w:r>
        <w:br/>
      </w:r>
    </w:p>
    <w:p>
      <w:pPr>
        <w:pStyle w:val="null3"/>
        <w:jc w:val="center"/>
        <w:outlineLvl w:val="2"/>
      </w:pPr>
      <w:r>
        <w:rPr>
          <w:rFonts w:ascii="仿宋_GB2312" w:hAnsi="仿宋_GB2312" w:cs="仿宋_GB2312" w:eastAsia="仿宋_GB2312"/>
          <w:sz w:val="28"/>
          <w:b/>
        </w:rPr>
        <w:t>三原高新技术产业开发区管理委员会</w:t>
      </w:r>
    </w:p>
    <w:p>
      <w:pPr>
        <w:pStyle w:val="null3"/>
        <w:jc w:val="center"/>
        <w:outlineLvl w:val="2"/>
      </w:pPr>
      <w:r>
        <w:rPr>
          <w:rFonts w:ascii="仿宋_GB2312" w:hAnsi="仿宋_GB2312" w:cs="仿宋_GB2312" w:eastAsia="仿宋_GB2312"/>
          <w:sz w:val="28"/>
          <w:b/>
        </w:rPr>
        <w:t>城投时代（陕西）项目管理有限公司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城投时代（陕西）项目管理有限公司</w:t>
      </w:r>
      <w:r>
        <w:rPr>
          <w:rFonts w:ascii="仿宋_GB2312" w:hAnsi="仿宋_GB2312" w:cs="仿宋_GB2312" w:eastAsia="仿宋_GB2312"/>
        </w:rPr>
        <w:t>（以下简称“代理机构”）受</w:t>
      </w:r>
      <w:r>
        <w:rPr>
          <w:rFonts w:ascii="仿宋_GB2312" w:hAnsi="仿宋_GB2312" w:cs="仿宋_GB2312" w:eastAsia="仿宋_GB2312"/>
        </w:rPr>
        <w:t>三原高新技术产业开发区管理委员会</w:t>
      </w:r>
      <w:r>
        <w:rPr>
          <w:rFonts w:ascii="仿宋_GB2312" w:hAnsi="仿宋_GB2312" w:cs="仿宋_GB2312" w:eastAsia="仿宋_GB2312"/>
        </w:rPr>
        <w:t>委托，拟对</w:t>
      </w:r>
      <w:r>
        <w:rPr>
          <w:rFonts w:ascii="仿宋_GB2312" w:hAnsi="仿宋_GB2312" w:cs="仿宋_GB2312" w:eastAsia="仿宋_GB2312"/>
        </w:rPr>
        <w:t>三原高新区东南片区地下管网设施建设项目初步设计编制服务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CTSD2025-FW-041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三原高新区东南片区地下管网设施建设项目初步设计编制服务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次工程共涉及高新大道、周汤路两条道路。改造内容包括雨水管线改造管径为DN300-DN2600mm，管线总长度为14280m，雨水检查井为233个，雨水口为313个:给水管线改造管径为DN300-DN1200mm,总管线长度为9880m，给水检查井为220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采购包1（三原高新区东南片区地下管网设施建设项目初步设计编制服务）：属于专门面向中小企业采购。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1、法定代表人授权委托书：非法定代表人参加谈判的，须提供法定代表人授权委托书及被授权人身份证；法定代表人参加谈判时,只须提供法定代表人身份证。</w:t>
      </w:r>
    </w:p>
    <w:p>
      <w:pPr>
        <w:pStyle w:val="null3"/>
      </w:pPr>
      <w:r>
        <w:rPr>
          <w:rFonts w:ascii="仿宋_GB2312" w:hAnsi="仿宋_GB2312" w:cs="仿宋_GB2312" w:eastAsia="仿宋_GB2312"/>
        </w:rPr>
        <w:t>2、信用记录：申请人不得为“信用中国”网站（www.creditchina.gov.cn）严重失信主体和重大税收违法失信主体的供应商，不得为中国政府采购网（www.ccgp.gov.cn）政府采购严重违法失信行为记录名单中被财政部门禁止参加政府采购活动的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rFonts w:ascii="仿宋_GB2312" w:hAnsi="仿宋_GB2312" w:cs="仿宋_GB2312" w:eastAsia="仿宋_GB2312"/>
        </w:rPr>
        <w:t>3、企业资质：供应商须具备工程设计综合甲级资质或市政行业工程设计乙级及以上资质或市政行业设计（燃气、轨道交通工程除外）乙级及以上资质或市政行业（给水工程、排水工程）专业设计乙级及以上资质。</w:t>
      </w:r>
    </w:p>
    <w:p>
      <w:pPr>
        <w:pStyle w:val="null3"/>
      </w:pPr>
      <w:r>
        <w:rPr>
          <w:rFonts w:ascii="仿宋_GB2312" w:hAnsi="仿宋_GB2312" w:cs="仿宋_GB2312" w:eastAsia="仿宋_GB2312"/>
        </w:rPr>
        <w:t>4、项目负责人：拟派项目负责人须具备注册公用设备工程师（给水排水）执业资格且在本单位注册，或市政公用工程相关专业高级工程师及以上职称。提供开标截止时间前三个月内任意一个月供应商为其缴纳的社会保险证明材料。</w:t>
      </w:r>
    </w:p>
    <w:p>
      <w:pPr>
        <w:pStyle w:val="null3"/>
      </w:pPr>
      <w:r>
        <w:rPr>
          <w:rFonts w:ascii="仿宋_GB2312" w:hAnsi="仿宋_GB2312" w:cs="仿宋_GB2312" w:eastAsia="仿宋_GB2312"/>
        </w:rPr>
        <w:t>5、控股关系：申请人应具备行政主管部门单位负责人为同一人或者存在直接控股、管理关系的不同投标人，不得参加本次采购活动。</w:t>
      </w:r>
    </w:p>
    <w:p>
      <w:pPr>
        <w:pStyle w:val="null3"/>
      </w:pPr>
      <w:r>
        <w:rPr>
          <w:rFonts w:ascii="仿宋_GB2312" w:hAnsi="仿宋_GB2312" w:cs="仿宋_GB2312" w:eastAsia="仿宋_GB2312"/>
        </w:rPr>
        <w:t>6、联合体：本项目不接受联合体谈判，不允许分包。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三原高新技术产业开发区管理委员会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陕西省咸阳市三原县冶金大道81号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三原县工业集中区管理委员会经办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13609145187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城投时代（陕西）项目管理有限公司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陕西省西安市经济技术开发区凤城七路联益中心5楼501室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1245980394@qq.com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朱媛媛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029-89160083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采购包1：928,500.00元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代理服务费收费标准：本项目收取代理服务费,代理服务费用收取对象：中标/成交供应商 代理服务费收费标准：1、参照国家计委计价格[2002]1980号及发改办价格[2003]857号通知规定。 2、支付方式：成交供应商应在领取通知书的同时，支付本项目代理服务费。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三原高新技术产业开发区管理委员会</w:t>
      </w:r>
      <w:r>
        <w:rPr>
          <w:rFonts w:ascii="仿宋_GB2312" w:hAnsi="仿宋_GB2312" w:cs="仿宋_GB2312" w:eastAsia="仿宋_GB2312"/>
        </w:rPr>
        <w:t>和</w:t>
      </w:r>
      <w:r>
        <w:rPr>
          <w:rFonts w:ascii="仿宋_GB2312" w:hAnsi="仿宋_GB2312" w:cs="仿宋_GB2312" w:eastAsia="仿宋_GB2312"/>
        </w:rPr>
        <w:t>城投时代（陕西）项目管理有限公司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三原高新技术产业开发区管理委员会</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城投时代（陕西）项目管理有限公司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三原高新技术产业开发区管理委员会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城投时代（陕西）项目管理有限公司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符合国家、省、市相关规定及行业现行技术标准、规范要求。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联系人：朱媛媛</w:t>
      </w:r>
    </w:p>
    <w:p>
      <w:pPr>
        <w:pStyle w:val="null3"/>
      </w:pPr>
      <w:r>
        <w:rPr>
          <w:rFonts w:ascii="仿宋_GB2312" w:hAnsi="仿宋_GB2312" w:cs="仿宋_GB2312" w:eastAsia="仿宋_GB2312"/>
        </w:rPr>
        <w:t>联系电话：029-89160083</w:t>
      </w:r>
    </w:p>
    <w:p>
      <w:pPr>
        <w:pStyle w:val="null3"/>
      </w:pPr>
      <w:r>
        <w:rPr>
          <w:rFonts w:ascii="仿宋_GB2312" w:hAnsi="仿宋_GB2312" w:cs="仿宋_GB2312" w:eastAsia="仿宋_GB2312"/>
        </w:rPr>
        <w:t>地址：陕西省西安市经济技术开发区凤城七路联益中心5楼501室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工程共涉及高新大道、周汤路两条道路。改造内容包括雨水管线改造管径为DN300-DN2600mm，管线总长度为14280m，雨水检查井为233个，雨水口为313个:给水管线改造管径为DN300-DN1200mm,总管线长度为9880m，给水检查井为220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928,500.00</w:t>
      </w:r>
    </w:p>
    <w:p>
      <w:pPr>
        <w:pStyle w:val="null3"/>
      </w:pPr>
      <w:r>
        <w:rPr>
          <w:rFonts w:ascii="仿宋_GB2312" w:hAnsi="仿宋_GB2312" w:cs="仿宋_GB2312" w:eastAsia="仿宋_GB2312"/>
        </w:rPr>
        <w:t>采购包最高限价（元）: 928,500.00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三原高新区东南片区地下管网设施建设项目初步设计编制服务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928,500.00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标的名称：三原高新区东南片区地下管网设施建设项目初步设计编制服务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次工程共涉及高新大道、周汤路两条道路。改造内容包括雨水管线改造管径为DN300-DN2600mm，管线总长度为14280m，雨水检查井为233个，雨水口为313个:给水管线改造管径为DN300-DN1200mm,总管线长度为9880m，给水检查井为220个。</w:t>
            </w:r>
          </w:p>
          <w:p>
            <w:pPr>
              <w:pStyle w:val="null3"/>
            </w:pPr>
            <w:r>
              <w:rPr>
                <w:rFonts w:ascii="仿宋_GB2312" w:hAnsi="仿宋_GB2312" w:cs="仿宋_GB2312" w:eastAsia="仿宋_GB2312"/>
              </w:rPr>
              <w:t>设计工作要求：设计人提交的成果文件必须符合国家、行业、省市等强制性标准、其他标准、规范、规定、规程等要求，达到《建筑工程设计文件编制深度规定（</w:t>
            </w:r>
            <w:r>
              <w:rPr>
                <w:rFonts w:ascii="仿宋_GB2312" w:hAnsi="仿宋_GB2312" w:cs="仿宋_GB2312" w:eastAsia="仿宋_GB2312"/>
              </w:rPr>
              <w:t>2016版）》的有关设计规定的深度要求，并应通过招标人和相关政府主管部门的审查。</w:t>
            </w:r>
          </w:p>
          <w:p>
            <w:pPr>
              <w:pStyle w:val="null3"/>
            </w:pPr>
            <w:r>
              <w:rPr>
                <w:rFonts w:ascii="仿宋_GB2312" w:hAnsi="仿宋_GB2312" w:cs="仿宋_GB2312" w:eastAsia="仿宋_GB2312"/>
              </w:rPr>
              <w:t>在设计过程中，如果国家或有关部门颁布了新的技术标准或规范，则设计人应采用的新的标准或规范进行设计。设计人在设计工作中必须使用中华人民共和国《工程建设标准强制性条文》和下述标准、规范（不限于）：设计中执行国家有关《工程建设标准强制性条文》和建设部以及陕西省关于建筑工程设计的标准、规范、规程、定额、办法、示例及城市道路、排水管设计规范，并按国家或有关部门颁布新的标准或规范及时更新。</w:t>
            </w:r>
          </w:p>
          <w:p>
            <w:pPr>
              <w:pStyle w:val="null3"/>
            </w:pPr>
            <w:r>
              <w:rPr>
                <w:rFonts w:ascii="仿宋_GB2312" w:hAnsi="仿宋_GB2312" w:cs="仿宋_GB2312" w:eastAsia="仿宋_GB2312"/>
              </w:rPr>
              <w:t>项目设计应精心谋划，贯彻</w:t>
            </w:r>
            <w:r>
              <w:rPr>
                <w:rFonts w:ascii="仿宋_GB2312" w:hAnsi="仿宋_GB2312" w:cs="仿宋_GB2312" w:eastAsia="仿宋_GB2312"/>
              </w:rPr>
              <w:t>“高品质、安全、耐久、节约、和谐”的设计理念，兼顾安全、节能、生态、和谐等因素。</w:t>
            </w:r>
          </w:p>
          <w:p>
            <w:pPr>
              <w:pStyle w:val="null3"/>
            </w:pPr>
            <w:r>
              <w:rPr>
                <w:rFonts w:ascii="仿宋_GB2312" w:hAnsi="仿宋_GB2312" w:cs="仿宋_GB2312" w:eastAsia="仿宋_GB2312"/>
              </w:rPr>
              <w:t>工程建设中，设计人应协助招标人解决各种与设计有关的问题，参加本工程的质量事故分析、交工、竣工验收，提出质量事故相应的技术处理方案，配合质量监督部门校核工程是否按图施工，做好技术交底工作和现场控制点的叫转工作，及时做好设计优化。对于招标人或招标人委托的咨询单位提出的图纸问题，成交人应在</w:t>
            </w:r>
            <w:r>
              <w:rPr>
                <w:rFonts w:ascii="仿宋_GB2312" w:hAnsi="仿宋_GB2312" w:cs="仿宋_GB2312" w:eastAsia="仿宋_GB2312"/>
              </w:rPr>
              <w:t>5 个工作日内给予书面答复；若需补充或完善设计的，成交人应在 7 个工作日内提供书面或图纸。</w:t>
            </w:r>
          </w:p>
          <w:p>
            <w:pPr>
              <w:pStyle w:val="null3"/>
            </w:pPr>
            <w:r>
              <w:rPr>
                <w:rFonts w:ascii="仿宋_GB2312" w:hAnsi="仿宋_GB2312" w:cs="仿宋_GB2312" w:eastAsia="仿宋_GB2312"/>
              </w:rPr>
              <w:t>设计文件中关于材料、配件和设备的选用，应当注明其性能及技术标准，其质量要求必须符合国家规定的标准，但不得指定生产厂、供应商和产品品牌。</w:t>
            </w:r>
          </w:p>
          <w:p>
            <w:pPr>
              <w:pStyle w:val="null3"/>
            </w:pPr>
            <w:r>
              <w:rPr>
                <w:rFonts w:ascii="仿宋_GB2312" w:hAnsi="仿宋_GB2312" w:cs="仿宋_GB2312" w:eastAsia="仿宋_GB2312"/>
                <w:sz w:val="21"/>
              </w:rPr>
              <w:t>最终成果要求：设计阶段包含初步设计，按阶段提供初设说明和初设图纸、概算</w:t>
            </w:r>
            <w:r>
              <w:rPr>
                <w:rFonts w:ascii="仿宋_GB2312" w:hAnsi="仿宋_GB2312" w:cs="仿宋_GB2312" w:eastAsia="仿宋_GB2312"/>
                <w:sz w:val="21"/>
              </w:rPr>
              <w:t xml:space="preserve"> 6 份，电子版文件（U 盘内）3 份。</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满足国家、省、市相关规定及行业现行技术标准、规范要求。 本项目的验收以项目采购文件、响应文件、合同书、需求设计和相关政策法规等作为验收依据，验收前须提供详细的方案，经采购人确认后方可执行。验收合格后，双方签署验收报告。如对服务以及质量有争议，采购人组织相关部门对服务和质量进行检验或者验收，未达到服务要求的，由成交单位承担全部责任。若验收不通过，采购人提出整改意见，成交单位须按照意见提出具体解决方案，处理时间应由双方协商决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项目完成初设编制，评审通过后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按照《中华人民共和国民法典》中的相关条款执行。供应商未按合同要求提供货物与服务或货物与服务质量不符合合同约定的，采购人有权终止合同，对采购人造成损失的，采购人有权进行追责。</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1.提供合法有效的法人或其他组织的营业执照等证明文件，自然人参与的提供其身份证原件。 2.提供谈判截止时间前6个月内至少一个月的依法缴纳税收的相关凭据（时间以税款所属日期为准)，依法免税或无须缴纳税收的供应商应提供相关证明材料；提供谈判截止时间前6个月内至少一个月的社会保障资金的相关材料，依法不需要缴纳社会保障金的供应商需具有社保部门出具的证明文件。 3.参加本次政府采购活动前3年内在经营活动中没有重大违法记录，以及未被列入严重失信主体、重大税收违法失信主体、政府采购严重违法失信行为记录名单的书面声明。 4.谈判单位具有履行合同所需的设备和专业技术能力。（提供承诺函） 5.谈判单位具备法律、行政法规规定的其他条件。（提供承诺函）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提供经会计师事务所审计的2024年度完整的财务审计报告或开标前3个月内供应商基本存款账户开户银行出具的资信证明及开户许可证（基本存款账户信息）。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非法定代表人参加谈判的，须提供法定代表人授权委托书及被授权人身份证；法定代表人参加谈判时,只须提供法定代表人身份证。</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供应商须具备工程设计综合甲级资质或市政行业工程设计乙级及以上资质或市政行业设计（燃气、轨道交通工程除外）乙级及以上资质或市政行业（给水工程、排水工程）专业设计乙级及以上资质。</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注册公用设备工程师（给水排水）执业资格且在本单位注册，或市政公用工程相关专业高级工程师及以上职称。提供开标截止时间前三个月内任意一个月供应商为其缴纳的社会保险证明材料。</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申请人应具备行政主管部门单位负责人为同一人或者存在直接控股、管理关系的不同投标人，不得参加本次采购活动。</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本项目不接受联合体谈判，不允许分包。</w:t>
            </w:r>
          </w:p>
        </w:tc>
        <w:tc>
          <w:tcPr>
            <w:tcW w:type="dxa" w:w="1661"/>
          </w:tcPr>
          <w:p>
            <w:pPr>
              <w:pStyle w:val="null3"/>
            </w:pPr>
            <w:r>
              <w:rPr>
                <w:rFonts w:ascii="仿宋_GB2312" w:hAnsi="仿宋_GB2312" w:cs="仿宋_GB2312" w:eastAsia="仿宋_GB2312"/>
              </w:rPr>
              <w:t>响应文件格式.docx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按照谈判文件规定要求签署、盖章的。法定代表人或法定代表人授权书。</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响应文件格式.docx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满足本谈判文件中标注的实质性条款（服务期限、服务地点、支付方式、支付约定）等要求的。</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无法律、规章、规范性文件和谈判文件规定的其他无效情形。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详见附件：上传合同.docx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