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版本号：SYCG-CS-2504020251129001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三原县公共法律服务大厅建设及配套设施建设项目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SYCG-CS-25040</w:t>
      </w:r>
      <w:r>
        <w:br/>
      </w:r>
      <w:r>
        <w:br/>
      </w:r>
      <w:r>
        <w:br/>
      </w:r>
    </w:p>
    <w:p>
      <w:pPr>
        <w:pStyle w:val="null3"/>
        <w:jc w:val="center"/>
        <w:outlineLvl w:val="2"/>
      </w:pPr>
      <w:r>
        <w:rPr>
          <w:rFonts w:ascii="仿宋_GB2312" w:hAnsi="仿宋_GB2312" w:cs="仿宋_GB2312" w:eastAsia="仿宋_GB2312"/>
          <w:sz w:val="28"/>
          <w:b/>
        </w:rPr>
        <w:t>三原县司法局</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三原县司法局</w:t>
      </w:r>
      <w:r>
        <w:rPr>
          <w:rFonts w:ascii="仿宋_GB2312" w:hAnsi="仿宋_GB2312" w:cs="仿宋_GB2312" w:eastAsia="仿宋_GB2312"/>
        </w:rPr>
        <w:t>委托，拟对</w:t>
      </w:r>
      <w:r>
        <w:rPr>
          <w:rFonts w:ascii="仿宋_GB2312" w:hAnsi="仿宋_GB2312" w:cs="仿宋_GB2312" w:eastAsia="仿宋_GB2312"/>
        </w:rPr>
        <w:t>三原县公共法律服务大厅建设及配套设施建设项目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SYCG-CS-25040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三原县公共法律服务大厅建设及配套设施建设项目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司法局公共法律服务大厅建设及配套设施建设项目位于三原县，主要内容包含两大部分：一是公共法律服务大厅建设，涵盖装饰工程、电气工程、空调工程、弱电工程及办公桌椅购置；二是室外配套设施建设，包含房屋建筑与装饰工程、电气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采购包1（三原县公共法律服务大厅建设及配套设施建设项目）：属于专门面向中小企业采购。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拟派往本项目的项目经理必须为本企业注册的建造师，具备房屋建筑工程专业二级及以上注册建造师执业资格和有效的安全生产考核合格证书(B证)，提供2024年11月至今至少一个月的供应商为其缴纳社会保险的证明材料（五险一金提供一项即可），且未担任其它在建工程、无不良信用记录；</w:t>
      </w:r>
    </w:p>
    <w:p>
      <w:pPr>
        <w:pStyle w:val="null3"/>
      </w:pPr>
      <w:r>
        <w:rPr>
          <w:rFonts w:ascii="仿宋_GB2312" w:hAnsi="仿宋_GB2312" w:cs="仿宋_GB2312" w:eastAsia="仿宋_GB2312"/>
        </w:rPr>
        <w:t>2、营业执照及主体资格：独立承担民事责任的法人或其他组织有效的营业执照（或统一社会信用代码的营业执照）等相应证明文件，自然人的提供身份证明文件；</w:t>
      </w:r>
    </w:p>
    <w:p>
      <w:pPr>
        <w:pStyle w:val="null3"/>
      </w:pPr>
      <w:r>
        <w:rPr>
          <w:rFonts w:ascii="仿宋_GB2312" w:hAnsi="仿宋_GB2312" w:cs="仿宋_GB2312" w:eastAsia="仿宋_GB2312"/>
        </w:rPr>
        <w:t>3、公司资质：供应商具备建设行政主管部门核发的建筑工程施工总承包三级及以上资质；具备有效的安全生产许可证</w:t>
      </w:r>
    </w:p>
    <w:p>
      <w:pPr>
        <w:pStyle w:val="null3"/>
      </w:pPr>
      <w:r>
        <w:rPr>
          <w:rFonts w:ascii="仿宋_GB2312" w:hAnsi="仿宋_GB2312" w:cs="仿宋_GB2312" w:eastAsia="仿宋_GB2312"/>
        </w:rPr>
        <w:t>4、响应主体：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5、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6、税收缴纳证明：提供2024年11月至今已缴纳的至少一个月的纳税证明或完税证明（时间以税款所属日期为准、税种须包含增值税或企业所得税），依法免税的单位应提供相关证明材料。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7、社会保障资金缴纳证明：提供2024年11月至今已缴存的至少一个月的社会保障资金缴存单据或社保机构开具的社会保险参保缴费情况证明，依法不需要缴纳社会保障资金的单位应提供相关证明材料。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9、非联合体声明：本项目不接受联合体投标，单位负责人为同一人或者存在直接控股、管理关系的不同投标人，不得参加同一合同项下的政府采购活动（提供非联合体投标声明，包括控股管理声明）。</w:t>
      </w:r>
    </w:p>
    <w:p>
      <w:pPr>
        <w:pStyle w:val="null3"/>
      </w:pPr>
      <w:r>
        <w:rPr>
          <w:rFonts w:ascii="仿宋_GB2312" w:hAnsi="仿宋_GB2312" w:cs="仿宋_GB2312" w:eastAsia="仿宋_GB2312"/>
        </w:rPr>
        <w:t>10、重大违法声明：供应商参加采购活动近3年内经营活动中没有重大违法记录声明，以及未被列入失信被执行人、重大税收违法案件当事人名单、政府采购严重违法失信行为记录名单的书面声明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三原县司法局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方琳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029-32288377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采购包1：815,508.98元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台式电脑，激光打印机，LED 筒灯、高杆 LED 投光灯、LED 灯带、吊顶式空调机组、</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台式电脑，激光打印机，LED 筒灯、高杆 LED 投光灯、LED 灯带、吊顶式空调机组、</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台式电脑，激光打印机，LED 筒灯、高杆 LED 投光灯、LED 灯带、吊顶式空调机组、</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三原县司法局</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达到工程施工质量验收合格标准及设计要求，满足项目要求；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815,508.98</w:t>
      </w:r>
    </w:p>
    <w:p>
      <w:pPr>
        <w:pStyle w:val="null3"/>
      </w:pPr>
      <w:r>
        <w:rPr>
          <w:rFonts w:ascii="仿宋_GB2312" w:hAnsi="仿宋_GB2312" w:cs="仿宋_GB2312" w:eastAsia="仿宋_GB2312"/>
        </w:rPr>
        <w:t>采购包最高限价（元）: 815,508.98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三原县公共法律服务大厅建设及配套设施建设项目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815,508.98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标的名称：三原县公共法律服务大厅建设及配套设施建设项目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outlineLvl w:val="1"/>
            </w:pPr>
            <w:r>
              <w:rPr>
                <w:rFonts w:ascii="仿宋_GB2312" w:hAnsi="仿宋_GB2312" w:cs="仿宋_GB2312" w:eastAsia="仿宋_GB2312"/>
                <w:sz w:val="16"/>
                <w:b/>
              </w:rPr>
              <w:t>一、装饰工程</w:t>
            </w:r>
          </w:p>
          <w:p>
            <w:pPr>
              <w:pStyle w:val="null3"/>
              <w:spacing w:before="105" w:after="105"/>
              <w:jc w:val="both"/>
              <w:outlineLvl w:val="1"/>
            </w:pPr>
            <w:r>
              <w:rPr>
                <w:rFonts w:ascii="仿宋_GB2312" w:hAnsi="仿宋_GB2312" w:cs="仿宋_GB2312" w:eastAsia="仿宋_GB2312"/>
                <w:sz w:val="16"/>
                <w:b/>
              </w:rPr>
              <w:t>1.门窗工程采用实木材质装饰门，搭配相应玻璃与五金配件，辅以胶合板材质窗帘盒，兼顾装饰性与实用性。</w:t>
            </w:r>
          </w:p>
          <w:p>
            <w:pPr>
              <w:pStyle w:val="null3"/>
              <w:spacing w:before="105" w:after="105"/>
              <w:jc w:val="both"/>
            </w:pPr>
            <w:r>
              <w:rPr>
                <w:rFonts w:ascii="仿宋_GB2312" w:hAnsi="仿宋_GB2312" w:cs="仿宋_GB2312" w:eastAsia="仿宋_GB2312"/>
                <w:sz w:val="16"/>
              </w:rPr>
              <w:t>2.楼地面采用多层结构设计，包含地砖面层、水泥砂浆粘结层与结合层，基层处理注重稳固性与平整度。</w:t>
            </w:r>
          </w:p>
          <w:p>
            <w:pPr>
              <w:pStyle w:val="null3"/>
              <w:spacing w:before="105" w:after="105"/>
              <w:jc w:val="both"/>
            </w:pPr>
            <w:r>
              <w:rPr>
                <w:rFonts w:ascii="仿宋_GB2312" w:hAnsi="仿宋_GB2312" w:cs="仿宋_GB2312" w:eastAsia="仿宋_GB2312"/>
                <w:sz w:val="16"/>
              </w:rPr>
              <w:t>3.墙柱面装饰结合木质装饰板、大理石石材等面层，搭配奥松板基层与轻钢龙骨，部分设置岩棉隔离层，兼顾装饰效果与结构支撑。</w:t>
            </w:r>
          </w:p>
          <w:p>
            <w:pPr>
              <w:pStyle w:val="null3"/>
              <w:spacing w:before="105" w:after="105"/>
              <w:jc w:val="both"/>
            </w:pPr>
            <w:r>
              <w:rPr>
                <w:rFonts w:ascii="仿宋_GB2312" w:hAnsi="仿宋_GB2312" w:cs="仿宋_GB2312" w:eastAsia="仿宋_GB2312"/>
                <w:sz w:val="16"/>
              </w:rPr>
              <w:t>4.天棚工程涵盖石膏板平面吊顶、艺术造型吊顶及软膜天花等多种形式，配套轻钢龙骨与钢筋吊杆，部分采用木质饰面板增强质感。</w:t>
            </w:r>
          </w:p>
          <w:p>
            <w:pPr>
              <w:pStyle w:val="null3"/>
              <w:spacing w:before="105" w:after="105"/>
              <w:jc w:val="both"/>
            </w:pPr>
            <w:r>
              <w:rPr>
                <w:rFonts w:ascii="仿宋_GB2312" w:hAnsi="仿宋_GB2312" w:cs="仿宋_GB2312" w:eastAsia="仿宋_GB2312"/>
                <w:sz w:val="16"/>
              </w:rPr>
              <w:t>5.配套服务台、便民服务台等功能性设施，搭配平面箱式招牌与各类美术字，满足服务与标识需求。</w:t>
            </w:r>
          </w:p>
          <w:p>
            <w:pPr>
              <w:pStyle w:val="null3"/>
              <w:spacing w:before="105" w:after="105"/>
              <w:jc w:val="both"/>
              <w:outlineLvl w:val="2"/>
            </w:pPr>
            <w:r>
              <w:rPr>
                <w:rFonts w:ascii="仿宋_GB2312" w:hAnsi="仿宋_GB2312" w:cs="仿宋_GB2312" w:eastAsia="仿宋_GB2312"/>
                <w:sz w:val="16"/>
                <w:b/>
              </w:rPr>
              <w:t>二、电气工程技术参数与性能指标</w:t>
            </w:r>
          </w:p>
          <w:p>
            <w:pPr>
              <w:pStyle w:val="null3"/>
              <w:spacing w:before="105" w:after="105"/>
              <w:jc w:val="both"/>
              <w:outlineLvl w:val="2"/>
            </w:pPr>
            <w:r>
              <w:rPr>
                <w:rFonts w:ascii="仿宋_GB2312" w:hAnsi="仿宋_GB2312" w:cs="仿宋_GB2312" w:eastAsia="仿宋_GB2312"/>
                <w:sz w:val="16"/>
                <w:b/>
              </w:rPr>
              <w:t>1.配管系统采用镀锌管、JDG 管等多种材质，适配不同布线场景，配线选用铜芯材质，满足导电性能要求。</w:t>
            </w:r>
          </w:p>
          <w:p>
            <w:pPr>
              <w:pStyle w:val="null3"/>
              <w:spacing w:before="105" w:after="105"/>
              <w:jc w:val="both"/>
            </w:pPr>
            <w:r>
              <w:rPr>
                <w:rFonts w:ascii="仿宋_GB2312" w:hAnsi="仿宋_GB2312" w:cs="仿宋_GB2312" w:eastAsia="仿宋_GB2312"/>
                <w:sz w:val="16"/>
              </w:rPr>
              <w:t>2.照明系统包含 LED 灯带与 LED 筒灯，安装形式兼顾嵌入式等多种方式，适配不同空间照明需求。</w:t>
            </w:r>
          </w:p>
          <w:p>
            <w:pPr>
              <w:pStyle w:val="null3"/>
              <w:spacing w:before="105" w:after="105"/>
              <w:jc w:val="both"/>
            </w:pPr>
            <w:r>
              <w:rPr>
                <w:rFonts w:ascii="仿宋_GB2312" w:hAnsi="仿宋_GB2312" w:cs="仿宋_GB2312" w:eastAsia="仿宋_GB2312"/>
                <w:sz w:val="16"/>
              </w:rPr>
              <w:t>3.开关与插座涵盖多位单极、一位双控等多种类型，安装方式以暗装为主，符合室内装饰整体风格。</w:t>
            </w:r>
          </w:p>
          <w:p>
            <w:pPr>
              <w:pStyle w:val="null3"/>
              <w:spacing w:before="105" w:after="105"/>
              <w:jc w:val="both"/>
            </w:pPr>
            <w:r>
              <w:rPr>
                <w:rFonts w:ascii="仿宋_GB2312" w:hAnsi="仿宋_GB2312" w:cs="仿宋_GB2312" w:eastAsia="仿宋_GB2312"/>
                <w:sz w:val="16"/>
              </w:rPr>
              <w:t>4.电力传输配套电力电缆、接线盒等构件，部分采用室外埋地敷设方式，适配不同使用场景。</w:t>
            </w:r>
          </w:p>
          <w:p>
            <w:pPr>
              <w:pStyle w:val="null3"/>
              <w:spacing w:before="105" w:after="105"/>
              <w:jc w:val="both"/>
              <w:outlineLvl w:val="2"/>
            </w:pPr>
            <w:r>
              <w:rPr>
                <w:rFonts w:ascii="仿宋_GB2312" w:hAnsi="仿宋_GB2312" w:cs="仿宋_GB2312" w:eastAsia="仿宋_GB2312"/>
                <w:sz w:val="16"/>
                <w:b/>
              </w:rPr>
              <w:t>三、空调工程</w:t>
            </w:r>
          </w:p>
          <w:p>
            <w:pPr>
              <w:pStyle w:val="null3"/>
              <w:spacing w:before="105" w:after="105"/>
              <w:jc w:val="both"/>
            </w:pPr>
            <w:r>
              <w:rPr>
                <w:rFonts w:ascii="仿宋_GB2312" w:hAnsi="仿宋_GB2312" w:cs="仿宋_GB2312" w:eastAsia="仿宋_GB2312"/>
                <w:sz w:val="16"/>
              </w:rPr>
              <w:t>1.选用组合式空调机组，涵盖制冷与制热功能，配套相应安装工艺，适配大厅整体温湿度调控需求。</w:t>
            </w:r>
          </w:p>
          <w:p>
            <w:pPr>
              <w:pStyle w:val="null3"/>
              <w:spacing w:before="105" w:after="105"/>
              <w:jc w:val="both"/>
            </w:pPr>
            <w:r>
              <w:rPr>
                <w:rFonts w:ascii="仿宋_GB2312" w:hAnsi="仿宋_GB2312" w:cs="仿宋_GB2312" w:eastAsia="仿宋_GB2312"/>
                <w:sz w:val="16"/>
              </w:rPr>
              <w:t>2.系统配置注重气流组织与温度控制精度，设备安装兼顾空间布局与使用效果。</w:t>
            </w:r>
          </w:p>
          <w:p>
            <w:pPr>
              <w:pStyle w:val="null3"/>
              <w:spacing w:before="105" w:after="105"/>
              <w:jc w:val="both"/>
              <w:outlineLvl w:val="2"/>
            </w:pPr>
            <w:r>
              <w:rPr>
                <w:rFonts w:ascii="仿宋_GB2312" w:hAnsi="仿宋_GB2312" w:cs="仿宋_GB2312" w:eastAsia="仿宋_GB2312"/>
                <w:sz w:val="16"/>
                <w:b/>
              </w:rPr>
              <w:t>四、弱电工程</w:t>
            </w:r>
          </w:p>
          <w:p>
            <w:pPr>
              <w:pStyle w:val="null3"/>
              <w:spacing w:before="105" w:after="105"/>
              <w:jc w:val="both"/>
              <w:outlineLvl w:val="2"/>
            </w:pPr>
            <w:r>
              <w:rPr>
                <w:rFonts w:ascii="仿宋_GB2312" w:hAnsi="仿宋_GB2312" w:cs="仿宋_GB2312" w:eastAsia="仿宋_GB2312"/>
                <w:sz w:val="16"/>
                <w:b/>
              </w:rPr>
              <w:t>1.网络系统包含单口网络插座与六类非屏蔽双绞线，配套局域网交换机，构建基础网络传输环境。</w:t>
            </w:r>
          </w:p>
          <w:p>
            <w:pPr>
              <w:pStyle w:val="null3"/>
              <w:spacing w:before="105" w:after="105"/>
              <w:jc w:val="both"/>
            </w:pPr>
            <w:r>
              <w:rPr>
                <w:rFonts w:ascii="仿宋_GB2312" w:hAnsi="仿宋_GB2312" w:cs="仿宋_GB2312" w:eastAsia="仿宋_GB2312"/>
                <w:sz w:val="16"/>
              </w:rPr>
              <w:t>2.采用半球形摄像机，具备智能检测功能，配套相应安装与接线工艺，实现场景覆盖。</w:t>
            </w:r>
          </w:p>
          <w:p>
            <w:pPr>
              <w:pStyle w:val="null3"/>
              <w:spacing w:before="105" w:after="105"/>
              <w:jc w:val="both"/>
            </w:pPr>
            <w:r>
              <w:rPr>
                <w:rFonts w:ascii="仿宋_GB2312" w:hAnsi="仿宋_GB2312" w:cs="仿宋_GB2312" w:eastAsia="仿宋_GB2312"/>
                <w:sz w:val="16"/>
              </w:rPr>
              <w:t>3.显示系统包含 LED 全彩显示屏与 LED 单红显示屏，采用表贴三合一等工艺，适配信息展示需求。</w:t>
            </w:r>
          </w:p>
          <w:p>
            <w:pPr>
              <w:pStyle w:val="null3"/>
              <w:spacing w:before="105" w:after="105"/>
              <w:jc w:val="both"/>
              <w:outlineLvl w:val="2"/>
            </w:pPr>
            <w:r>
              <w:rPr>
                <w:rFonts w:ascii="仿宋_GB2312" w:hAnsi="仿宋_GB2312" w:cs="仿宋_GB2312" w:eastAsia="仿宋_GB2312"/>
                <w:sz w:val="16"/>
                <w:b/>
              </w:rPr>
              <w:t>五、室外配套设施</w:t>
            </w:r>
          </w:p>
          <w:p>
            <w:pPr>
              <w:pStyle w:val="null3"/>
              <w:spacing w:before="105" w:after="105"/>
              <w:jc w:val="both"/>
              <w:outlineLvl w:val="2"/>
            </w:pPr>
            <w:r>
              <w:rPr>
                <w:rFonts w:ascii="仿宋_GB2312" w:hAnsi="仿宋_GB2312" w:cs="仿宋_GB2312" w:eastAsia="仿宋_GB2312"/>
                <w:sz w:val="16"/>
                <w:b/>
              </w:rPr>
              <w:t>1.道路工程包含混凝土路面与块料地砖人行道，基层采用灰土回填与砼垫层，确保路面稳固性。</w:t>
            </w:r>
          </w:p>
          <w:p>
            <w:pPr>
              <w:pStyle w:val="null3"/>
              <w:spacing w:before="105" w:after="105"/>
              <w:jc w:val="both"/>
            </w:pPr>
            <w:r>
              <w:rPr>
                <w:rFonts w:ascii="仿宋_GB2312" w:hAnsi="仿宋_GB2312" w:cs="仿宋_GB2312" w:eastAsia="仿宋_GB2312"/>
                <w:sz w:val="16"/>
              </w:rPr>
              <w:t>2.球场围网采用浸塑材质，搭配钢管立柱与镀锌铁丝网，通过专用固定方式安装，保障防护效果。</w:t>
            </w:r>
          </w:p>
          <w:p>
            <w:pPr>
              <w:pStyle w:val="null3"/>
              <w:spacing w:before="105" w:after="105"/>
              <w:jc w:val="both"/>
            </w:pPr>
            <w:r>
              <w:rPr>
                <w:rFonts w:ascii="仿宋_GB2312" w:hAnsi="仿宋_GB2312" w:cs="仿宋_GB2312" w:eastAsia="仿宋_GB2312"/>
                <w:sz w:val="16"/>
              </w:rPr>
              <w:t>3.膜结构车棚采用型钢立柱与横梁，搭配相应膜材，结构设计注重空间利用与使用便捷性。</w:t>
            </w:r>
          </w:p>
          <w:p>
            <w:pPr>
              <w:pStyle w:val="null3"/>
              <w:spacing w:before="105" w:after="105"/>
              <w:jc w:val="both"/>
            </w:pPr>
            <w:r>
              <w:rPr>
                <w:rFonts w:ascii="仿宋_GB2312" w:hAnsi="仿宋_GB2312" w:cs="仿宋_GB2312" w:eastAsia="仿宋_GB2312"/>
                <w:sz w:val="16"/>
              </w:rPr>
              <w:t>4.充电桩选用交流类型，配套相应供电与控制模块，具备扫码支付与计费功能，防护等级符合室外使用标准。</w:t>
            </w:r>
          </w:p>
          <w:p>
            <w:pPr>
              <w:pStyle w:val="null3"/>
              <w:spacing w:before="105" w:after="105"/>
              <w:jc w:val="both"/>
            </w:pPr>
            <w:r>
              <w:rPr>
                <w:rFonts w:ascii="仿宋_GB2312" w:hAnsi="仿宋_GB2312" w:cs="仿宋_GB2312" w:eastAsia="仿宋_GB2312"/>
                <w:sz w:val="16"/>
              </w:rPr>
              <w:t>5.室外电气工程包含 PVC 电线管、电力电缆与高杆投光灯，采用埋地敷设方式，适配室外环境。</w:t>
            </w:r>
          </w:p>
          <w:p>
            <w:pPr>
              <w:pStyle w:val="null3"/>
              <w:outlineLvl w:val="2"/>
            </w:pPr>
            <w:r>
              <w:rPr>
                <w:rFonts w:ascii="仿宋_GB2312" w:hAnsi="仿宋_GB2312" w:cs="仿宋_GB2312" w:eastAsia="仿宋_GB2312"/>
                <w:sz w:val="28"/>
                <w:b/>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方案说明书.docx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往本项目的项目经理必须为本企业注册的建造师，具备房屋建筑工程专业二级及以上注册建造师执业资格和有效的安全生产考核合格证书(B证)，提供2024年11月至今至少一个月的供应商为其缴纳社会保险的证明材料（五险一金提供一项即可），且未担任其它在建工程、无不良信用记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营业执照及主体资格</w:t>
            </w:r>
          </w:p>
        </w:tc>
        <w:tc>
          <w:tcPr>
            <w:tcW w:type="dxa" w:w="3322"/>
          </w:tcPr>
          <w:p>
            <w:pPr>
              <w:pStyle w:val="null3"/>
            </w:pPr>
            <w:r>
              <w:rPr>
                <w:rFonts w:ascii="仿宋_GB2312" w:hAnsi="仿宋_GB2312" w:cs="仿宋_GB2312" w:eastAsia="仿宋_GB2312"/>
              </w:rPr>
              <w:t>独立承担民事责任的法人或其他组织有效的营业执照（或统一社会信用代码的营业执照）等相应证明文件，自然人的提供身份证明文件；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供应商具备建设行政主管部门核发的建筑工程施工总承包三级及以上资质；具备有效的安全生产许可证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文件递交截止之日起90日历天</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针对本项目提供的项目施工方案，内容包括但不限于①前期筹备全面部署②施工流程科学规划及成本控制精准高③安全管理全程覆盖 ④工程质量保证措施⑤施工机械设备配备 ⑥劳动力计划及主要材料供应计划计划效评审标准：方案内容详细完整、针对性强、可行性高，符合项目实际要求。每项满分2分，缺项不得分，每项内容存在缺陷扣1分。 缺陷是指内容不合理、虽有内容但不完善、内容表述前后不一致、套用其他项目方案或 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针对本项目提供的项目管理机构及项目经理部组成，内容包括但不限于①项目管理机构 ②项目经理部组成③专业化项目经理部组建原则评审标准：方案内容详细完整、针对性 强、可行性高，符合项目实际要求。每项满分2分，缺项不得分，每项内容存在缺陷扣 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针对本项目确保安全生产的技术组织措施及应急预案，内容包括但不限于①确保安全生 产的技术组织措施②应急预案③危险源分级管控与技术防护体系④安全防护与文明施工措施⑤多场景应急处置预案与演练机制评审标准：方案内容详细完整、针对性强、可行性高，符合项目实际要求。每项满分2分，缺项不得分，每项内容存在缺陷扣1分。缺 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针对本项目确保文明施工的技术措施及环境保护措施，内容包括但不限于①确保文明施工的技术措施②环境保护措施③施工区域标准化封闭管理措施④精细化扬尘与噪音防控技术方案⑤施工废弃物分类处理与资源化利用措施评审标准：方案内容详细完整、针对性强、可行性高，符合项目实际要求。每项满分2分，缺项不得分，每项内容存在缺陷 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针对本项目施工进度计划及确保工期的技术措施，内容包括但不限于①施工进度计划② 确保工期的技术措施③分阶段精细化施工进度计划编制评审标准：方案内容详细完整、 针对性强、可行性高，符合项目实际要求。每项满分2分，缺项不得分，每项内容存在 缺陷扣1分。缺陷是指内容不合理、虽有内容但不完善、内容表述前后不一致、套用其 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季节性施工管理防范措施</w:t>
            </w:r>
          </w:p>
        </w:tc>
        <w:tc>
          <w:tcPr>
            <w:tcW w:type="dxa" w:w="2492"/>
          </w:tcPr>
          <w:p>
            <w:pPr>
              <w:pStyle w:val="null3"/>
            </w:pPr>
            <w:r>
              <w:rPr>
                <w:rFonts w:ascii="仿宋_GB2312" w:hAnsi="仿宋_GB2312" w:cs="仿宋_GB2312" w:eastAsia="仿宋_GB2312"/>
              </w:rPr>
              <w:t>针对本项目季节性施工管理防范措施，内容包括但不限于①场地适配系统升级与动态监测措施②工序优化与季节适配作业保障机制③季节性施工管理防范综合措施评审标准：方案内容详细完整、针对性强、可行性高，符合项目实际要求。每项满分2分，缺项不得分，每项 内容存在缺陷扣1分。缺陷是指内容不合理、虽有内容但不完善、内容表述前后不一致 、套用其他项目方案或与项目需求不匹配及其他不利于项目实施的任意一种情形。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针对本项目垃圾清运方案，内容包括但不限于①清运管控与环境防护措施②垃圾清运方 案 评审标准：方案内容详细完整、针对性强、可行性高，符合项目实际要求。每项满 分2分，缺项不得分，每项内容存在缺陷扣1分。缺陷是指内容不合理、虽有内容但不 完善、内容表述前后不一致、套用其他项目方案或与项目需求不匹配及其他不利于项目 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针对本项目服务承诺，内容包括但不限于①服务过程中的相关承诺②投入材料质量承诺 ③质量保修期内的服务承诺④合理化建议评审标准：方案内容详细完整、针对性强、可行性高，符合项目实际要求。每项满分2分，缺项不得分，每项内容存在缺陷扣1分。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供应商2022年11月以来类似项目业绩；每提供1份计2分，最高得8分。业绩证明（以 合同或中标/成交通知书为准，须在磋商响应文件中附以上证明材料的扫描件加盖单位 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 他供应商的价格分统一按照下列公式计算： 磋商报价得分=（磋商基准价/最终磋商报 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