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版本号：SYCG-CS-2503820251109002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《三原印记·鲁桥史粹村情》印刷项目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SYCG-CS-25038</w:t>
      </w:r>
      <w:r>
        <w:br/>
      </w:r>
      <w:r>
        <w:br/>
      </w:r>
      <w:r>
        <w:br/>
      </w:r>
    </w:p>
    <w:p>
      <w:pPr>
        <w:pStyle w:val="null3"/>
        <w:jc w:val="center"/>
        <w:outlineLvl w:val="2"/>
      </w:pPr>
      <w:r>
        <w:rPr>
          <w:rFonts w:ascii="仿宋_GB2312" w:hAnsi="仿宋_GB2312" w:cs="仿宋_GB2312" w:eastAsia="仿宋_GB2312"/>
          <w:sz w:val="28"/>
          <w:b/>
        </w:rPr>
        <w:t>陕西省咸阳市中国人民政治协商会议三原县委员会</w:t>
      </w:r>
    </w:p>
    <w:p>
      <w:pPr>
        <w:pStyle w:val="null3"/>
        <w:jc w:val="center"/>
        <w:outlineLvl w:val="2"/>
      </w:pPr>
      <w:r>
        <w:rPr>
          <w:rFonts w:ascii="仿宋_GB2312" w:hAnsi="仿宋_GB2312" w:cs="仿宋_GB2312" w:eastAsia="仿宋_GB2312"/>
          <w:sz w:val="28"/>
          <w:b/>
        </w:rPr>
        <w:t>三原县政府采购中心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三原县政府采购中心</w:t>
      </w:r>
      <w:r>
        <w:rPr>
          <w:rFonts w:ascii="仿宋_GB2312" w:hAnsi="仿宋_GB2312" w:cs="仿宋_GB2312" w:eastAsia="仿宋_GB2312"/>
        </w:rPr>
        <w:t>（以下简称“代理机构”）受</w:t>
      </w:r>
      <w:r>
        <w:rPr>
          <w:rFonts w:ascii="仿宋_GB2312" w:hAnsi="仿宋_GB2312" w:cs="仿宋_GB2312" w:eastAsia="仿宋_GB2312"/>
        </w:rPr>
        <w:t>陕西省咸阳市中国人民政治协商会议三原县委员会</w:t>
      </w:r>
      <w:r>
        <w:rPr>
          <w:rFonts w:ascii="仿宋_GB2312" w:hAnsi="仿宋_GB2312" w:cs="仿宋_GB2312" w:eastAsia="仿宋_GB2312"/>
        </w:rPr>
        <w:t>委托，拟对</w:t>
      </w:r>
      <w:r>
        <w:rPr>
          <w:rFonts w:ascii="仿宋_GB2312" w:hAnsi="仿宋_GB2312" w:cs="仿宋_GB2312" w:eastAsia="仿宋_GB2312"/>
        </w:rPr>
        <w:t>《三原印记·鲁桥史粹村情》印刷项目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SYCG-CS-25038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《三原印记·鲁桥史粹村情》印刷项目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《三原印记·鲁桥史粹村情》印刷项目，是为了更好宣传三原县文史资料，促进三原经济社会发展，较好的发挥文史资料“存史、资政、团结、育人”的社会功能的历史中的重大作用。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采购包1（《三原印记·鲁桥史粹村情》印刷项目）：属于专门面向中小企业采购。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2、法定代表人授权委托书：法定代表人直接参加投标的，须提供法定代表人身份证明、身份证复印件及原件；法定代表人授权代表参加投标的，须提供法定代表人授权委托书、身份证复印件及原件；</w:t>
      </w:r>
    </w:p>
    <w:p>
      <w:pPr>
        <w:pStyle w:val="null3"/>
      </w:pPr>
      <w:r>
        <w:rPr>
          <w:rFonts w:ascii="仿宋_GB2312" w:hAnsi="仿宋_GB2312" w:cs="仿宋_GB2312" w:eastAsia="仿宋_GB2312"/>
        </w:rPr>
        <w:t>3、财务状况报告：提供2023年度或2024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w:t>
      </w:r>
    </w:p>
    <w:p>
      <w:pPr>
        <w:pStyle w:val="null3"/>
      </w:pPr>
      <w:r>
        <w:rPr>
          <w:rFonts w:ascii="仿宋_GB2312" w:hAnsi="仿宋_GB2312" w:cs="仿宋_GB2312" w:eastAsia="仿宋_GB2312"/>
        </w:rPr>
        <w:t>4、税收缴纳证明：提供2024年11月至今至少一个月的纳税证明（以税务机关证明材料为准）或完税证明，依法免税的单位应提供相关证明材料；</w:t>
      </w:r>
    </w:p>
    <w:p>
      <w:pPr>
        <w:pStyle w:val="null3"/>
      </w:pPr>
      <w:r>
        <w:rPr>
          <w:rFonts w:ascii="仿宋_GB2312" w:hAnsi="仿宋_GB2312" w:cs="仿宋_GB2312" w:eastAsia="仿宋_GB2312"/>
        </w:rPr>
        <w:t>5、社会保障资金缴纳证明：提供2024年11月至今已缴纳的至少一个月的社会保障资金缴存单据或社保机构开具的社会保险参保缴费情况证明，依法不需要缴纳社会保障资金的单位应提供相关证明材料；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供应商不得为“中国执行信息公开网”网站（zxgk.court.gov.cn/shixin/）中列入失信被执行人和“信用中国”网站（www.creditchina.gov.cn/）列入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7、声明：提供具有履行本合同所必需的设备和专业技术能力的声明；</w:t>
      </w:r>
    </w:p>
    <w:p>
      <w:pPr>
        <w:pStyle w:val="null3"/>
      </w:pPr>
      <w:r>
        <w:rPr>
          <w:rFonts w:ascii="仿宋_GB2312" w:hAnsi="仿宋_GB2312" w:cs="仿宋_GB2312" w:eastAsia="仿宋_GB2312"/>
        </w:rPr>
        <w:t>8、重大违法声明：参加政府采购活动前3年内，在经营活动中没有重大违法记录的书面声明</w:t>
      </w:r>
    </w:p>
    <w:p>
      <w:pPr>
        <w:pStyle w:val="null3"/>
      </w:pPr>
      <w:r>
        <w:rPr>
          <w:rFonts w:ascii="仿宋_GB2312" w:hAnsi="仿宋_GB2312" w:cs="仿宋_GB2312" w:eastAsia="仿宋_GB2312"/>
        </w:rPr>
        <w:t>9、非联合体：本项目不接受联合体磋商，单位负责人为同一人或者存在直接控股、管理关系的不同供应商，不得参加同一合同项下的政府采购活动。</w:t>
      </w:r>
    </w:p>
    <w:p>
      <w:pPr>
        <w:pStyle w:val="null3"/>
      </w:pPr>
      <w:r>
        <w:rPr>
          <w:rFonts w:ascii="仿宋_GB2312" w:hAnsi="仿宋_GB2312" w:cs="仿宋_GB2312" w:eastAsia="仿宋_GB2312"/>
        </w:rPr>
        <w:t>10、特定资质：供应商须提供有效期内的《印刷经营许可证》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陕西省咸阳市中国人民政治协商会议三原县委员会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13891007890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三原县政府采购中心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三原县政府街7号三原县财政局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029-32269233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陕西省咸阳市中国人民政治协商会议三原县委员会</w:t>
      </w:r>
      <w:r>
        <w:rPr>
          <w:rFonts w:ascii="仿宋_GB2312" w:hAnsi="仿宋_GB2312" w:cs="仿宋_GB2312" w:eastAsia="仿宋_GB2312"/>
        </w:rPr>
        <w:t>和</w:t>
      </w:r>
      <w:r>
        <w:rPr>
          <w:rFonts w:ascii="仿宋_GB2312" w:hAnsi="仿宋_GB2312" w:cs="仿宋_GB2312" w:eastAsia="仿宋_GB2312"/>
        </w:rPr>
        <w:t>三原县政府采购中心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陕西省咸阳市中国人民政治协商会议三原县委员会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三原县政府采购中心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三原县政府采购中心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符合国家相关标准及采购文件要求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联系电话：029-32269233</w:t>
      </w:r>
    </w:p>
    <w:p>
      <w:pPr>
        <w:pStyle w:val="null3"/>
      </w:pPr>
      <w:r>
        <w:rPr>
          <w:rFonts w:ascii="仿宋_GB2312" w:hAnsi="仿宋_GB2312" w:cs="仿宋_GB2312" w:eastAsia="仿宋_GB2312"/>
        </w:rPr>
        <w:t>地址：三原县政府街7号三原县财政局</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《三原印记·鲁桥史粹村情》印刷项目，是为了更好宣传三原县文史资料，促进三原经济社会发展，较好的发挥文史资料“存史、资政、团结、育人”的社会功能的历史中的重大作用。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384,000.00</w:t>
      </w:r>
    </w:p>
    <w:p>
      <w:pPr>
        <w:pStyle w:val="null3"/>
      </w:pPr>
      <w:r>
        <w:rPr>
          <w:rFonts w:ascii="仿宋_GB2312" w:hAnsi="仿宋_GB2312" w:cs="仿宋_GB2312" w:eastAsia="仿宋_GB2312"/>
        </w:rPr>
        <w:t>采购包最高限价（元）: 384,000.00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《三原印记·鲁桥史粹村情》印刷项目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标的名称：《三原印记·鲁桥史粹村情》印刷项目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一、纸张：文史资料质感与留存的基础载体</w:t>
            </w:r>
          </w:p>
          <w:p>
            <w:pPr>
              <w:pStyle w:val="null3"/>
            </w:pPr>
            <w:r>
              <w:rPr>
                <w:rFonts w:ascii="仿宋_GB2312" w:hAnsi="仿宋_GB2312" w:cs="仿宋_GB2312" w:eastAsia="仿宋_GB2312"/>
              </w:rPr>
              <w:t xml:space="preserve">     纸张的性能指标需深度适配文史资料的传播与保存需求。从质感呈现来看，应选择表面平滑度适中的纸张，既能保证文字印刷后边缘清晰无模糊，又能让图片内容展现出细腻的层次过渡，避免因纸张粗糙导致细节丢失；同时需具备一定挺度与厚度，翻阅时不易折损、起皱，传递出文史书籍应有的厚重感，契合其庄重的文化定位。参考尺寸：185x260mm </w:t>
            </w:r>
          </w:p>
          <w:p>
            <w:pPr>
              <w:pStyle w:val="null3"/>
            </w:pPr>
            <w:r>
              <w:rPr>
                <w:rFonts w:ascii="仿宋_GB2312" w:hAnsi="仿宋_GB2312" w:cs="仿宋_GB2312" w:eastAsia="仿宋_GB2312"/>
              </w:rPr>
              <w:t xml:space="preserve">    从长期保存角度，纸张需具备优良的抗老化性能，能抵御环境中温湿度变化的影响，避免长期存放后出现泛黄、脆化等问题，确保文史内容可长久留存；吸墨性也需控制在合理范围，既要让油墨均匀附着，防止出现晕染、透印影响阅读，又要避免吸墨过度导致文字色彩暗沉、图片色调失真，始终保持内容呈现的鲜亮与真实。</w:t>
            </w:r>
          </w:p>
          <w:p>
            <w:pPr>
              <w:pStyle w:val="null3"/>
            </w:pPr>
            <w:r>
              <w:rPr>
                <w:rFonts w:ascii="仿宋_GB2312" w:hAnsi="仿宋_GB2312" w:cs="仿宋_GB2312" w:eastAsia="仿宋_GB2312"/>
              </w:rPr>
              <w:t>二、印刷工艺：文史细节与色彩的精准还原</w:t>
            </w:r>
          </w:p>
          <w:p>
            <w:pPr>
              <w:pStyle w:val="null3"/>
            </w:pPr>
            <w:r>
              <w:rPr>
                <w:rFonts w:ascii="仿宋_GB2312" w:hAnsi="仿宋_GB2312" w:cs="仿宋_GB2312" w:eastAsia="仿宋_GB2312"/>
              </w:rPr>
              <w:t xml:space="preserve">     印刷工艺的性能指标直接决定文史内容的呈现精度，需针对不同内容类型优化。对于文字部分，工艺需保证字迹笔画均匀、边缘光滑无锯齿，无论是正文常规字体还是标题特殊字体，均能清晰辨认，无断笔、模糊等问题，确保读者高效获取信息；对于图片与古籍影印片段，工艺需具备出色的细节表现力与色彩还原能力，既能完整复刻古籍上的字迹、印章乃至纸张纹理，又能精准匹配历史场景、地方风物的原始色调，避免色彩偏色、饱和度失衡，保留文史资料的历史质感。</w:t>
            </w:r>
          </w:p>
          <w:p>
            <w:pPr>
              <w:pStyle w:val="null3"/>
            </w:pPr>
            <w:r>
              <w:rPr>
                <w:rFonts w:ascii="仿宋_GB2312" w:hAnsi="仿宋_GB2312" w:cs="仿宋_GB2312" w:eastAsia="仿宋_GB2312"/>
              </w:rPr>
              <w:t xml:space="preserve">    同时，工艺需具备良好的一致性，确保同一批次印刷成品在色彩、清晰度上无明显差异，避免因工艺不稳定导致部分页面质量参差不齐，保障整套资料的统一性与完整性。全书四色印刷（封面：不小于250克，高彩映画特种纸，封面封底烫红金和黑金，局部UV。环衬：前后单环，不小于200克特种纸。内芯：不小于70克，欧纯纯质特种纸</w:t>
            </w:r>
          </w:p>
          <w:p>
            <w:pPr>
              <w:pStyle w:val="null3"/>
            </w:pPr>
            <w:r>
              <w:rPr>
                <w:rFonts w:ascii="仿宋_GB2312" w:hAnsi="仿宋_GB2312" w:cs="仿宋_GB2312" w:eastAsia="仿宋_GB2312"/>
              </w:rPr>
              <w:t>三、装订方式：耐用性与阅读体验的平衡、锁线胶装，简装平脊。</w:t>
            </w:r>
          </w:p>
          <w:p>
            <w:pPr>
              <w:pStyle w:val="null3"/>
            </w:pPr>
            <w:r>
              <w:rPr>
                <w:rFonts w:ascii="仿宋_GB2312" w:hAnsi="仿宋_GB2312" w:cs="仿宋_GB2312" w:eastAsia="仿宋_GB2312"/>
              </w:rPr>
              <w:t xml:space="preserve">    装订方式的性能指标需兼顾文史资料的长期保存与日常查阅需求。从耐用性来看，装订结构需稳固，能承受反复翻阅的损耗，避免出现书页脱落、装订线松动等问题；装订后的书籍需保持平整，无明显凸起或凹陷，便于存放与立置展示。</w:t>
            </w:r>
          </w:p>
          <w:p>
            <w:pPr>
              <w:pStyle w:val="null3"/>
            </w:pPr>
            <w:r>
              <w:rPr>
                <w:rFonts w:ascii="仿宋_GB2312" w:hAnsi="仿宋_GB2312" w:cs="仿宋_GB2312" w:eastAsia="仿宋_GB2312"/>
              </w:rPr>
              <w:t xml:space="preserve">   从阅读体验来看，装订方式需保证书页可灵活翻开并平摊在桌面，避免因装订过紧导致跨页图片、表格无法完整呈现；同时，装订边缘需经过平滑处理，无尖锐棱角，防止翻阅时划伤手部，提升使用安全性与舒适度，适配文史书籍频繁查阅的场景需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政协三原县委员会办公室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验收合格后，一次性付清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交货现场验收、按照国家印刷标准和印刷质量要求进行验收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破损或者缺页按照数量进行补差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按照民法典法律条款、合同约定或者协商解决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方案说明书.docx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法定代表人直接参加投标的，须提供法定代表人身份证明、身份证复印件及原件；法定代表人授权代表参加投标的，须提供法定代表人授权委托书、身份证复印件及原件；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提供2024年11月至今至少一个月的纳税证明（以税务机关证明材料为准）或完税证明，依法免税的单位应提供相关证明材料；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中国执行信息公开网”网站（zxgk.court.gov.cn/shixin/）中列入失信被执行人和“信用中国”网站（www.creditchina.gov.cn/）列入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重大违法声明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供应商须提供有效期内的《印刷经营许可证》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投标人名称应与有效存续的企业营业执照/事业单位法人证书/专业服务机构执业许可证/民办非企业单位登记证书一致</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报价唯一，且没有超过采购预算(最高限价）</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招标有效期是否满足招标最低要求90天的</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响应文件的签署、加盖印章合格有效；提供的各种证明文件、数据、资料真实有效</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印刷方案完整性</w:t>
            </w:r>
          </w:p>
        </w:tc>
        <w:tc>
          <w:tcPr>
            <w:tcW w:type="dxa" w:w="2492"/>
          </w:tcPr>
          <w:p>
            <w:pPr>
              <w:pStyle w:val="null3"/>
            </w:pPr>
            <w:r>
              <w:rPr>
                <w:rFonts w:ascii="仿宋_GB2312" w:hAnsi="仿宋_GB2312" w:cs="仿宋_GB2312" w:eastAsia="仿宋_GB2312"/>
              </w:rPr>
              <w:t>供应商针对本项目的印刷方案完整性包括：①印刷品基本信息②材料选用说明③印刷工艺规划④生产能能力⑤交付计划等内容，每项满分2分，缺项不得分，每项内容存在缺陷，扣1分。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设计能力</w:t>
            </w:r>
          </w:p>
        </w:tc>
        <w:tc>
          <w:tcPr>
            <w:tcW w:type="dxa" w:w="2492"/>
          </w:tcPr>
          <w:p>
            <w:pPr>
              <w:pStyle w:val="null3"/>
            </w:pPr>
            <w:r>
              <w:rPr>
                <w:rFonts w:ascii="仿宋_GB2312" w:hAnsi="仿宋_GB2312" w:cs="仿宋_GB2312" w:eastAsia="仿宋_GB2312"/>
              </w:rPr>
              <w:t>供应商针对本项目的设计能力包括：①专业设计人员（人数、工作经验）②过往优秀设计案例（与印刷相关优先）技术应用能力等内容，每项满分2分，缺项不得分，每项内容存在缺陷，扣1分。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印刷设备与技术</w:t>
            </w:r>
          </w:p>
        </w:tc>
        <w:tc>
          <w:tcPr>
            <w:tcW w:type="dxa" w:w="2492"/>
          </w:tcPr>
          <w:p>
            <w:pPr>
              <w:pStyle w:val="null3"/>
            </w:pPr>
            <w:r>
              <w:rPr>
                <w:rFonts w:ascii="仿宋_GB2312" w:hAnsi="仿宋_GB2312" w:cs="仿宋_GB2312" w:eastAsia="仿宋_GB2312"/>
              </w:rPr>
              <w:t>供应商针对本项目的印刷设备与技术包括：①设备技术适配性②创新技术应用③设备性能等内容，每项满分2分，缺项不得分，每项内容存在缺陷，扣1分。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质量管控体系</w:t>
            </w:r>
          </w:p>
        </w:tc>
        <w:tc>
          <w:tcPr>
            <w:tcW w:type="dxa" w:w="2492"/>
          </w:tcPr>
          <w:p>
            <w:pPr>
              <w:pStyle w:val="null3"/>
            </w:pPr>
            <w:r>
              <w:rPr>
                <w:rFonts w:ascii="仿宋_GB2312" w:hAnsi="仿宋_GB2312" w:cs="仿宋_GB2312" w:eastAsia="仿宋_GB2312"/>
              </w:rPr>
              <w:t>供应商针对本项目的质量管控体系包括：①从原材料采购检验②印前设计审核③印刷过程动态监控④成品抽样检测⑤质量追溯与持续改进等内容，每项满分2分，缺项不得分，每项内容存在缺陷，扣1分。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应急处理能力</w:t>
            </w:r>
          </w:p>
        </w:tc>
        <w:tc>
          <w:tcPr>
            <w:tcW w:type="dxa" w:w="2492"/>
          </w:tcPr>
          <w:p>
            <w:pPr>
              <w:pStyle w:val="null3"/>
            </w:pPr>
            <w:r>
              <w:rPr>
                <w:rFonts w:ascii="仿宋_GB2312" w:hAnsi="仿宋_GB2312" w:cs="仿宋_GB2312" w:eastAsia="仿宋_GB2312"/>
              </w:rPr>
              <w:t>供应商针对本项目的应急处理能力包括：①风险预案制定②设备应急保障③原材料储备与调配④设计与内容调整应对等内容、每项满分2分，缺项不得分，每项内容存在缺陷，扣1分。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服务响应速度</w:t>
            </w:r>
          </w:p>
        </w:tc>
        <w:tc>
          <w:tcPr>
            <w:tcW w:type="dxa" w:w="2492"/>
          </w:tcPr>
          <w:p>
            <w:pPr>
              <w:pStyle w:val="null3"/>
            </w:pPr>
            <w:r>
              <w:rPr>
                <w:rFonts w:ascii="仿宋_GB2312" w:hAnsi="仿宋_GB2312" w:cs="仿宋_GB2312" w:eastAsia="仿宋_GB2312"/>
              </w:rPr>
              <w:t>供应商针对本项目的服务响应速度包括：①咨询即时响应②需求快速确认③设计高效反馈④生产异常速解⑤交付提前沟通⑥售后及时响应等内容，每项满分2分，缺项不得分，每项内容存在缺陷，扣1分。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供应商针对本项目人员配备包括：①团队组织人员配置明细②团队人员管理制度③各专业种类及岗位配置。 每项满分2分，缺项不得分，每项内容存在缺陷，扣1分。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绿色环保与可持续性</w:t>
            </w:r>
          </w:p>
        </w:tc>
        <w:tc>
          <w:tcPr>
            <w:tcW w:type="dxa" w:w="2492"/>
          </w:tcPr>
          <w:p>
            <w:pPr>
              <w:pStyle w:val="null3"/>
            </w:pPr>
            <w:r>
              <w:rPr>
                <w:rFonts w:ascii="仿宋_GB2312" w:hAnsi="仿宋_GB2312" w:cs="仿宋_GB2312" w:eastAsia="仿宋_GB2312"/>
              </w:rPr>
              <w:t>供应商针对本项目的绿色环保与可持续性包括：①环保管理②低碳工艺等内容， 每项满分2分，缺项不得分，每项内容存在缺陷，扣1分。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项目承诺及后期服务</w:t>
            </w:r>
          </w:p>
        </w:tc>
        <w:tc>
          <w:tcPr>
            <w:tcW w:type="dxa" w:w="2492"/>
          </w:tcPr>
          <w:p>
            <w:pPr>
              <w:pStyle w:val="null3"/>
            </w:pPr>
            <w:r>
              <w:rPr>
                <w:rFonts w:ascii="仿宋_GB2312" w:hAnsi="仿宋_GB2312" w:cs="仿宋_GB2312" w:eastAsia="仿宋_GB2312"/>
              </w:rPr>
              <w:t>供应商针对本项目的项目承诺包括：①交货期承诺②质量保证承诺③售后支持承诺等内容，每项满分2分，缺项不得分，每项内容存在缺陷，扣1分。 缺陷是指内容不合理、虽有内容但不完善、内容表述前后不一致、套用其他项目方案或与项目需求不匹配及其他不利于项目实施的任意一种情形。项目后期服务包括产品整理、产品移交、产品售后、持续沟通反馈等内容，每项满分2分，缺项不得分，每项内容存在缺陷，扣1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自2022年8月以来（以合同签订时间为准），供应商类似项目的，每提供一个项目得1分，最高得4分。 注：须提供相关项目合同关键页（包含签订合同双方的单位名称、项目名称、项目内容、双方签字盖章页及合同签订日期等）复印件，否则不得分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价格分统一采用低价优先法计算,即满足磋商文件要求且最后报价最低的供应商的价格为基准价，其价格分为满分。其他供应商的价格分统一按照下列公式计算：投标报价得分= (基准价/投标报价)×30%×100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